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2"/>
        <w:gridCol w:w="9302"/>
      </w:tblGrid>
      <w:tr w:rsidR="00FA3DF0" w14:paraId="7EC4D900" w14:textId="77777777" w:rsidTr="00397417">
        <w:trPr>
          <w:trHeight w:val="835"/>
        </w:trPr>
        <w:tc>
          <w:tcPr>
            <w:tcW w:w="36" w:type="dxa"/>
          </w:tcPr>
          <w:bookmarkStart w:id="0" w:name="_GoBack"/>
          <w:bookmarkEnd w:id="0"/>
          <w:p w14:paraId="406B5F7F" w14:textId="1FF1A90B" w:rsidR="00FA3DF0" w:rsidRDefault="00B80CE2" w:rsidP="00397417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EFD67" wp14:editId="46BA6BD7">
                      <wp:simplePos x="0" y="0"/>
                      <wp:positionH relativeFrom="column">
                        <wp:posOffset>-1074420</wp:posOffset>
                      </wp:positionH>
                      <wp:positionV relativeFrom="paragraph">
                        <wp:posOffset>-55245</wp:posOffset>
                      </wp:positionV>
                      <wp:extent cx="809625" cy="8096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461F2" w14:textId="3E40E1F4" w:rsidR="00B80CE2" w:rsidRDefault="00B80CE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4.6pt;margin-top:-4.35pt;width:63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" filled="f" stroked="f">
                      <v:textbox>
                        <w:txbxContent>
                          <w:p w14:paraId="64E461F2" w14:textId="3E40E1F4" w:rsidR="00B80CE2" w:rsidRDefault="00B80CE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" w:type="dxa"/>
            <w:vAlign w:val="center"/>
          </w:tcPr>
          <w:p w14:paraId="2207D165" w14:textId="77777777" w:rsidR="00FA3DF0" w:rsidRDefault="00FA3DF0" w:rsidP="00397417"/>
        </w:tc>
        <w:tc>
          <w:tcPr>
            <w:tcW w:w="9302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7386DC54" w14:textId="59D20517" w:rsidR="00FA3DF0" w:rsidRPr="00397417" w:rsidRDefault="00397417" w:rsidP="00397417">
            <w:pPr>
              <w:pStyle w:val="Title"/>
              <w:ind w:left="0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397417">
              <w:rPr>
                <w:rFonts w:ascii="Copperplate Gothic Bold" w:hAnsi="Copperplate Gothic Bold"/>
                <w:sz w:val="28"/>
                <w:szCs w:val="28"/>
              </w:rPr>
              <w:t>O</w:t>
            </w:r>
            <w:r w:rsidR="00B80CE2" w:rsidRPr="00397417">
              <w:rPr>
                <w:rFonts w:ascii="Copperplate Gothic Bold" w:hAnsi="Copperplate Gothic Bold"/>
                <w:sz w:val="28"/>
                <w:szCs w:val="28"/>
              </w:rPr>
              <w:t>FFICE OF BUDGET, CONTRACTS &amp; BUSINESS</w:t>
            </w:r>
            <w:r w:rsidR="11DD751C" w:rsidRPr="00397417">
              <w:rPr>
                <w:rFonts w:ascii="Copperplate Gothic Bold" w:hAnsi="Copperplate Gothic Bold"/>
                <w:sz w:val="28"/>
                <w:szCs w:val="28"/>
              </w:rPr>
              <w:t xml:space="preserve"> SERVICE</w:t>
            </w:r>
            <w:r w:rsidRPr="00397417">
              <w:rPr>
                <w:rFonts w:ascii="Copperplate Gothic Bold" w:hAnsi="Copperplate Gothic Bold"/>
                <w:sz w:val="28"/>
                <w:szCs w:val="28"/>
              </w:rPr>
              <w:t>S DIVISION OF DEVELOPMENTAL DISABILITIES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SERVICES</w:t>
            </w:r>
          </w:p>
          <w:p w14:paraId="79F79F88" w14:textId="04CACF7F" w:rsidR="00397417" w:rsidRPr="00397417" w:rsidRDefault="00397417" w:rsidP="00397417"/>
        </w:tc>
      </w:tr>
    </w:tbl>
    <w:p w14:paraId="42BD2F56" w14:textId="71B9295D" w:rsidR="00B80CE2" w:rsidRDefault="00B80CE2" w:rsidP="11DD751C">
      <w:pPr>
        <w:pStyle w:val="Heading1"/>
        <w:numPr>
          <w:ilvl w:val="0"/>
          <w:numId w:val="0"/>
        </w:numPr>
      </w:pPr>
    </w:p>
    <w:p w14:paraId="3CC60781" w14:textId="4C4ABA1F" w:rsidR="00FA3DF0" w:rsidRDefault="11DD751C" w:rsidP="00397417">
      <w:pPr>
        <w:pStyle w:val="Heading1"/>
        <w:numPr>
          <w:ilvl w:val="0"/>
          <w:numId w:val="0"/>
        </w:numPr>
        <w:ind w:firstLine="720"/>
        <w:rPr>
          <w:sz w:val="32"/>
          <w:szCs w:val="32"/>
        </w:rPr>
      </w:pPr>
      <w:r>
        <w:t xml:space="preserve"> </w:t>
      </w:r>
      <w:r w:rsidR="00397417">
        <w:t xml:space="preserve">      </w:t>
      </w:r>
      <w:r w:rsidR="00397417">
        <w:rPr>
          <w:noProof/>
          <w:lang w:eastAsia="en-US"/>
        </w:rPr>
        <w:drawing>
          <wp:inline distT="0" distB="0" distL="0" distR="0" wp14:anchorId="3A9C2F3B" wp14:editId="3765BE19">
            <wp:extent cx="514350" cy="455201"/>
            <wp:effectExtent l="0" t="0" r="0" b="254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94" cy="45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417">
        <w:t xml:space="preserve">      </w:t>
      </w:r>
      <w:r w:rsidR="00397417">
        <w:rPr>
          <w:sz w:val="32"/>
          <w:szCs w:val="32"/>
        </w:rPr>
        <w:t xml:space="preserve">OBCBS ALERT </w:t>
      </w:r>
      <w:r w:rsidRPr="00397417">
        <w:rPr>
          <w:sz w:val="32"/>
          <w:szCs w:val="32"/>
        </w:rPr>
        <w:t>16-0</w:t>
      </w:r>
      <w:r w:rsidR="00AA2EED">
        <w:rPr>
          <w:sz w:val="32"/>
          <w:szCs w:val="32"/>
        </w:rPr>
        <w:t>3</w:t>
      </w:r>
    </w:p>
    <w:p w14:paraId="3CF8BA8C" w14:textId="472878B1" w:rsidR="00397417" w:rsidRPr="00397417" w:rsidRDefault="00397417" w:rsidP="00397417">
      <w:r>
        <w:tab/>
      </w:r>
      <w:r>
        <w:tab/>
      </w:r>
      <w:r>
        <w:tab/>
      </w:r>
      <w:r>
        <w:tab/>
      </w:r>
    </w:p>
    <w:tbl>
      <w:tblPr>
        <w:tblW w:w="9000" w:type="dxa"/>
        <w:tblInd w:w="81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68"/>
        <w:gridCol w:w="8532"/>
      </w:tblGrid>
      <w:tr w:rsidR="00FA3DF0" w14:paraId="42C57A49" w14:textId="77777777" w:rsidTr="00397417">
        <w:trPr>
          <w:trHeight w:val="120"/>
        </w:trPr>
        <w:tc>
          <w:tcPr>
            <w:tcW w:w="260" w:type="pct"/>
            <w:tcBorders>
              <w:top w:val="thickThinLargeGap" w:sz="24" w:space="0" w:color="auto"/>
            </w:tcBorders>
          </w:tcPr>
          <w:p w14:paraId="7D790B8E" w14:textId="188B1728" w:rsidR="00FA3DF0" w:rsidRDefault="00E10FC8" w:rsidP="00397417">
            <w:pPr>
              <w:pStyle w:val="-"/>
              <w:ind w:left="-180"/>
            </w:pPr>
            <w:r>
              <w:t>+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14:paraId="2B042A28" w14:textId="4ED589F6" w:rsidR="00FA3DF0" w:rsidRDefault="00953D44">
            <w:pPr>
              <w:pStyle w:val="Li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MEMORANDUM 62 GUIDELINES</w:t>
            </w:r>
          </w:p>
          <w:p w14:paraId="7386E923" w14:textId="20CC7341" w:rsidR="00397417" w:rsidRPr="00397417" w:rsidRDefault="00397417">
            <w:pPr>
              <w:pStyle w:val="List"/>
              <w:rPr>
                <w:sz w:val="28"/>
                <w:szCs w:val="28"/>
              </w:rPr>
            </w:pPr>
          </w:p>
        </w:tc>
      </w:tr>
      <w:tr w:rsidR="00FA3DF0" w14:paraId="0F1EC305" w14:textId="77777777" w:rsidTr="00397417">
        <w:tc>
          <w:tcPr>
            <w:tcW w:w="260" w:type="pct"/>
          </w:tcPr>
          <w:p w14:paraId="6CEBFA5C" w14:textId="50F20624" w:rsidR="00FA3DF0" w:rsidRDefault="00FA3DF0" w:rsidP="00397417">
            <w:pPr>
              <w:pStyle w:val="-"/>
              <w:ind w:left="-180"/>
            </w:pPr>
          </w:p>
        </w:tc>
        <w:tc>
          <w:tcPr>
            <w:tcW w:w="4740" w:type="pct"/>
          </w:tcPr>
          <w:p w14:paraId="0D5C9593" w14:textId="299D4086" w:rsidR="00953D44" w:rsidRDefault="00953D44" w:rsidP="00953D44">
            <w:pPr>
              <w:rPr>
                <w:sz w:val="22"/>
                <w:szCs w:val="22"/>
              </w:rPr>
            </w:pPr>
            <w:r w:rsidRPr="00953D44">
              <w:rPr>
                <w:sz w:val="22"/>
                <w:szCs w:val="22"/>
              </w:rPr>
              <w:t xml:space="preserve">This document was created to offer details regarding administrative protocols associated with presenting new and existing lease paperwork to DDDS taking into consideration revised Policy Memorandum 62 (PM62) published 2/20/15.   With appropriate documentation, DDDS is permitted to approve up to 30% over HUD FMR.  </w:t>
            </w:r>
          </w:p>
          <w:p w14:paraId="5E653F30" w14:textId="77777777" w:rsidR="0031726D" w:rsidRPr="00953D44" w:rsidRDefault="0031726D" w:rsidP="00953D44">
            <w:pPr>
              <w:rPr>
                <w:b/>
                <w:sz w:val="22"/>
                <w:szCs w:val="22"/>
                <w:u w:val="single"/>
              </w:rPr>
            </w:pPr>
          </w:p>
          <w:p w14:paraId="33E2E29F" w14:textId="77777777" w:rsidR="00953D44" w:rsidRDefault="00953D44" w:rsidP="00953D44">
            <w:pPr>
              <w:rPr>
                <w:b/>
                <w:sz w:val="28"/>
                <w:szCs w:val="28"/>
                <w:u w:val="single"/>
              </w:rPr>
            </w:pPr>
            <w:r w:rsidRPr="000F54F5">
              <w:rPr>
                <w:b/>
                <w:sz w:val="28"/>
                <w:szCs w:val="28"/>
                <w:u w:val="single"/>
              </w:rPr>
              <w:t>NEW LEASES</w:t>
            </w:r>
          </w:p>
          <w:p w14:paraId="7D6AFAFC" w14:textId="77777777" w:rsidR="00953D44" w:rsidRPr="000F54F5" w:rsidRDefault="00953D44" w:rsidP="00953D44">
            <w:pPr>
              <w:rPr>
                <w:b/>
                <w:sz w:val="28"/>
                <w:szCs w:val="28"/>
                <w:u w:val="single"/>
              </w:rPr>
            </w:pPr>
          </w:p>
          <w:p w14:paraId="221CCCC6" w14:textId="77777777" w:rsidR="00953D44" w:rsidRDefault="00953D44" w:rsidP="00953D44">
            <w:pPr>
              <w:pStyle w:val="ListParagraph"/>
              <w:numPr>
                <w:ilvl w:val="0"/>
                <w:numId w:val="2"/>
              </w:numPr>
            </w:pPr>
            <w:r>
              <w:t>Lease Paperwork for new residential sites should be forwarded directly to Pat Weygandt and Lisa Bryant.</w:t>
            </w:r>
          </w:p>
          <w:p w14:paraId="45E887B2" w14:textId="77777777" w:rsidR="00953D44" w:rsidRDefault="00953D44" w:rsidP="00953D44">
            <w:pPr>
              <w:pStyle w:val="ListParagraph"/>
              <w:numPr>
                <w:ilvl w:val="0"/>
                <w:numId w:val="2"/>
              </w:numPr>
            </w:pPr>
            <w:r>
              <w:t xml:space="preserve">New leases must be compliant to PM62 guidelines; if not compliant, lease paperwork must be accompanied by support documentation explaining why the provider is incurring costs above HUD FMR. </w:t>
            </w:r>
          </w:p>
          <w:p w14:paraId="04AA813F" w14:textId="77777777" w:rsidR="00953D44" w:rsidRDefault="00953D44" w:rsidP="00953D44">
            <w:pPr>
              <w:pStyle w:val="ListParagraph"/>
              <w:numPr>
                <w:ilvl w:val="0"/>
                <w:numId w:val="2"/>
              </w:numPr>
            </w:pPr>
            <w:r>
              <w:t>Requests will be rejected if adequate detailed supporting documentation, as defined by PM62, do not accompany the request.</w:t>
            </w:r>
          </w:p>
          <w:p w14:paraId="1C2D0F9A" w14:textId="77777777" w:rsidR="00953D44" w:rsidRDefault="00953D44" w:rsidP="00953D44">
            <w:pPr>
              <w:pStyle w:val="ListParagraph"/>
              <w:numPr>
                <w:ilvl w:val="0"/>
                <w:numId w:val="2"/>
              </w:numPr>
            </w:pPr>
            <w:r>
              <w:t>DDDS will conduct a review of documentation supplied by provider and render a PM62 compliance decision within 30 business days.</w:t>
            </w:r>
          </w:p>
          <w:p w14:paraId="07BC45E4" w14:textId="77777777" w:rsidR="00953D44" w:rsidRDefault="00953D44" w:rsidP="00953D44">
            <w:pPr>
              <w:pStyle w:val="ListParagraph"/>
              <w:numPr>
                <w:ilvl w:val="0"/>
                <w:numId w:val="2"/>
              </w:numPr>
            </w:pPr>
            <w:r>
              <w:t>If denied by DDDS, the Provider has the right to appeal to the Office of the Secretary.  Appeal requests should be forwarded to DDDS’s Office of Budget, Contracts &amp; Business Services (OBCBS) for proper routing within the Division.</w:t>
            </w:r>
          </w:p>
          <w:p w14:paraId="5CD1DF1E" w14:textId="77777777" w:rsidR="00953D44" w:rsidRDefault="00953D44" w:rsidP="00953D4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EXISTING </w:t>
            </w:r>
            <w:r w:rsidRPr="0016777D">
              <w:rPr>
                <w:b/>
                <w:sz w:val="28"/>
                <w:szCs w:val="28"/>
                <w:u w:val="single"/>
              </w:rPr>
              <w:t>LEASES</w:t>
            </w:r>
          </w:p>
          <w:p w14:paraId="37EF966F" w14:textId="77777777" w:rsidR="00953D44" w:rsidRPr="0016777D" w:rsidRDefault="00953D44" w:rsidP="00953D44">
            <w:pPr>
              <w:rPr>
                <w:b/>
                <w:sz w:val="28"/>
                <w:szCs w:val="28"/>
                <w:u w:val="single"/>
              </w:rPr>
            </w:pPr>
          </w:p>
          <w:p w14:paraId="7A6970F0" w14:textId="2746B39C" w:rsidR="00953D44" w:rsidRDefault="00953D44" w:rsidP="00953D44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 xml:space="preserve">Lease </w:t>
            </w:r>
            <w:r w:rsidRPr="0016777D">
              <w:rPr>
                <w:u w:val="single"/>
              </w:rPr>
              <w:t xml:space="preserve">Renewal </w:t>
            </w:r>
            <w:r>
              <w:t>Paperwork should continue to be turned into OBCBS via assigned contract managers.  Contract Managers will forward on to Nicci Johnson for review and recommendation to Valerie Smith</w:t>
            </w:r>
            <w:r w:rsidR="0031726D">
              <w:t xml:space="preserve"> who will issue final approval/disapproval</w:t>
            </w:r>
            <w:r>
              <w:t>.</w:t>
            </w:r>
          </w:p>
          <w:p w14:paraId="46222C67" w14:textId="77777777" w:rsidR="00953D44" w:rsidRDefault="00953D44" w:rsidP="00953D44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>General  Reminders:</w:t>
            </w:r>
          </w:p>
          <w:p w14:paraId="7412F5B3" w14:textId="5C15AF4D" w:rsidR="00953D44" w:rsidRDefault="00953D44" w:rsidP="00953D44">
            <w:pPr>
              <w:pStyle w:val="ListParagraph"/>
              <w:numPr>
                <w:ilvl w:val="0"/>
                <w:numId w:val="3"/>
              </w:numPr>
            </w:pPr>
            <w:r>
              <w:t xml:space="preserve">Leases renewing with an effective date </w:t>
            </w:r>
            <w:r w:rsidRPr="004632F0">
              <w:rPr>
                <w:u w:val="single"/>
              </w:rPr>
              <w:t xml:space="preserve">prior </w:t>
            </w:r>
            <w:r w:rsidR="003D3A52">
              <w:t>to 2/20/15 will be reviewed without taking the new PM62 compliance procedure into consideration.</w:t>
            </w:r>
          </w:p>
          <w:p w14:paraId="1668D0C9" w14:textId="77777777" w:rsidR="00953D44" w:rsidRDefault="00953D44" w:rsidP="00953D44">
            <w:pPr>
              <w:pStyle w:val="ListParagraph"/>
              <w:numPr>
                <w:ilvl w:val="0"/>
                <w:numId w:val="3"/>
              </w:numPr>
            </w:pPr>
            <w:r>
              <w:t xml:space="preserve">Existing multiple year leases (more than one year) approved </w:t>
            </w:r>
            <w:r w:rsidRPr="004632F0">
              <w:rPr>
                <w:u w:val="single"/>
              </w:rPr>
              <w:t>prior</w:t>
            </w:r>
            <w:r>
              <w:t xml:space="preserve"> to 2/20/15 will remain intact and compliance to PM62 will be enforced with the execution of the next renewal period.</w:t>
            </w:r>
          </w:p>
          <w:p w14:paraId="4E1E7321" w14:textId="77777777" w:rsidR="00953D44" w:rsidRDefault="00953D44" w:rsidP="00953D44">
            <w:pPr>
              <w:pStyle w:val="ListParagraph"/>
              <w:ind w:left="1080"/>
            </w:pPr>
          </w:p>
          <w:p w14:paraId="54B6D9D0" w14:textId="77777777" w:rsidR="0031726D" w:rsidRDefault="0031726D" w:rsidP="00953D44">
            <w:pPr>
              <w:pStyle w:val="ListParagraph"/>
              <w:ind w:left="1080"/>
            </w:pPr>
          </w:p>
          <w:p w14:paraId="2759B027" w14:textId="1CAA84D6" w:rsidR="007D1DBA" w:rsidRDefault="0031726D" w:rsidP="00953D44">
            <w:pPr>
              <w:pStyle w:val="ListParagraph"/>
              <w:ind w:left="1080"/>
            </w:pPr>
            <w:r>
              <w:t xml:space="preserve">                                                                                                                    Page Two</w:t>
            </w:r>
          </w:p>
          <w:p w14:paraId="36C798DE" w14:textId="77777777" w:rsidR="007D1DBA" w:rsidRDefault="007D1DBA" w:rsidP="00953D44">
            <w:pPr>
              <w:pStyle w:val="ListParagraph"/>
              <w:ind w:left="1080"/>
            </w:pPr>
          </w:p>
          <w:p w14:paraId="2240482E" w14:textId="77777777" w:rsidR="007D1DBA" w:rsidRDefault="007D1DBA" w:rsidP="00953D44">
            <w:pPr>
              <w:pStyle w:val="ListParagraph"/>
              <w:ind w:left="1080"/>
            </w:pPr>
          </w:p>
          <w:p w14:paraId="0133971A" w14:textId="77777777" w:rsidR="00953D44" w:rsidRDefault="00953D44" w:rsidP="00953D44">
            <w:pPr>
              <w:pStyle w:val="ListParagraph"/>
              <w:numPr>
                <w:ilvl w:val="0"/>
                <w:numId w:val="7"/>
              </w:numPr>
              <w:ind w:left="720"/>
            </w:pPr>
            <w:r>
              <w:t xml:space="preserve">Guidelines for Renewing Existing Leases with an Effective Date </w:t>
            </w:r>
            <w:r w:rsidRPr="004632F0">
              <w:rPr>
                <w:u w:val="single"/>
              </w:rPr>
              <w:t>between 2/20/15 &amp;  11/30/15</w:t>
            </w:r>
            <w:r>
              <w:t>:</w:t>
            </w:r>
          </w:p>
          <w:p w14:paraId="7417BD4F" w14:textId="77777777" w:rsidR="007D1DBA" w:rsidRDefault="007D1DBA" w:rsidP="007D1DBA">
            <w:pPr>
              <w:pStyle w:val="ListParagraph"/>
            </w:pPr>
          </w:p>
          <w:p w14:paraId="33387951" w14:textId="77777777" w:rsidR="00953D44" w:rsidRDefault="00953D44" w:rsidP="00953D44">
            <w:pPr>
              <w:pStyle w:val="ListParagraph"/>
              <w:numPr>
                <w:ilvl w:val="0"/>
                <w:numId w:val="4"/>
              </w:numPr>
            </w:pPr>
            <w:r>
              <w:t xml:space="preserve">If renewing lease amount is </w:t>
            </w:r>
            <w:r w:rsidRPr="00097F8D">
              <w:rPr>
                <w:b/>
                <w:u w:val="single"/>
              </w:rPr>
              <w:t xml:space="preserve">within </w:t>
            </w:r>
            <w:r>
              <w:t xml:space="preserve">HUD FMR values, OBCBC process remains unchanged &amp; a  signed Residential Property Approval &amp; Authorization Form will be returned to provider. </w:t>
            </w:r>
          </w:p>
          <w:p w14:paraId="1892ED19" w14:textId="77777777" w:rsidR="00953D44" w:rsidRDefault="00953D44" w:rsidP="00953D44">
            <w:pPr>
              <w:pStyle w:val="ListParagraph"/>
              <w:numPr>
                <w:ilvl w:val="0"/>
                <w:numId w:val="4"/>
              </w:numPr>
            </w:pPr>
            <w:r>
              <w:t xml:space="preserve">If renewing lease amount is </w:t>
            </w:r>
            <w:r w:rsidRPr="0016777D">
              <w:rPr>
                <w:b/>
                <w:u w:val="single"/>
              </w:rPr>
              <w:t>outside</w:t>
            </w:r>
            <w:r>
              <w:t xml:space="preserve"> of HUD FMR values, a conditional letter will be issued by OBCBS stating how many lease payments will be reimbursed at the original lease value verses the HUD FMR value.</w:t>
            </w:r>
          </w:p>
          <w:p w14:paraId="579EA0CC" w14:textId="77777777" w:rsidR="00953D44" w:rsidRPr="007D1DBA" w:rsidRDefault="00953D44" w:rsidP="00953D44">
            <w:pPr>
              <w:ind w:left="1440"/>
              <w:rPr>
                <w:b/>
                <w:sz w:val="22"/>
                <w:szCs w:val="22"/>
                <w:u w:val="single"/>
              </w:rPr>
            </w:pPr>
            <w:r w:rsidRPr="007D1DBA">
              <w:rPr>
                <w:b/>
                <w:sz w:val="22"/>
                <w:szCs w:val="22"/>
                <w:u w:val="single"/>
              </w:rPr>
              <w:t>Submitting Requests for Existing Leases Not Compliant with PM62:</w:t>
            </w:r>
          </w:p>
          <w:p w14:paraId="7B8BA9F4" w14:textId="77777777" w:rsidR="00953D44" w:rsidRDefault="00953D44" w:rsidP="00953D44">
            <w:pPr>
              <w:pStyle w:val="ListParagraph"/>
              <w:numPr>
                <w:ilvl w:val="0"/>
                <w:numId w:val="6"/>
              </w:numPr>
            </w:pPr>
            <w:r>
              <w:t>Providers can proactively attach supporting documentation to their lease renewal paperwork (recommended by DDDS).</w:t>
            </w:r>
          </w:p>
          <w:p w14:paraId="3803F71E" w14:textId="77777777" w:rsidR="00953D44" w:rsidRDefault="00953D44" w:rsidP="00953D44">
            <w:pPr>
              <w:pStyle w:val="ListParagraph"/>
              <w:numPr>
                <w:ilvl w:val="0"/>
                <w:numId w:val="6"/>
              </w:numPr>
            </w:pPr>
            <w:r>
              <w:t xml:space="preserve"> Providers may also chose to submit justification paperwork after receiving a non-compliance conditional letter.</w:t>
            </w:r>
          </w:p>
          <w:p w14:paraId="0B2C0EF2" w14:textId="77777777" w:rsidR="00953D44" w:rsidRDefault="00953D44" w:rsidP="00953D44">
            <w:pPr>
              <w:pStyle w:val="ListParagraph"/>
              <w:numPr>
                <w:ilvl w:val="0"/>
                <w:numId w:val="6"/>
              </w:numPr>
            </w:pPr>
            <w:r>
              <w:t>Documentation provided by the provider must explain why an amount greater than the HUD FMR is needed by either:</w:t>
            </w:r>
          </w:p>
          <w:p w14:paraId="3446139C" w14:textId="77777777" w:rsidR="00953D44" w:rsidRDefault="00953D44" w:rsidP="00953D44">
            <w:pPr>
              <w:pStyle w:val="ListParagraph"/>
              <w:numPr>
                <w:ilvl w:val="1"/>
                <w:numId w:val="6"/>
              </w:numPr>
            </w:pPr>
            <w:r>
              <w:t xml:space="preserve"> completing  the Universal Design Scoresheet (if the reasons are due to accessibility)</w:t>
            </w:r>
          </w:p>
          <w:p w14:paraId="7F6B1C43" w14:textId="77777777" w:rsidR="00953D44" w:rsidRDefault="00953D44" w:rsidP="00953D44">
            <w:pPr>
              <w:pStyle w:val="ListParagraph"/>
              <w:ind w:left="4320" w:firstLine="720"/>
            </w:pPr>
            <w:r>
              <w:t xml:space="preserve"> </w:t>
            </w:r>
            <w:r w:rsidRPr="004632F0">
              <w:rPr>
                <w:b/>
              </w:rPr>
              <w:t>OR</w:t>
            </w:r>
            <w:r>
              <w:t xml:space="preserve"> </w:t>
            </w:r>
          </w:p>
          <w:p w14:paraId="4B283950" w14:textId="77777777" w:rsidR="00953D44" w:rsidRDefault="00953D44" w:rsidP="00953D44">
            <w:pPr>
              <w:pStyle w:val="ListParagraph"/>
              <w:numPr>
                <w:ilvl w:val="1"/>
                <w:numId w:val="6"/>
              </w:numPr>
            </w:pPr>
            <w:r>
              <w:t xml:space="preserve">preparing a written statement explaining why additional costs are being incurred specifying if the costs are attributed to </w:t>
            </w:r>
            <w:r w:rsidRPr="00836BDE">
              <w:rPr>
                <w:u w:val="single"/>
              </w:rPr>
              <w:t>programmatic</w:t>
            </w:r>
            <w:r>
              <w:t xml:space="preserve">  and/or </w:t>
            </w:r>
            <w:r w:rsidRPr="00836BDE">
              <w:rPr>
                <w:u w:val="single"/>
              </w:rPr>
              <w:t>demographic</w:t>
            </w:r>
            <w:r>
              <w:t xml:space="preserve"> reasons.  </w:t>
            </w:r>
          </w:p>
          <w:p w14:paraId="612B9F62" w14:textId="77777777" w:rsidR="00953D44" w:rsidRDefault="00953D44" w:rsidP="00953D44">
            <w:pPr>
              <w:pStyle w:val="ListParagraph"/>
              <w:numPr>
                <w:ilvl w:val="0"/>
                <w:numId w:val="5"/>
              </w:numPr>
            </w:pPr>
            <w:r w:rsidRPr="0016777D">
              <w:t xml:space="preserve">DDDS will render a </w:t>
            </w:r>
            <w:r>
              <w:t xml:space="preserve">PM 62 compliance </w:t>
            </w:r>
            <w:r w:rsidRPr="0016777D">
              <w:t>decision within 30 business days</w:t>
            </w:r>
            <w:r>
              <w:t>.</w:t>
            </w:r>
            <w:r w:rsidRPr="0016777D">
              <w:t xml:space="preserve"> </w:t>
            </w:r>
          </w:p>
          <w:p w14:paraId="618E4CF7" w14:textId="77777777" w:rsidR="00953D44" w:rsidRDefault="00953D44" w:rsidP="00953D44">
            <w:pPr>
              <w:pStyle w:val="ListParagraph"/>
              <w:numPr>
                <w:ilvl w:val="0"/>
                <w:numId w:val="5"/>
              </w:numPr>
            </w:pPr>
            <w:r>
              <w:t>If denied by DDDS, the Provider has the right to appeal to the Office of the Secretary.  Appeal requests should be forwarded to DDDS’s Office of Budget, Contracts &amp; Business Services (OBCBS) for proper routing within the Division.</w:t>
            </w:r>
          </w:p>
          <w:p w14:paraId="2B2B7BD2" w14:textId="77777777" w:rsidR="00953D44" w:rsidRDefault="00953D44" w:rsidP="00953D44">
            <w:pPr>
              <w:pStyle w:val="ListParagraph"/>
              <w:ind w:left="2160"/>
            </w:pPr>
          </w:p>
          <w:p w14:paraId="3E39E3D5" w14:textId="77777777" w:rsidR="00953D44" w:rsidRDefault="00953D44" w:rsidP="00953D44">
            <w:pPr>
              <w:pStyle w:val="ListParagraph"/>
              <w:ind w:left="2160"/>
            </w:pPr>
          </w:p>
          <w:p w14:paraId="4DE6333A" w14:textId="77777777" w:rsidR="00953D44" w:rsidRDefault="00953D44" w:rsidP="00953D44"/>
          <w:p w14:paraId="7AC6E075" w14:textId="2048E35A" w:rsidR="00397417" w:rsidRPr="00397417" w:rsidRDefault="00397417" w:rsidP="0055081E">
            <w:pPr>
              <w:pStyle w:val="List"/>
              <w:rPr>
                <w:sz w:val="22"/>
                <w:szCs w:val="22"/>
              </w:rPr>
            </w:pPr>
          </w:p>
        </w:tc>
      </w:tr>
      <w:tr w:rsidR="0031726D" w14:paraId="0A51B847" w14:textId="77777777" w:rsidTr="00397417">
        <w:tc>
          <w:tcPr>
            <w:tcW w:w="260" w:type="pct"/>
          </w:tcPr>
          <w:p w14:paraId="7F6A88F6" w14:textId="77777777" w:rsidR="0031726D" w:rsidRDefault="0031726D" w:rsidP="00397417">
            <w:pPr>
              <w:pStyle w:val="-"/>
              <w:ind w:left="-180"/>
            </w:pPr>
          </w:p>
        </w:tc>
        <w:tc>
          <w:tcPr>
            <w:tcW w:w="4740" w:type="pct"/>
          </w:tcPr>
          <w:p w14:paraId="351539A8" w14:textId="77777777" w:rsidR="0031726D" w:rsidRPr="00953D44" w:rsidRDefault="0031726D" w:rsidP="00953D44">
            <w:pPr>
              <w:rPr>
                <w:sz w:val="22"/>
                <w:szCs w:val="22"/>
              </w:rPr>
            </w:pPr>
          </w:p>
        </w:tc>
      </w:tr>
    </w:tbl>
    <w:p w14:paraId="62CD70BB" w14:textId="212067CE" w:rsidR="00FA3DF0" w:rsidRDefault="00FA3DF0"/>
    <w:sectPr w:rsidR="00FA3DF0" w:rsidSect="00B80CE2">
      <w:footerReference w:type="default" r:id="rId9"/>
      <w:pgSz w:w="12240" w:h="15840"/>
      <w:pgMar w:top="1080" w:right="36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F7DD" w14:textId="77777777" w:rsidR="00FA3DF0" w:rsidRDefault="00E10FC8">
      <w:pPr>
        <w:spacing w:before="0"/>
      </w:pPr>
      <w:r>
        <w:separator/>
      </w:r>
    </w:p>
  </w:endnote>
  <w:endnote w:type="continuationSeparator" w:id="0">
    <w:p w14:paraId="1CA8375E" w14:textId="77777777" w:rsidR="00FA3DF0" w:rsidRDefault="00E10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A49D" w14:textId="77777777" w:rsidR="00FA3DF0" w:rsidRDefault="00E10FC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6B6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AB25" w14:textId="77777777" w:rsidR="00FA3DF0" w:rsidRDefault="00E10FC8">
      <w:pPr>
        <w:spacing w:before="0"/>
      </w:pPr>
      <w:r>
        <w:separator/>
      </w:r>
    </w:p>
  </w:footnote>
  <w:footnote w:type="continuationSeparator" w:id="0">
    <w:p w14:paraId="1C095938" w14:textId="77777777" w:rsidR="00FA3DF0" w:rsidRDefault="00E10F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266"/>
    <w:multiLevelType w:val="hybridMultilevel"/>
    <w:tmpl w:val="1A5C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F0CE8"/>
    <w:multiLevelType w:val="hybridMultilevel"/>
    <w:tmpl w:val="91C25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D02A0F"/>
    <w:multiLevelType w:val="hybridMultilevel"/>
    <w:tmpl w:val="47AC1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A50EF"/>
    <w:multiLevelType w:val="hybridMultilevel"/>
    <w:tmpl w:val="8D8EFBD0"/>
    <w:lvl w:ilvl="0" w:tplc="09B26D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617F2"/>
    <w:multiLevelType w:val="hybridMultilevel"/>
    <w:tmpl w:val="8612C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1F4FE3"/>
    <w:multiLevelType w:val="hybridMultilevel"/>
    <w:tmpl w:val="1842E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F6305EE"/>
    <w:multiLevelType w:val="hybridMultilevel"/>
    <w:tmpl w:val="028E3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751C"/>
    <w:rsid w:val="0031726D"/>
    <w:rsid w:val="00397417"/>
    <w:rsid w:val="003D3A52"/>
    <w:rsid w:val="0055081E"/>
    <w:rsid w:val="007D1DBA"/>
    <w:rsid w:val="00953D44"/>
    <w:rsid w:val="00AA2EED"/>
    <w:rsid w:val="00B80CE2"/>
    <w:rsid w:val="00DE6B67"/>
    <w:rsid w:val="00E10FC8"/>
    <w:rsid w:val="00FA3DF0"/>
    <w:rsid w:val="11DD751C"/>
    <w:rsid w:val="321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AD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953D44"/>
    <w:pPr>
      <w:spacing w:before="0" w:after="200" w:line="276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953D44"/>
    <w:pPr>
      <w:spacing w:before="0" w:after="200" w:line="276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nicole.johnson</dc:creator>
  <cp:lastModifiedBy>robert.paxson</cp:lastModifiedBy>
  <cp:revision>2</cp:revision>
  <cp:lastPrinted>2015-08-21T17:43:00Z</cp:lastPrinted>
  <dcterms:created xsi:type="dcterms:W3CDTF">2015-10-08T14:22:00Z</dcterms:created>
  <dcterms:modified xsi:type="dcterms:W3CDTF">2015-10-08T14:22:00Z</dcterms:modified>
</cp:coreProperties>
</file>