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3669B" w14:textId="77777777" w:rsidR="00F27468" w:rsidRDefault="00F27468" w:rsidP="00F27468">
      <w:pPr>
        <w:jc w:val="center"/>
        <w:rPr>
          <w:rFonts w:cs="Arial"/>
          <w:b/>
          <w:sz w:val="36"/>
          <w:szCs w:val="36"/>
        </w:rPr>
      </w:pPr>
    </w:p>
    <w:p w14:paraId="72940AB1" w14:textId="77777777" w:rsidR="00F27468" w:rsidRDefault="00F27468" w:rsidP="00F27468">
      <w:pPr>
        <w:jc w:val="center"/>
        <w:rPr>
          <w:rFonts w:cs="Arial"/>
          <w:b/>
          <w:sz w:val="36"/>
          <w:szCs w:val="36"/>
        </w:rPr>
      </w:pPr>
    </w:p>
    <w:p w14:paraId="346B25F5" w14:textId="77777777" w:rsidR="00F27468" w:rsidRDefault="00F27468" w:rsidP="00F27468">
      <w:pPr>
        <w:jc w:val="center"/>
        <w:rPr>
          <w:rFonts w:cs="Arial"/>
          <w:b/>
          <w:sz w:val="36"/>
          <w:szCs w:val="36"/>
        </w:rPr>
      </w:pPr>
    </w:p>
    <w:p w14:paraId="0D9BF303" w14:textId="77777777" w:rsidR="00F27468" w:rsidRDefault="00F27468" w:rsidP="00F27468">
      <w:pPr>
        <w:jc w:val="center"/>
        <w:rPr>
          <w:rFonts w:cs="Arial"/>
          <w:b/>
          <w:sz w:val="36"/>
          <w:szCs w:val="36"/>
        </w:rPr>
      </w:pPr>
    </w:p>
    <w:p w14:paraId="32C666C0" w14:textId="77777777" w:rsidR="00F27468" w:rsidRDefault="00F27468" w:rsidP="00F27468">
      <w:pPr>
        <w:jc w:val="center"/>
        <w:rPr>
          <w:rFonts w:cs="Arial"/>
          <w:b/>
          <w:sz w:val="36"/>
          <w:szCs w:val="36"/>
        </w:rPr>
      </w:pPr>
    </w:p>
    <w:p w14:paraId="0060911F" w14:textId="77777777" w:rsidR="00F27468" w:rsidRDefault="00F27468" w:rsidP="00F27468">
      <w:pPr>
        <w:jc w:val="center"/>
        <w:rPr>
          <w:rFonts w:cs="Arial"/>
          <w:b/>
          <w:sz w:val="36"/>
          <w:szCs w:val="36"/>
        </w:rPr>
      </w:pPr>
    </w:p>
    <w:p w14:paraId="13ABFCAD" w14:textId="0343E636" w:rsidR="00F27468" w:rsidRPr="007F6D1E" w:rsidRDefault="00F27468" w:rsidP="00F27468">
      <w:pPr>
        <w:jc w:val="center"/>
        <w:rPr>
          <w:rFonts w:asciiTheme="minorHAnsi" w:hAnsiTheme="minorHAnsi" w:cstheme="minorHAnsi"/>
          <w:b/>
          <w:sz w:val="48"/>
          <w:szCs w:val="36"/>
        </w:rPr>
      </w:pPr>
      <w:r w:rsidRPr="00A64337">
        <w:rPr>
          <w:rFonts w:asciiTheme="minorHAnsi" w:hAnsiTheme="minorHAnsi" w:cstheme="minorHAnsi"/>
          <w:b/>
          <w:sz w:val="48"/>
          <w:szCs w:val="36"/>
        </w:rPr>
        <w:t xml:space="preserve">CANCER INCIDENCE AND MORTALITY </w:t>
      </w:r>
      <w:r w:rsidRPr="00A64337">
        <w:rPr>
          <w:rFonts w:asciiTheme="minorHAnsi" w:hAnsiTheme="minorHAnsi" w:cstheme="minorHAnsi"/>
          <w:b/>
          <w:sz w:val="48"/>
          <w:szCs w:val="36"/>
        </w:rPr>
        <w:br/>
        <w:t xml:space="preserve">IN DELAWARE, </w:t>
      </w:r>
      <w:r w:rsidR="009E5A53" w:rsidRPr="007F6D1E">
        <w:rPr>
          <w:rFonts w:asciiTheme="minorHAnsi" w:hAnsiTheme="minorHAnsi" w:cstheme="minorHAnsi"/>
          <w:b/>
          <w:sz w:val="48"/>
          <w:szCs w:val="36"/>
        </w:rPr>
        <w:t>201</w:t>
      </w:r>
      <w:r w:rsidR="0051110B">
        <w:rPr>
          <w:rFonts w:asciiTheme="minorHAnsi" w:hAnsiTheme="minorHAnsi" w:cstheme="minorHAnsi"/>
          <w:b/>
          <w:sz w:val="48"/>
          <w:szCs w:val="36"/>
        </w:rPr>
        <w:t>7</w:t>
      </w:r>
      <w:r w:rsidRPr="007F6D1E">
        <w:rPr>
          <w:rFonts w:asciiTheme="minorHAnsi" w:hAnsiTheme="minorHAnsi" w:cstheme="minorHAnsi"/>
          <w:b/>
          <w:sz w:val="48"/>
          <w:szCs w:val="36"/>
        </w:rPr>
        <w:t>-20</w:t>
      </w:r>
      <w:r w:rsidR="00BC7ADF">
        <w:rPr>
          <w:rFonts w:asciiTheme="minorHAnsi" w:hAnsiTheme="minorHAnsi" w:cstheme="minorHAnsi"/>
          <w:b/>
          <w:sz w:val="48"/>
          <w:szCs w:val="36"/>
        </w:rPr>
        <w:t>2</w:t>
      </w:r>
      <w:r w:rsidR="0051110B">
        <w:rPr>
          <w:rFonts w:asciiTheme="minorHAnsi" w:hAnsiTheme="minorHAnsi" w:cstheme="minorHAnsi"/>
          <w:b/>
          <w:sz w:val="48"/>
          <w:szCs w:val="36"/>
        </w:rPr>
        <w:t>1</w:t>
      </w:r>
    </w:p>
    <w:p w14:paraId="480924FB" w14:textId="77777777" w:rsidR="00F27468" w:rsidRPr="007F6D1E" w:rsidRDefault="00F27468" w:rsidP="00F27468">
      <w:pPr>
        <w:spacing w:after="420"/>
        <w:jc w:val="center"/>
        <w:rPr>
          <w:rFonts w:asciiTheme="minorHAnsi" w:hAnsiTheme="minorHAnsi" w:cstheme="minorHAnsi"/>
          <w:b/>
          <w:sz w:val="24"/>
          <w:szCs w:val="24"/>
        </w:rPr>
      </w:pPr>
    </w:p>
    <w:p w14:paraId="21DC98DE" w14:textId="77777777" w:rsidR="00F27468" w:rsidRPr="007F6D1E" w:rsidRDefault="00F27468" w:rsidP="00F27468">
      <w:pPr>
        <w:spacing w:after="420"/>
        <w:jc w:val="center"/>
        <w:rPr>
          <w:rFonts w:asciiTheme="minorHAnsi" w:hAnsiTheme="minorHAnsi" w:cstheme="minorHAnsi"/>
          <w:b/>
          <w:sz w:val="24"/>
          <w:szCs w:val="24"/>
        </w:rPr>
      </w:pPr>
    </w:p>
    <w:p w14:paraId="26E146FB" w14:textId="78369CD2" w:rsidR="00F27468" w:rsidRPr="007F6D1E" w:rsidRDefault="00F27468" w:rsidP="00F27468">
      <w:pPr>
        <w:pStyle w:val="NoSpacing"/>
        <w:jc w:val="center"/>
        <w:rPr>
          <w:rFonts w:asciiTheme="minorHAnsi" w:hAnsiTheme="minorHAnsi" w:cstheme="minorHAnsi"/>
          <w:sz w:val="32"/>
        </w:rPr>
      </w:pPr>
      <w:r w:rsidRPr="007F6D1E">
        <w:rPr>
          <w:rFonts w:asciiTheme="minorHAnsi" w:hAnsiTheme="minorHAnsi" w:cstheme="minorHAnsi"/>
          <w:sz w:val="32"/>
        </w:rPr>
        <w:t xml:space="preserve">DELAWARE </w:t>
      </w:r>
      <w:r w:rsidR="00037304" w:rsidRPr="007F6D1E">
        <w:rPr>
          <w:rFonts w:asciiTheme="minorHAnsi" w:hAnsiTheme="minorHAnsi" w:cstheme="minorHAnsi"/>
          <w:sz w:val="32"/>
        </w:rPr>
        <w:t xml:space="preserve">DEPARTMENT OF </w:t>
      </w:r>
      <w:r w:rsidRPr="007F6D1E">
        <w:rPr>
          <w:rFonts w:asciiTheme="minorHAnsi" w:hAnsiTheme="minorHAnsi" w:cstheme="minorHAnsi"/>
          <w:sz w:val="32"/>
        </w:rPr>
        <w:t>HEALTH AND SOCIAL SERVICES</w:t>
      </w:r>
    </w:p>
    <w:p w14:paraId="2B6CC5DB" w14:textId="77777777" w:rsidR="00F27468" w:rsidRPr="007F6D1E" w:rsidRDefault="00F27468" w:rsidP="00F27468">
      <w:pPr>
        <w:pStyle w:val="NoSpacing"/>
        <w:jc w:val="center"/>
        <w:rPr>
          <w:rFonts w:asciiTheme="minorHAnsi" w:hAnsiTheme="minorHAnsi" w:cstheme="minorHAnsi"/>
          <w:sz w:val="32"/>
        </w:rPr>
      </w:pPr>
      <w:r w:rsidRPr="007F6D1E">
        <w:rPr>
          <w:rFonts w:asciiTheme="minorHAnsi" w:hAnsiTheme="minorHAnsi" w:cstheme="minorHAnsi"/>
          <w:sz w:val="32"/>
        </w:rPr>
        <w:t>DIVISION OF PUBLIC HEALTH</w:t>
      </w:r>
    </w:p>
    <w:p w14:paraId="06EF1EA8" w14:textId="5245921A" w:rsidR="00F27468" w:rsidRPr="00A64337" w:rsidRDefault="009E5A53" w:rsidP="00F27468">
      <w:pPr>
        <w:pStyle w:val="NoSpacing"/>
        <w:jc w:val="center"/>
        <w:rPr>
          <w:rFonts w:asciiTheme="minorHAnsi" w:hAnsiTheme="minorHAnsi" w:cstheme="minorHAnsi"/>
          <w:sz w:val="32"/>
        </w:rPr>
      </w:pPr>
      <w:r w:rsidRPr="007F6D1E">
        <w:rPr>
          <w:rFonts w:asciiTheme="minorHAnsi" w:hAnsiTheme="minorHAnsi" w:cstheme="minorHAnsi"/>
          <w:sz w:val="32"/>
        </w:rPr>
        <w:t>202</w:t>
      </w:r>
      <w:r w:rsidR="00A10F1B">
        <w:rPr>
          <w:rFonts w:asciiTheme="minorHAnsi" w:hAnsiTheme="minorHAnsi" w:cstheme="minorHAnsi"/>
          <w:sz w:val="32"/>
        </w:rPr>
        <w:t>4</w:t>
      </w:r>
    </w:p>
    <w:p w14:paraId="1E77BA12" w14:textId="77777777" w:rsidR="00F27468" w:rsidRDefault="00F27468" w:rsidP="00F27468">
      <w:pPr>
        <w:spacing w:after="420"/>
        <w:jc w:val="center"/>
        <w:rPr>
          <w:rFonts w:cs="Arial"/>
          <w:b/>
          <w:sz w:val="24"/>
          <w:szCs w:val="24"/>
        </w:rPr>
      </w:pPr>
    </w:p>
    <w:p w14:paraId="722A105D" w14:textId="77777777" w:rsidR="00F27468" w:rsidRDefault="00F27468" w:rsidP="00F27468">
      <w:pPr>
        <w:spacing w:after="420"/>
        <w:jc w:val="center"/>
        <w:rPr>
          <w:rFonts w:cs="Arial"/>
          <w:b/>
          <w:sz w:val="24"/>
          <w:szCs w:val="24"/>
        </w:rPr>
      </w:pPr>
    </w:p>
    <w:p w14:paraId="52C2B918" w14:textId="77777777" w:rsidR="00F27468" w:rsidRDefault="00F27468" w:rsidP="00F27468">
      <w:pPr>
        <w:spacing w:after="420"/>
        <w:jc w:val="center"/>
        <w:rPr>
          <w:rFonts w:cs="Arial"/>
          <w:b/>
          <w:sz w:val="24"/>
          <w:szCs w:val="24"/>
        </w:rPr>
      </w:pPr>
    </w:p>
    <w:p w14:paraId="1343AA8F" w14:textId="77777777" w:rsidR="00F27468" w:rsidRDefault="00F27468" w:rsidP="00F27468">
      <w:pPr>
        <w:spacing w:after="420"/>
        <w:jc w:val="center"/>
        <w:rPr>
          <w:rFonts w:cs="Arial"/>
          <w:b/>
          <w:sz w:val="24"/>
          <w:szCs w:val="24"/>
        </w:rPr>
      </w:pPr>
    </w:p>
    <w:p w14:paraId="25F2E573" w14:textId="77777777" w:rsidR="00F27468" w:rsidRDefault="00F27468" w:rsidP="00F27468">
      <w:pPr>
        <w:spacing w:after="420"/>
        <w:jc w:val="center"/>
        <w:rPr>
          <w:rFonts w:cs="Arial"/>
          <w:b/>
          <w:sz w:val="24"/>
          <w:szCs w:val="24"/>
        </w:rPr>
      </w:pPr>
    </w:p>
    <w:p w14:paraId="72593AC6" w14:textId="77777777" w:rsidR="00F27468" w:rsidRPr="00A650BF" w:rsidRDefault="00F27468" w:rsidP="00F27468">
      <w:pPr>
        <w:spacing w:after="420"/>
        <w:jc w:val="center"/>
        <w:rPr>
          <w:rFonts w:cs="Arial"/>
          <w:b/>
          <w:sz w:val="24"/>
          <w:szCs w:val="24"/>
        </w:rPr>
      </w:pPr>
      <w:r>
        <w:rPr>
          <w:rFonts w:cs="Arial"/>
          <w:b/>
          <w:noProof/>
          <w:sz w:val="24"/>
          <w:szCs w:val="24"/>
        </w:rPr>
        <w:drawing>
          <wp:inline distT="0" distB="0" distL="0" distR="0" wp14:anchorId="6B7FF467" wp14:editId="3A52C11C">
            <wp:extent cx="4063041" cy="657329"/>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78920" cy="692255"/>
                    </a:xfrm>
                    <a:prstGeom prst="rect">
                      <a:avLst/>
                    </a:prstGeom>
                    <a:noFill/>
                    <a:ln>
                      <a:noFill/>
                    </a:ln>
                  </pic:spPr>
                </pic:pic>
              </a:graphicData>
            </a:graphic>
          </wp:inline>
        </w:drawing>
      </w:r>
    </w:p>
    <w:p w14:paraId="6430C180" w14:textId="77777777" w:rsidR="00F27468" w:rsidRDefault="00F27468" w:rsidP="00F27468">
      <w:pPr>
        <w:spacing w:after="420"/>
        <w:jc w:val="center"/>
        <w:rPr>
          <w:rFonts w:cs="Arial"/>
          <w:b/>
          <w:sz w:val="24"/>
          <w:szCs w:val="24"/>
        </w:rPr>
        <w:sectPr w:rsidR="00F27468" w:rsidSect="004F750D">
          <w:footerReference w:type="default" r:id="rId12"/>
          <w:headerReference w:type="first" r:id="rId13"/>
          <w:pgSz w:w="12240" w:h="15840" w:code="1"/>
          <w:pgMar w:top="1008" w:right="1080" w:bottom="864" w:left="1267" w:header="720" w:footer="576" w:gutter="0"/>
          <w:cols w:space="720"/>
          <w:titlePg/>
          <w:docGrid w:linePitch="360"/>
        </w:sectPr>
      </w:pPr>
    </w:p>
    <w:p w14:paraId="3D7C4A34" w14:textId="77777777" w:rsidR="00F27468" w:rsidRDefault="00F27468" w:rsidP="00F27468"/>
    <w:p w14:paraId="64378CA6" w14:textId="77777777" w:rsidR="00F27468" w:rsidRDefault="00F27468" w:rsidP="00F27468"/>
    <w:p w14:paraId="421B9B64" w14:textId="77777777" w:rsidR="00F27468" w:rsidRDefault="00F27468" w:rsidP="00F27468"/>
    <w:p w14:paraId="38251210" w14:textId="77777777" w:rsidR="00F27468" w:rsidRDefault="00F27468" w:rsidP="00F27468"/>
    <w:p w14:paraId="0132B546" w14:textId="77777777" w:rsidR="00F27468" w:rsidRDefault="00F27468" w:rsidP="00F27468">
      <w:pPr>
        <w:jc w:val="center"/>
      </w:pPr>
      <w:r w:rsidRPr="00C40AAA">
        <w:rPr>
          <w:noProof/>
        </w:rPr>
        <w:drawing>
          <wp:inline distT="0" distB="0" distL="0" distR="0" wp14:anchorId="16543AAF" wp14:editId="385C0160">
            <wp:extent cx="1181100" cy="2362200"/>
            <wp:effectExtent l="0" t="0" r="0" b="0"/>
            <wp:docPr id="43" name="Picture 43" descr="C:\Documents and Settings\judy.walrath\Local Settings\Temporary Internet Files\Content.Word\dc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judy.walrath\Local Settings\Temporary Internet Files\Content.Word\dcc_logo.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181100" cy="2362200"/>
                    </a:xfrm>
                    <a:prstGeom prst="rect">
                      <a:avLst/>
                    </a:prstGeom>
                    <a:noFill/>
                    <a:ln>
                      <a:noFill/>
                    </a:ln>
                  </pic:spPr>
                </pic:pic>
              </a:graphicData>
            </a:graphic>
          </wp:inline>
        </w:drawing>
      </w:r>
    </w:p>
    <w:p w14:paraId="11610085" w14:textId="77777777" w:rsidR="00F27468" w:rsidRDefault="00F27468" w:rsidP="00F27468"/>
    <w:p w14:paraId="515DA9BC" w14:textId="77777777" w:rsidR="00F27468" w:rsidRPr="00A64337" w:rsidRDefault="00F27468" w:rsidP="00F27468">
      <w:pPr>
        <w:autoSpaceDE w:val="0"/>
        <w:autoSpaceDN w:val="0"/>
        <w:adjustRightInd w:val="0"/>
        <w:jc w:val="center"/>
        <w:rPr>
          <w:rFonts w:asciiTheme="minorHAnsi" w:hAnsiTheme="minorHAnsi" w:cstheme="minorHAnsi"/>
          <w:sz w:val="28"/>
        </w:rPr>
      </w:pPr>
      <w:r w:rsidRPr="00A64337">
        <w:rPr>
          <w:rFonts w:asciiTheme="minorHAnsi" w:hAnsiTheme="minorHAnsi" w:cstheme="minorHAnsi"/>
          <w:sz w:val="28"/>
        </w:rPr>
        <w:t xml:space="preserve">This report is made possible with funding from the Delaware Health Fund, with </w:t>
      </w:r>
      <w:r w:rsidRPr="00A64337">
        <w:rPr>
          <w:rFonts w:asciiTheme="minorHAnsi" w:hAnsiTheme="minorHAnsi" w:cstheme="minorHAnsi"/>
          <w:sz w:val="28"/>
        </w:rPr>
        <w:br/>
        <w:t>strategic leadership and guidance provided by the Delaware Cancer Consortium.</w:t>
      </w:r>
    </w:p>
    <w:p w14:paraId="11457837" w14:textId="77777777" w:rsidR="00F27468" w:rsidRPr="00C55E3C" w:rsidRDefault="00F27468" w:rsidP="00F27468">
      <w:pPr>
        <w:pStyle w:val="CommentText"/>
        <w:spacing w:after="0"/>
        <w:jc w:val="center"/>
        <w:rPr>
          <w:sz w:val="28"/>
          <w:szCs w:val="28"/>
        </w:rPr>
      </w:pPr>
      <w:r w:rsidRPr="00C55E3C">
        <w:rPr>
          <w:sz w:val="28"/>
          <w:szCs w:val="28"/>
        </w:rPr>
        <w:t xml:space="preserve">This report was prepared by the Delaware Department of Health and Social Services, Division of Public Health, Comprehensive Cancer Control Program.  </w:t>
      </w:r>
    </w:p>
    <w:p w14:paraId="312188C8" w14:textId="77777777" w:rsidR="00F27468" w:rsidRPr="00C55E3C" w:rsidRDefault="00F27468" w:rsidP="00F27468">
      <w:pPr>
        <w:pStyle w:val="CommentText"/>
        <w:spacing w:after="0"/>
        <w:rPr>
          <w:sz w:val="28"/>
          <w:szCs w:val="28"/>
        </w:rPr>
      </w:pPr>
    </w:p>
    <w:p w14:paraId="6E894056" w14:textId="48E45855" w:rsidR="00F27468" w:rsidRPr="00C55E3C" w:rsidRDefault="00F27468" w:rsidP="00F27468">
      <w:pPr>
        <w:pStyle w:val="CommentText"/>
        <w:spacing w:after="0"/>
        <w:jc w:val="center"/>
        <w:rPr>
          <w:sz w:val="28"/>
          <w:szCs w:val="28"/>
        </w:rPr>
      </w:pPr>
      <w:r w:rsidRPr="00C55E3C">
        <w:rPr>
          <w:sz w:val="28"/>
          <w:szCs w:val="28"/>
        </w:rPr>
        <w:t>For more information, contact:</w:t>
      </w:r>
    </w:p>
    <w:p w14:paraId="227621B9" w14:textId="77777777" w:rsidR="00F27468" w:rsidRPr="00C55E3C" w:rsidRDefault="00F27468" w:rsidP="00F27468">
      <w:pPr>
        <w:pStyle w:val="CommentText"/>
        <w:spacing w:after="0"/>
        <w:jc w:val="center"/>
        <w:rPr>
          <w:sz w:val="28"/>
          <w:szCs w:val="28"/>
        </w:rPr>
      </w:pPr>
      <w:r w:rsidRPr="00C55E3C">
        <w:rPr>
          <w:sz w:val="28"/>
          <w:szCs w:val="28"/>
        </w:rPr>
        <w:t>Delaware Comprehensive Cancer Program</w:t>
      </w:r>
    </w:p>
    <w:p w14:paraId="28F88110" w14:textId="77777777" w:rsidR="00F27468" w:rsidRPr="00C55E3C" w:rsidRDefault="00F27468" w:rsidP="00F27468">
      <w:pPr>
        <w:pStyle w:val="CommentText"/>
        <w:spacing w:after="0"/>
        <w:jc w:val="center"/>
        <w:rPr>
          <w:sz w:val="28"/>
          <w:szCs w:val="28"/>
        </w:rPr>
      </w:pPr>
      <w:r w:rsidRPr="00C55E3C">
        <w:rPr>
          <w:sz w:val="28"/>
          <w:szCs w:val="28"/>
        </w:rPr>
        <w:t>Division of Public Health</w:t>
      </w:r>
    </w:p>
    <w:p w14:paraId="607C07E5" w14:textId="77777777" w:rsidR="00F27468" w:rsidRPr="00C55E3C" w:rsidRDefault="00F27468" w:rsidP="00F27468">
      <w:pPr>
        <w:pStyle w:val="CommentText"/>
        <w:spacing w:after="0"/>
        <w:jc w:val="center"/>
        <w:rPr>
          <w:sz w:val="28"/>
          <w:szCs w:val="28"/>
        </w:rPr>
      </w:pPr>
      <w:r w:rsidRPr="00C55E3C">
        <w:rPr>
          <w:sz w:val="28"/>
          <w:szCs w:val="28"/>
        </w:rPr>
        <w:t>Thomas Collins Building, Suite 11</w:t>
      </w:r>
    </w:p>
    <w:p w14:paraId="1147C82B" w14:textId="77777777" w:rsidR="00F27468" w:rsidRPr="00C55E3C" w:rsidRDefault="00F27468" w:rsidP="00F27468">
      <w:pPr>
        <w:pStyle w:val="CommentText"/>
        <w:spacing w:after="0"/>
        <w:jc w:val="center"/>
        <w:rPr>
          <w:sz w:val="28"/>
          <w:szCs w:val="28"/>
        </w:rPr>
      </w:pPr>
      <w:r w:rsidRPr="00C55E3C">
        <w:rPr>
          <w:sz w:val="28"/>
          <w:szCs w:val="28"/>
        </w:rPr>
        <w:t>540 S. DuPont Highway</w:t>
      </w:r>
    </w:p>
    <w:p w14:paraId="09D6C349" w14:textId="77777777" w:rsidR="00F27468" w:rsidRPr="00C55E3C" w:rsidRDefault="00F27468" w:rsidP="00F27468">
      <w:pPr>
        <w:pStyle w:val="CommentText"/>
        <w:spacing w:after="0"/>
        <w:jc w:val="center"/>
        <w:rPr>
          <w:sz w:val="28"/>
          <w:szCs w:val="28"/>
        </w:rPr>
      </w:pPr>
      <w:r w:rsidRPr="00C55E3C">
        <w:rPr>
          <w:sz w:val="28"/>
          <w:szCs w:val="28"/>
        </w:rPr>
        <w:t>Dover, DE  19901</w:t>
      </w:r>
    </w:p>
    <w:p w14:paraId="0F0E7AB3" w14:textId="6E69D2DB" w:rsidR="00F27468" w:rsidRPr="00C55E3C" w:rsidRDefault="00F27468" w:rsidP="00F27468">
      <w:pPr>
        <w:pStyle w:val="CommentText"/>
        <w:spacing w:after="0"/>
        <w:jc w:val="center"/>
        <w:rPr>
          <w:sz w:val="28"/>
          <w:szCs w:val="28"/>
        </w:rPr>
      </w:pPr>
      <w:r>
        <w:rPr>
          <w:sz w:val="28"/>
          <w:szCs w:val="28"/>
        </w:rPr>
        <w:t xml:space="preserve">Phone: </w:t>
      </w:r>
      <w:r w:rsidRPr="00C55E3C">
        <w:rPr>
          <w:sz w:val="28"/>
          <w:szCs w:val="28"/>
        </w:rPr>
        <w:t>302-744-</w:t>
      </w:r>
      <w:r>
        <w:rPr>
          <w:sz w:val="28"/>
          <w:szCs w:val="28"/>
        </w:rPr>
        <w:t>10</w:t>
      </w:r>
      <w:r w:rsidR="00ED3B77">
        <w:rPr>
          <w:sz w:val="28"/>
          <w:szCs w:val="28"/>
        </w:rPr>
        <w:t>2</w:t>
      </w:r>
      <w:r>
        <w:rPr>
          <w:sz w:val="28"/>
          <w:szCs w:val="28"/>
        </w:rPr>
        <w:t>0</w:t>
      </w:r>
    </w:p>
    <w:p w14:paraId="3985DAD4" w14:textId="77777777" w:rsidR="00F27468" w:rsidRPr="00C55E3C" w:rsidRDefault="00F27468" w:rsidP="00F27468">
      <w:pPr>
        <w:pStyle w:val="CommentText"/>
        <w:spacing w:after="0"/>
        <w:jc w:val="center"/>
        <w:rPr>
          <w:sz w:val="28"/>
          <w:szCs w:val="28"/>
        </w:rPr>
      </w:pPr>
      <w:r w:rsidRPr="00C55E3C">
        <w:rPr>
          <w:sz w:val="28"/>
          <w:szCs w:val="28"/>
        </w:rPr>
        <w:t>Fax:  302-</w:t>
      </w:r>
      <w:r>
        <w:rPr>
          <w:sz w:val="28"/>
          <w:szCs w:val="28"/>
        </w:rPr>
        <w:t>739-2545</w:t>
      </w:r>
    </w:p>
    <w:p w14:paraId="2F8D1A3B" w14:textId="77777777" w:rsidR="00C66177" w:rsidRDefault="00DE7D6A" w:rsidP="007E256D">
      <w:pPr>
        <w:spacing w:after="0" w:line="240" w:lineRule="auto"/>
        <w:jc w:val="center"/>
        <w:rPr>
          <w:rStyle w:val="Hyperlink"/>
          <w:rFonts w:asciiTheme="minorHAnsi" w:hAnsiTheme="minorHAnsi" w:cstheme="minorHAnsi"/>
          <w:color w:val="0033CC"/>
          <w:sz w:val="28"/>
          <w:szCs w:val="28"/>
        </w:rPr>
      </w:pPr>
      <w:hyperlink r:id="rId15" w:history="1">
        <w:r w:rsidR="003E3D05" w:rsidRPr="006D51FB">
          <w:rPr>
            <w:rStyle w:val="Hyperlink"/>
            <w:rFonts w:asciiTheme="minorHAnsi" w:hAnsiTheme="minorHAnsi" w:cstheme="minorHAnsi"/>
            <w:color w:val="0033CC"/>
            <w:sz w:val="28"/>
            <w:szCs w:val="28"/>
          </w:rPr>
          <w:t>http://www.dhss.delaware.gov/dhss/dph/dpc/cancer.html</w:t>
        </w:r>
      </w:hyperlink>
    </w:p>
    <w:p w14:paraId="102E96AD" w14:textId="77777777" w:rsidR="00D52B01" w:rsidRDefault="00D52B01" w:rsidP="007E256D">
      <w:pPr>
        <w:spacing w:after="0" w:line="240" w:lineRule="auto"/>
        <w:jc w:val="center"/>
        <w:rPr>
          <w:rStyle w:val="Hyperlink"/>
          <w:rFonts w:asciiTheme="minorHAnsi" w:hAnsiTheme="minorHAnsi" w:cstheme="minorHAnsi"/>
          <w:color w:val="0033CC"/>
          <w:sz w:val="28"/>
          <w:szCs w:val="28"/>
        </w:rPr>
      </w:pPr>
    </w:p>
    <w:p w14:paraId="27554285" w14:textId="42B12F6E" w:rsidR="00D52B01" w:rsidRPr="00D52B01" w:rsidRDefault="00D52B01">
      <w:pPr>
        <w:rPr>
          <w:rFonts w:asciiTheme="minorHAnsi" w:hAnsiTheme="minorHAnsi" w:cstheme="minorHAnsi"/>
          <w:color w:val="0033CC"/>
          <w:sz w:val="28"/>
          <w:szCs w:val="28"/>
          <w:u w:val="single"/>
        </w:rPr>
      </w:pPr>
      <w:r>
        <w:rPr>
          <w:rStyle w:val="Hyperlink"/>
          <w:rFonts w:asciiTheme="minorHAnsi" w:hAnsiTheme="minorHAnsi" w:cstheme="minorHAnsi"/>
          <w:color w:val="0033CC"/>
          <w:sz w:val="28"/>
          <w:szCs w:val="28"/>
        </w:rPr>
        <w:br w:type="page"/>
      </w:r>
    </w:p>
    <w:p w14:paraId="471FD86B" w14:textId="77777777" w:rsidR="00D52B01" w:rsidRPr="00CE3F54" w:rsidRDefault="00D52B01" w:rsidP="00D52B01">
      <w:pPr>
        <w:pStyle w:val="Heading1"/>
        <w:spacing w:line="240" w:lineRule="auto"/>
        <w:rPr>
          <w:rFonts w:asciiTheme="minorHAnsi" w:hAnsiTheme="minorHAnsi"/>
        </w:rPr>
      </w:pPr>
      <w:bookmarkStart w:id="0" w:name="_Toc179276348"/>
      <w:r>
        <w:rPr>
          <w:rFonts w:asciiTheme="minorHAnsi" w:hAnsiTheme="minorHAnsi"/>
        </w:rPr>
        <w:lastRenderedPageBreak/>
        <w:t>Table of Contents</w:t>
      </w:r>
      <w:bookmarkEnd w:id="0"/>
    </w:p>
    <w:p w14:paraId="533B291E" w14:textId="796EB80F" w:rsidR="00E5102D" w:rsidRDefault="00D52B01">
      <w:pPr>
        <w:pStyle w:val="TOC1"/>
        <w:rPr>
          <w:rFonts w:asciiTheme="minorHAnsi" w:eastAsiaTheme="minorEastAsia" w:hAnsiTheme="minorHAnsi" w:cstheme="minorBidi"/>
          <w:noProof/>
          <w:kern w:val="2"/>
          <w:sz w:val="24"/>
          <w:szCs w:val="24"/>
          <w14:ligatures w14:val="standardContextual"/>
        </w:rPr>
      </w:pPr>
      <w:r>
        <w:rPr>
          <w:b/>
          <w:caps/>
        </w:rPr>
        <w:fldChar w:fldCharType="begin"/>
      </w:r>
      <w:r>
        <w:rPr>
          <w:b/>
          <w:caps/>
        </w:rPr>
        <w:instrText xml:space="preserve"> TOC \o "1-1" \u </w:instrText>
      </w:r>
      <w:r>
        <w:rPr>
          <w:b/>
          <w:caps/>
        </w:rPr>
        <w:fldChar w:fldCharType="separate"/>
      </w:r>
      <w:r w:rsidR="00E5102D" w:rsidRPr="00165AB8">
        <w:rPr>
          <w:rFonts w:asciiTheme="minorHAnsi" w:hAnsiTheme="minorHAnsi"/>
          <w:noProof/>
        </w:rPr>
        <w:t>Executive Summary</w:t>
      </w:r>
      <w:r w:rsidR="00E5102D">
        <w:rPr>
          <w:noProof/>
        </w:rPr>
        <w:tab/>
      </w:r>
      <w:r w:rsidR="00E5102D">
        <w:rPr>
          <w:noProof/>
        </w:rPr>
        <w:fldChar w:fldCharType="begin"/>
      </w:r>
      <w:r w:rsidR="00E5102D">
        <w:rPr>
          <w:noProof/>
        </w:rPr>
        <w:instrText xml:space="preserve"> PAGEREF _Toc179276349 \h </w:instrText>
      </w:r>
      <w:r w:rsidR="00E5102D">
        <w:rPr>
          <w:noProof/>
        </w:rPr>
      </w:r>
      <w:r w:rsidR="00E5102D">
        <w:rPr>
          <w:noProof/>
        </w:rPr>
        <w:fldChar w:fldCharType="separate"/>
      </w:r>
      <w:r w:rsidR="00875047">
        <w:rPr>
          <w:noProof/>
        </w:rPr>
        <w:t>3</w:t>
      </w:r>
      <w:r w:rsidR="00E5102D">
        <w:rPr>
          <w:noProof/>
        </w:rPr>
        <w:fldChar w:fldCharType="end"/>
      </w:r>
    </w:p>
    <w:p w14:paraId="1FA54169" w14:textId="0DC25698" w:rsidR="00E5102D" w:rsidRDefault="00E5102D">
      <w:pPr>
        <w:pStyle w:val="TOC1"/>
        <w:rPr>
          <w:rFonts w:asciiTheme="minorHAnsi" w:eastAsiaTheme="minorEastAsia" w:hAnsiTheme="minorHAnsi" w:cstheme="minorBidi"/>
          <w:noProof/>
          <w:kern w:val="2"/>
          <w:sz w:val="24"/>
          <w:szCs w:val="24"/>
          <w14:ligatures w14:val="standardContextual"/>
        </w:rPr>
      </w:pPr>
      <w:r w:rsidRPr="00165AB8">
        <w:rPr>
          <w:rFonts w:asciiTheme="minorHAnsi" w:hAnsiTheme="minorHAnsi"/>
          <w:noProof/>
        </w:rPr>
        <w:t>Chapter 1: Introduction</w:t>
      </w:r>
      <w:r>
        <w:rPr>
          <w:noProof/>
        </w:rPr>
        <w:tab/>
      </w:r>
      <w:r>
        <w:rPr>
          <w:noProof/>
        </w:rPr>
        <w:fldChar w:fldCharType="begin"/>
      </w:r>
      <w:r>
        <w:rPr>
          <w:noProof/>
        </w:rPr>
        <w:instrText xml:space="preserve"> PAGEREF _Toc179276350 \h </w:instrText>
      </w:r>
      <w:r>
        <w:rPr>
          <w:noProof/>
        </w:rPr>
      </w:r>
      <w:r>
        <w:rPr>
          <w:noProof/>
        </w:rPr>
        <w:fldChar w:fldCharType="separate"/>
      </w:r>
      <w:r w:rsidR="00875047">
        <w:rPr>
          <w:noProof/>
        </w:rPr>
        <w:t>6</w:t>
      </w:r>
      <w:r>
        <w:rPr>
          <w:noProof/>
        </w:rPr>
        <w:fldChar w:fldCharType="end"/>
      </w:r>
    </w:p>
    <w:p w14:paraId="21CB26FF" w14:textId="2E765C9A" w:rsidR="00E5102D" w:rsidRDefault="00E5102D">
      <w:pPr>
        <w:pStyle w:val="TOC1"/>
        <w:rPr>
          <w:rFonts w:asciiTheme="minorHAnsi" w:eastAsiaTheme="minorEastAsia" w:hAnsiTheme="minorHAnsi" w:cstheme="minorBidi"/>
          <w:noProof/>
          <w:kern w:val="2"/>
          <w:sz w:val="24"/>
          <w:szCs w:val="24"/>
          <w14:ligatures w14:val="standardContextual"/>
        </w:rPr>
      </w:pPr>
      <w:r w:rsidRPr="00165AB8">
        <w:rPr>
          <w:rFonts w:asciiTheme="minorHAnsi" w:hAnsiTheme="minorHAnsi"/>
          <w:noProof/>
        </w:rPr>
        <w:t>Chapter 2: All-Site Cancer</w:t>
      </w:r>
      <w:r>
        <w:rPr>
          <w:noProof/>
        </w:rPr>
        <w:tab/>
      </w:r>
      <w:r>
        <w:rPr>
          <w:noProof/>
        </w:rPr>
        <w:fldChar w:fldCharType="begin"/>
      </w:r>
      <w:r>
        <w:rPr>
          <w:noProof/>
        </w:rPr>
        <w:instrText xml:space="preserve"> PAGEREF _Toc179276351 \h </w:instrText>
      </w:r>
      <w:r>
        <w:rPr>
          <w:noProof/>
        </w:rPr>
      </w:r>
      <w:r>
        <w:rPr>
          <w:noProof/>
        </w:rPr>
        <w:fldChar w:fldCharType="separate"/>
      </w:r>
      <w:r w:rsidR="00875047">
        <w:rPr>
          <w:noProof/>
        </w:rPr>
        <w:t>12</w:t>
      </w:r>
      <w:r>
        <w:rPr>
          <w:noProof/>
        </w:rPr>
        <w:fldChar w:fldCharType="end"/>
      </w:r>
    </w:p>
    <w:p w14:paraId="09A3D3EA" w14:textId="4B071F4C" w:rsidR="00E5102D" w:rsidRDefault="00E5102D">
      <w:pPr>
        <w:pStyle w:val="TOC1"/>
        <w:rPr>
          <w:rFonts w:asciiTheme="minorHAnsi" w:eastAsiaTheme="minorEastAsia" w:hAnsiTheme="minorHAnsi" w:cstheme="minorBidi"/>
          <w:noProof/>
          <w:kern w:val="2"/>
          <w:sz w:val="24"/>
          <w:szCs w:val="24"/>
          <w14:ligatures w14:val="standardContextual"/>
        </w:rPr>
      </w:pPr>
      <w:r w:rsidRPr="00165AB8">
        <w:rPr>
          <w:rFonts w:asciiTheme="minorHAnsi" w:hAnsiTheme="minorHAnsi" w:cstheme="minorHAnsi"/>
          <w:noProof/>
        </w:rPr>
        <w:t>Chapter 3: Site-Specific Cancer</w:t>
      </w:r>
      <w:r>
        <w:rPr>
          <w:noProof/>
        </w:rPr>
        <w:tab/>
      </w:r>
      <w:r>
        <w:rPr>
          <w:noProof/>
        </w:rPr>
        <w:fldChar w:fldCharType="begin"/>
      </w:r>
      <w:r>
        <w:rPr>
          <w:noProof/>
        </w:rPr>
        <w:instrText xml:space="preserve"> PAGEREF _Toc179276352 \h </w:instrText>
      </w:r>
      <w:r>
        <w:rPr>
          <w:noProof/>
        </w:rPr>
      </w:r>
      <w:r>
        <w:rPr>
          <w:noProof/>
        </w:rPr>
        <w:fldChar w:fldCharType="separate"/>
      </w:r>
      <w:r w:rsidR="00875047">
        <w:rPr>
          <w:noProof/>
        </w:rPr>
        <w:t>30</w:t>
      </w:r>
      <w:r>
        <w:rPr>
          <w:noProof/>
        </w:rPr>
        <w:fldChar w:fldCharType="end"/>
      </w:r>
    </w:p>
    <w:p w14:paraId="6D05723A" w14:textId="58EFFC61" w:rsidR="00E5102D" w:rsidRDefault="00E5102D">
      <w:pPr>
        <w:pStyle w:val="TOC1"/>
        <w:rPr>
          <w:rFonts w:asciiTheme="minorHAnsi" w:eastAsiaTheme="minorEastAsia" w:hAnsiTheme="minorHAnsi" w:cstheme="minorBidi"/>
          <w:noProof/>
          <w:kern w:val="2"/>
          <w:sz w:val="24"/>
          <w:szCs w:val="24"/>
          <w14:ligatures w14:val="standardContextual"/>
        </w:rPr>
      </w:pPr>
      <w:r w:rsidRPr="00165AB8">
        <w:rPr>
          <w:rFonts w:asciiTheme="minorHAnsi" w:hAnsiTheme="minorHAnsi"/>
          <w:noProof/>
          <w14:scene3d>
            <w14:camera w14:prst="orthographicFront"/>
            <w14:lightRig w14:rig="threePt" w14:dir="t">
              <w14:rot w14:lat="0" w14:lon="0" w14:rev="0"/>
            </w14:lightRig>
          </w14:scene3d>
        </w:rPr>
        <w:t>Appendix A:</w:t>
      </w:r>
      <w:r w:rsidRPr="00165AB8">
        <w:rPr>
          <w:rFonts w:asciiTheme="minorHAnsi" w:hAnsiTheme="minorHAnsi"/>
          <w:noProof/>
        </w:rPr>
        <w:t xml:space="preserve"> Data Sources and Methodology</w:t>
      </w:r>
      <w:r>
        <w:rPr>
          <w:noProof/>
        </w:rPr>
        <w:tab/>
      </w:r>
      <w:r>
        <w:rPr>
          <w:noProof/>
        </w:rPr>
        <w:fldChar w:fldCharType="begin"/>
      </w:r>
      <w:r>
        <w:rPr>
          <w:noProof/>
        </w:rPr>
        <w:instrText xml:space="preserve"> PAGEREF _Toc179276353 \h </w:instrText>
      </w:r>
      <w:r>
        <w:rPr>
          <w:noProof/>
        </w:rPr>
      </w:r>
      <w:r>
        <w:rPr>
          <w:noProof/>
        </w:rPr>
        <w:fldChar w:fldCharType="separate"/>
      </w:r>
      <w:r w:rsidR="00875047">
        <w:rPr>
          <w:noProof/>
        </w:rPr>
        <w:t>44</w:t>
      </w:r>
      <w:r>
        <w:rPr>
          <w:noProof/>
        </w:rPr>
        <w:fldChar w:fldCharType="end"/>
      </w:r>
    </w:p>
    <w:p w14:paraId="04FBFA15" w14:textId="0919B05B" w:rsidR="00E5102D" w:rsidRDefault="00E5102D">
      <w:pPr>
        <w:pStyle w:val="TOC1"/>
        <w:rPr>
          <w:rFonts w:asciiTheme="minorHAnsi" w:eastAsiaTheme="minorEastAsia" w:hAnsiTheme="minorHAnsi" w:cstheme="minorBidi"/>
          <w:noProof/>
          <w:kern w:val="2"/>
          <w:sz w:val="24"/>
          <w:szCs w:val="24"/>
          <w14:ligatures w14:val="standardContextual"/>
        </w:rPr>
      </w:pPr>
      <w:r w:rsidRPr="00165AB8">
        <w:rPr>
          <w:rFonts w:asciiTheme="minorHAnsi" w:hAnsiTheme="minorHAnsi"/>
          <w:noProof/>
          <w14:scene3d>
            <w14:camera w14:prst="orthographicFront"/>
            <w14:lightRig w14:rig="threePt" w14:dir="t">
              <w14:rot w14:lat="0" w14:lon="0" w14:rev="0"/>
            </w14:lightRig>
          </w14:scene3d>
        </w:rPr>
        <w:t>Appendix B:</w:t>
      </w:r>
      <w:r w:rsidRPr="00165AB8">
        <w:rPr>
          <w:rFonts w:asciiTheme="minorHAnsi" w:hAnsiTheme="minorHAnsi"/>
          <w:noProof/>
        </w:rPr>
        <w:t xml:space="preserve"> Primary Cancer Site Definitions</w:t>
      </w:r>
      <w:r>
        <w:rPr>
          <w:noProof/>
        </w:rPr>
        <w:tab/>
      </w:r>
      <w:r>
        <w:rPr>
          <w:noProof/>
        </w:rPr>
        <w:fldChar w:fldCharType="begin"/>
      </w:r>
      <w:r>
        <w:rPr>
          <w:noProof/>
        </w:rPr>
        <w:instrText xml:space="preserve"> PAGEREF _Toc179276354 \h </w:instrText>
      </w:r>
      <w:r>
        <w:rPr>
          <w:noProof/>
        </w:rPr>
      </w:r>
      <w:r>
        <w:rPr>
          <w:noProof/>
        </w:rPr>
        <w:fldChar w:fldCharType="separate"/>
      </w:r>
      <w:r w:rsidR="00875047">
        <w:rPr>
          <w:noProof/>
        </w:rPr>
        <w:t>50</w:t>
      </w:r>
      <w:r>
        <w:rPr>
          <w:noProof/>
        </w:rPr>
        <w:fldChar w:fldCharType="end"/>
      </w:r>
    </w:p>
    <w:p w14:paraId="51B5B764" w14:textId="4A4C7386" w:rsidR="00E5102D" w:rsidRDefault="00E5102D">
      <w:pPr>
        <w:pStyle w:val="TOC1"/>
        <w:rPr>
          <w:rFonts w:asciiTheme="minorHAnsi" w:eastAsiaTheme="minorEastAsia" w:hAnsiTheme="minorHAnsi" w:cstheme="minorBidi"/>
          <w:noProof/>
          <w:kern w:val="2"/>
          <w:sz w:val="24"/>
          <w:szCs w:val="24"/>
          <w14:ligatures w14:val="standardContextual"/>
        </w:rPr>
      </w:pPr>
      <w:r w:rsidRPr="00165AB8">
        <w:rPr>
          <w:rFonts w:asciiTheme="minorHAnsi" w:hAnsiTheme="minorHAnsi"/>
          <w:noProof/>
          <w14:scene3d>
            <w14:camera w14:prst="orthographicFront"/>
            <w14:lightRig w14:rig="threePt" w14:dir="t">
              <w14:rot w14:lat="0" w14:lon="0" w14:rev="0"/>
            </w14:lightRig>
          </w14:scene3d>
        </w:rPr>
        <w:t>Appendix C:</w:t>
      </w:r>
      <w:r w:rsidRPr="00165AB8">
        <w:rPr>
          <w:rFonts w:asciiTheme="minorHAnsi" w:hAnsiTheme="minorHAnsi"/>
          <w:noProof/>
        </w:rPr>
        <w:t xml:space="preserve"> Hispanic Ethnicity</w:t>
      </w:r>
      <w:r>
        <w:rPr>
          <w:noProof/>
        </w:rPr>
        <w:tab/>
      </w:r>
      <w:r>
        <w:rPr>
          <w:noProof/>
        </w:rPr>
        <w:fldChar w:fldCharType="begin"/>
      </w:r>
      <w:r>
        <w:rPr>
          <w:noProof/>
        </w:rPr>
        <w:instrText xml:space="preserve"> PAGEREF _Toc179276355 \h </w:instrText>
      </w:r>
      <w:r>
        <w:rPr>
          <w:noProof/>
        </w:rPr>
      </w:r>
      <w:r>
        <w:rPr>
          <w:noProof/>
        </w:rPr>
        <w:fldChar w:fldCharType="separate"/>
      </w:r>
      <w:r w:rsidR="00875047">
        <w:rPr>
          <w:noProof/>
        </w:rPr>
        <w:t>52</w:t>
      </w:r>
      <w:r>
        <w:rPr>
          <w:noProof/>
        </w:rPr>
        <w:fldChar w:fldCharType="end"/>
      </w:r>
    </w:p>
    <w:p w14:paraId="43496745" w14:textId="6FE7E380" w:rsidR="00E5102D" w:rsidRDefault="00E5102D">
      <w:pPr>
        <w:pStyle w:val="TOC1"/>
        <w:rPr>
          <w:rFonts w:asciiTheme="minorHAnsi" w:eastAsiaTheme="minorEastAsia" w:hAnsiTheme="minorHAnsi" w:cstheme="minorBidi"/>
          <w:noProof/>
          <w:kern w:val="2"/>
          <w:sz w:val="24"/>
          <w:szCs w:val="24"/>
          <w14:ligatures w14:val="standardContextual"/>
        </w:rPr>
      </w:pPr>
      <w:r w:rsidRPr="00165AB8">
        <w:rPr>
          <w:rFonts w:asciiTheme="minorHAnsi" w:hAnsiTheme="minorHAnsi" w:cstheme="minorHAnsi"/>
          <w:noProof/>
        </w:rPr>
        <w:t>Appendix D: Early Detection</w:t>
      </w:r>
      <w:r>
        <w:rPr>
          <w:noProof/>
        </w:rPr>
        <w:tab/>
      </w:r>
      <w:r>
        <w:rPr>
          <w:noProof/>
        </w:rPr>
        <w:fldChar w:fldCharType="begin"/>
      </w:r>
      <w:r>
        <w:rPr>
          <w:noProof/>
        </w:rPr>
        <w:instrText xml:space="preserve"> PAGEREF _Toc179276356 \h </w:instrText>
      </w:r>
      <w:r>
        <w:rPr>
          <w:noProof/>
        </w:rPr>
      </w:r>
      <w:r>
        <w:rPr>
          <w:noProof/>
        </w:rPr>
        <w:fldChar w:fldCharType="separate"/>
      </w:r>
      <w:r w:rsidR="00875047">
        <w:rPr>
          <w:noProof/>
        </w:rPr>
        <w:t>54</w:t>
      </w:r>
      <w:r>
        <w:rPr>
          <w:noProof/>
        </w:rPr>
        <w:fldChar w:fldCharType="end"/>
      </w:r>
    </w:p>
    <w:p w14:paraId="720BAA24" w14:textId="3F05066E" w:rsidR="00E5102D" w:rsidRDefault="00E5102D">
      <w:pPr>
        <w:pStyle w:val="TOC1"/>
        <w:rPr>
          <w:rFonts w:asciiTheme="minorHAnsi" w:eastAsiaTheme="minorEastAsia" w:hAnsiTheme="minorHAnsi" w:cstheme="minorBidi"/>
          <w:noProof/>
          <w:kern w:val="2"/>
          <w:sz w:val="24"/>
          <w:szCs w:val="24"/>
          <w14:ligatures w14:val="standardContextual"/>
        </w:rPr>
      </w:pPr>
      <w:r w:rsidRPr="00165AB8">
        <w:rPr>
          <w:noProof/>
        </w:rPr>
        <w:t>Appendix E: Behavioral Risk Factors</w:t>
      </w:r>
      <w:r>
        <w:rPr>
          <w:noProof/>
        </w:rPr>
        <w:tab/>
      </w:r>
      <w:r>
        <w:rPr>
          <w:noProof/>
        </w:rPr>
        <w:fldChar w:fldCharType="begin"/>
      </w:r>
      <w:r>
        <w:rPr>
          <w:noProof/>
        </w:rPr>
        <w:instrText xml:space="preserve"> PAGEREF _Toc179276357 \h </w:instrText>
      </w:r>
      <w:r>
        <w:rPr>
          <w:noProof/>
        </w:rPr>
      </w:r>
      <w:r>
        <w:rPr>
          <w:noProof/>
        </w:rPr>
        <w:fldChar w:fldCharType="separate"/>
      </w:r>
      <w:r w:rsidR="00875047">
        <w:rPr>
          <w:noProof/>
        </w:rPr>
        <w:t>58</w:t>
      </w:r>
      <w:r>
        <w:rPr>
          <w:noProof/>
        </w:rPr>
        <w:fldChar w:fldCharType="end"/>
      </w:r>
    </w:p>
    <w:p w14:paraId="6A0156FB" w14:textId="448B0C62" w:rsidR="00D52B01" w:rsidRPr="007E256D" w:rsidRDefault="00D52B01" w:rsidP="00D52B01">
      <w:pPr>
        <w:spacing w:after="0" w:line="240" w:lineRule="auto"/>
        <w:jc w:val="center"/>
        <w:rPr>
          <w:rFonts w:asciiTheme="minorHAnsi" w:hAnsiTheme="minorHAnsi" w:cstheme="minorHAnsi"/>
          <w:color w:val="0033CC"/>
          <w:sz w:val="28"/>
          <w:szCs w:val="28"/>
        </w:rPr>
        <w:sectPr w:rsidR="00D52B01" w:rsidRPr="007E256D" w:rsidSect="00B82981">
          <w:footerReference w:type="default" r:id="rId16"/>
          <w:pgSz w:w="12240" w:h="15840"/>
          <w:pgMar w:top="1008" w:right="1080" w:bottom="864" w:left="1267" w:header="720" w:footer="0" w:gutter="0"/>
          <w:pgNumType w:fmt="lowerRoman" w:start="1"/>
          <w:cols w:space="720"/>
          <w:docGrid w:linePitch="360"/>
        </w:sectPr>
      </w:pPr>
      <w:r>
        <w:rPr>
          <w:rFonts w:ascii="Calibri" w:hAnsi="Calibri"/>
          <w:b/>
          <w:caps/>
        </w:rPr>
        <w:fldChar w:fldCharType="end"/>
      </w:r>
    </w:p>
    <w:p w14:paraId="4BEA64F8" w14:textId="16426A1F" w:rsidR="00911CAD" w:rsidRPr="007F6D1E" w:rsidRDefault="00911CAD" w:rsidP="00911CAD">
      <w:pPr>
        <w:pStyle w:val="Heading1"/>
        <w:spacing w:line="240" w:lineRule="auto"/>
        <w:rPr>
          <w:rFonts w:asciiTheme="minorHAnsi" w:hAnsiTheme="minorHAnsi"/>
        </w:rPr>
      </w:pPr>
      <w:bookmarkStart w:id="1" w:name="_Toc179276349"/>
      <w:r w:rsidRPr="007F6D1E">
        <w:rPr>
          <w:rFonts w:asciiTheme="minorHAnsi" w:hAnsiTheme="minorHAnsi"/>
        </w:rPr>
        <w:lastRenderedPageBreak/>
        <w:t>Executive Summary</w:t>
      </w:r>
      <w:bookmarkEnd w:id="1"/>
    </w:p>
    <w:p w14:paraId="7A305C6D" w14:textId="77777777" w:rsidR="00911CAD" w:rsidRPr="00031A12" w:rsidRDefault="00911CAD" w:rsidP="00911CAD">
      <w:pPr>
        <w:pStyle w:val="ListParagraph"/>
        <w:spacing w:after="0" w:line="240" w:lineRule="auto"/>
        <w:ind w:left="0"/>
        <w:rPr>
          <w:rFonts w:ascii="Calibri" w:eastAsia="Calibri" w:hAnsi="Calibri" w:cs="Arial"/>
          <w:szCs w:val="24"/>
        </w:rPr>
      </w:pPr>
      <w:r w:rsidRPr="00031A12">
        <w:rPr>
          <w:rFonts w:ascii="Calibri" w:eastAsia="Calibri" w:hAnsi="Calibri" w:cs="Arial"/>
          <w:szCs w:val="24"/>
        </w:rPr>
        <w:t>This report presents the 201</w:t>
      </w:r>
      <w:r>
        <w:rPr>
          <w:rFonts w:ascii="Calibri" w:eastAsia="Calibri" w:hAnsi="Calibri" w:cs="Arial"/>
          <w:szCs w:val="24"/>
        </w:rPr>
        <w:t>7</w:t>
      </w:r>
      <w:r w:rsidRPr="00031A12">
        <w:rPr>
          <w:rFonts w:ascii="Calibri" w:eastAsia="Calibri" w:hAnsi="Calibri" w:cs="Arial"/>
          <w:szCs w:val="24"/>
        </w:rPr>
        <w:t>-202</w:t>
      </w:r>
      <w:r>
        <w:rPr>
          <w:rFonts w:ascii="Calibri" w:eastAsia="Calibri" w:hAnsi="Calibri" w:cs="Arial"/>
          <w:szCs w:val="24"/>
        </w:rPr>
        <w:t>1</w:t>
      </w:r>
      <w:r w:rsidRPr="00031A12">
        <w:rPr>
          <w:rFonts w:ascii="Calibri" w:eastAsia="Calibri" w:hAnsi="Calibri" w:cs="Arial"/>
          <w:szCs w:val="24"/>
        </w:rPr>
        <w:t xml:space="preserve"> cancer incidence and mortality data and statistics for Delaware.  The Delaware Department of Health and Social Services (DHSS), Division of Public Health (DPH), in conjunction with the Delaware Cancer Consortium (DCC), publishes this report as a source of cancer incidence and mortality information.  DPH and other stakeholders also use this report to inform decisions on outreach and program strategies to combat cancer incidence and mortality in Delaware.  </w:t>
      </w:r>
    </w:p>
    <w:p w14:paraId="2C56B5BD" w14:textId="77777777" w:rsidR="00911CAD" w:rsidRPr="00031A12" w:rsidRDefault="00911CAD" w:rsidP="00911CAD">
      <w:pPr>
        <w:pStyle w:val="ListParagraph"/>
        <w:spacing w:after="0" w:line="240" w:lineRule="auto"/>
        <w:ind w:left="0"/>
        <w:rPr>
          <w:rFonts w:ascii="Calibri" w:eastAsia="Calibri" w:hAnsi="Calibri" w:cs="Arial"/>
          <w:szCs w:val="24"/>
        </w:rPr>
      </w:pPr>
    </w:p>
    <w:p w14:paraId="1586DC1E" w14:textId="77777777" w:rsidR="00911CAD" w:rsidRPr="00031A12" w:rsidRDefault="00911CAD" w:rsidP="00911CAD">
      <w:pPr>
        <w:pStyle w:val="ListParagraph"/>
        <w:spacing w:after="0" w:line="240" w:lineRule="auto"/>
        <w:ind w:left="0"/>
        <w:rPr>
          <w:rFonts w:ascii="Calibri" w:eastAsia="Calibri" w:hAnsi="Calibri" w:cs="Arial"/>
          <w:b/>
          <w:szCs w:val="24"/>
        </w:rPr>
      </w:pPr>
      <w:r w:rsidRPr="00031A12">
        <w:rPr>
          <w:rFonts w:ascii="Calibri" w:eastAsia="Calibri" w:hAnsi="Calibri" w:cs="Arial"/>
          <w:szCs w:val="24"/>
        </w:rPr>
        <w:t xml:space="preserve">Cancer incidence (the number of new </w:t>
      </w:r>
      <w:r>
        <w:rPr>
          <w:rFonts w:ascii="Calibri" w:eastAsia="Calibri" w:hAnsi="Calibri" w:cs="Arial"/>
          <w:szCs w:val="24"/>
        </w:rPr>
        <w:t xml:space="preserve">cancer cases </w:t>
      </w:r>
      <w:r w:rsidRPr="00031A12">
        <w:rPr>
          <w:rFonts w:ascii="Calibri" w:eastAsia="Calibri" w:hAnsi="Calibri" w:cs="Arial"/>
          <w:szCs w:val="24"/>
        </w:rPr>
        <w:t>in a population over a time period)</w:t>
      </w:r>
      <w:r w:rsidRPr="00031A12">
        <w:rPr>
          <w:rFonts w:eastAsia="Calibri"/>
          <w:vertAlign w:val="superscript"/>
        </w:rPr>
        <w:footnoteReference w:id="2"/>
      </w:r>
      <w:r w:rsidRPr="00031A12">
        <w:rPr>
          <w:rFonts w:ascii="Calibri" w:eastAsia="Calibri" w:hAnsi="Calibri" w:cs="Arial"/>
          <w:szCs w:val="24"/>
        </w:rPr>
        <w:t xml:space="preserve"> and mortality (the number of deaths from cancer in a population over a time period)</w:t>
      </w:r>
      <w:r w:rsidRPr="00031A12">
        <w:rPr>
          <w:rFonts w:eastAsia="Calibri"/>
          <w:vertAlign w:val="superscript"/>
        </w:rPr>
        <w:footnoteReference w:id="3"/>
      </w:r>
      <w:r w:rsidRPr="00031A12">
        <w:rPr>
          <w:rFonts w:ascii="Calibri" w:eastAsia="Calibri" w:hAnsi="Calibri" w:cs="Arial"/>
          <w:szCs w:val="24"/>
        </w:rPr>
        <w:t xml:space="preserve"> rates and other analyses are performed by the Delaware Bureau of Cancer Prevention and Control staff.  Incidence data are obtained from the Delaware Cancer Registry (DCR) and mortality data are obtained from the Delaware Health Statistics Center.</w:t>
      </w:r>
    </w:p>
    <w:p w14:paraId="71B7372C" w14:textId="77777777" w:rsidR="00911CAD" w:rsidRPr="00031A12" w:rsidRDefault="00911CAD" w:rsidP="00911CAD">
      <w:pPr>
        <w:pStyle w:val="ListParagraph"/>
        <w:spacing w:after="0" w:line="240" w:lineRule="auto"/>
        <w:ind w:left="0"/>
        <w:rPr>
          <w:rFonts w:ascii="Calibri" w:eastAsia="Calibri" w:hAnsi="Calibri" w:cs="Arial"/>
          <w:b/>
          <w:szCs w:val="24"/>
        </w:rPr>
      </w:pPr>
    </w:p>
    <w:p w14:paraId="1CCC8FBE" w14:textId="77777777" w:rsidR="00911CAD" w:rsidRDefault="00911CAD" w:rsidP="00911CAD">
      <w:pPr>
        <w:pStyle w:val="ListParagraph"/>
        <w:spacing w:after="0" w:line="240" w:lineRule="auto"/>
        <w:ind w:left="0"/>
        <w:rPr>
          <w:rFonts w:ascii="Calibri" w:eastAsia="Calibri" w:hAnsi="Calibri" w:cs="Arial"/>
          <w:szCs w:val="24"/>
        </w:rPr>
      </w:pPr>
      <w:r w:rsidRPr="00031A12">
        <w:rPr>
          <w:rFonts w:ascii="Calibri" w:eastAsia="Calibri" w:hAnsi="Calibri" w:cs="Arial"/>
          <w:szCs w:val="24"/>
        </w:rPr>
        <w:t>This report includes cancer statistics for all cancer sites combined (all-site cancer), as well as the top 23 site-specific cancer types:</w:t>
      </w:r>
      <w:r>
        <w:rPr>
          <w:rFonts w:ascii="Calibri" w:eastAsia="Calibri" w:hAnsi="Calibri" w:cs="Arial"/>
          <w:szCs w:val="24"/>
        </w:rPr>
        <w:t xml:space="preserve"> </w:t>
      </w:r>
      <w:r w:rsidRPr="00031A12">
        <w:rPr>
          <w:rFonts w:ascii="Calibri" w:eastAsia="Calibri" w:hAnsi="Calibri" w:cs="Arial"/>
          <w:szCs w:val="24"/>
        </w:rPr>
        <w:t xml:space="preserve"> brain and other nervous system</w:t>
      </w:r>
      <w:r>
        <w:rPr>
          <w:rFonts w:ascii="Calibri" w:eastAsia="Calibri" w:hAnsi="Calibri" w:cs="Arial"/>
          <w:szCs w:val="24"/>
        </w:rPr>
        <w:t xml:space="preserve">, </w:t>
      </w:r>
      <w:r w:rsidRPr="00031A12">
        <w:rPr>
          <w:rFonts w:ascii="Calibri" w:eastAsia="Calibri" w:hAnsi="Calibri" w:cs="Arial"/>
          <w:szCs w:val="24"/>
        </w:rPr>
        <w:t>cervix</w:t>
      </w:r>
      <w:r>
        <w:rPr>
          <w:rFonts w:ascii="Calibri" w:eastAsia="Calibri" w:hAnsi="Calibri" w:cs="Arial"/>
          <w:szCs w:val="24"/>
        </w:rPr>
        <w:t xml:space="preserve">, </w:t>
      </w:r>
      <w:r w:rsidRPr="00031A12">
        <w:rPr>
          <w:rFonts w:ascii="Calibri" w:eastAsia="Calibri" w:hAnsi="Calibri" w:cs="Arial"/>
          <w:szCs w:val="24"/>
        </w:rPr>
        <w:t>colorectal</w:t>
      </w:r>
      <w:r>
        <w:rPr>
          <w:rFonts w:ascii="Calibri" w:eastAsia="Calibri" w:hAnsi="Calibri" w:cs="Arial"/>
          <w:szCs w:val="24"/>
        </w:rPr>
        <w:t xml:space="preserve">, </w:t>
      </w:r>
      <w:r w:rsidRPr="00031A12">
        <w:rPr>
          <w:rFonts w:ascii="Calibri" w:eastAsia="Calibri" w:hAnsi="Calibri" w:cs="Arial"/>
          <w:szCs w:val="24"/>
        </w:rPr>
        <w:t>esophagus</w:t>
      </w:r>
      <w:r>
        <w:rPr>
          <w:rFonts w:ascii="Calibri" w:eastAsia="Calibri" w:hAnsi="Calibri" w:cs="Arial"/>
          <w:szCs w:val="24"/>
        </w:rPr>
        <w:t xml:space="preserve">, </w:t>
      </w:r>
      <w:r w:rsidRPr="00031A12">
        <w:rPr>
          <w:rFonts w:ascii="Calibri" w:eastAsia="Calibri" w:hAnsi="Calibri" w:cs="Arial"/>
          <w:szCs w:val="24"/>
        </w:rPr>
        <w:t>female breast</w:t>
      </w:r>
      <w:r>
        <w:rPr>
          <w:rFonts w:ascii="Calibri" w:eastAsia="Calibri" w:hAnsi="Calibri" w:cs="Arial"/>
          <w:szCs w:val="24"/>
        </w:rPr>
        <w:t xml:space="preserve">, </w:t>
      </w:r>
      <w:r w:rsidRPr="00031A12">
        <w:rPr>
          <w:rFonts w:ascii="Calibri" w:eastAsia="Calibri" w:hAnsi="Calibri" w:cs="Arial"/>
          <w:szCs w:val="24"/>
        </w:rPr>
        <w:t>Hodgkin</w:t>
      </w:r>
      <w:r>
        <w:rPr>
          <w:rFonts w:ascii="Calibri" w:eastAsia="Calibri" w:hAnsi="Calibri" w:cs="Arial"/>
          <w:szCs w:val="24"/>
        </w:rPr>
        <w:t xml:space="preserve"> </w:t>
      </w:r>
      <w:r w:rsidRPr="00031A12">
        <w:rPr>
          <w:rFonts w:ascii="Calibri" w:eastAsia="Calibri" w:hAnsi="Calibri" w:cs="Arial"/>
          <w:szCs w:val="24"/>
        </w:rPr>
        <w:t>lymphoma</w:t>
      </w:r>
      <w:r>
        <w:rPr>
          <w:rFonts w:ascii="Calibri" w:eastAsia="Calibri" w:hAnsi="Calibri" w:cs="Arial"/>
          <w:szCs w:val="24"/>
        </w:rPr>
        <w:t>,</w:t>
      </w:r>
      <w:r w:rsidRPr="00031A12">
        <w:rPr>
          <w:rFonts w:ascii="Calibri" w:eastAsia="Calibri" w:hAnsi="Calibri" w:cs="Arial"/>
          <w:szCs w:val="24"/>
        </w:rPr>
        <w:t xml:space="preserve"> kidney and renal pelvis</w:t>
      </w:r>
      <w:r>
        <w:rPr>
          <w:rFonts w:ascii="Calibri" w:eastAsia="Calibri" w:hAnsi="Calibri" w:cs="Arial"/>
          <w:szCs w:val="24"/>
        </w:rPr>
        <w:t xml:space="preserve">, </w:t>
      </w:r>
      <w:r w:rsidRPr="00031A12">
        <w:rPr>
          <w:rFonts w:ascii="Calibri" w:eastAsia="Calibri" w:hAnsi="Calibri" w:cs="Arial"/>
          <w:szCs w:val="24"/>
        </w:rPr>
        <w:t>larynx</w:t>
      </w:r>
      <w:r>
        <w:rPr>
          <w:rFonts w:ascii="Calibri" w:eastAsia="Calibri" w:hAnsi="Calibri" w:cs="Arial"/>
          <w:szCs w:val="24"/>
        </w:rPr>
        <w:t>,</w:t>
      </w:r>
      <w:r w:rsidRPr="00031A12">
        <w:rPr>
          <w:rFonts w:ascii="Calibri" w:eastAsia="Calibri" w:hAnsi="Calibri" w:cs="Arial"/>
          <w:szCs w:val="24"/>
        </w:rPr>
        <w:t xml:space="preserve"> leukemia</w:t>
      </w:r>
      <w:r>
        <w:rPr>
          <w:rFonts w:ascii="Calibri" w:eastAsia="Calibri" w:hAnsi="Calibri" w:cs="Arial"/>
          <w:szCs w:val="24"/>
        </w:rPr>
        <w:t xml:space="preserve">, </w:t>
      </w:r>
      <w:r w:rsidRPr="00031A12">
        <w:rPr>
          <w:rFonts w:ascii="Calibri" w:eastAsia="Calibri" w:hAnsi="Calibri" w:cs="Arial"/>
          <w:szCs w:val="24"/>
        </w:rPr>
        <w:t>liver and intrahepatic bile duct</w:t>
      </w:r>
      <w:r>
        <w:rPr>
          <w:rFonts w:ascii="Calibri" w:eastAsia="Calibri" w:hAnsi="Calibri" w:cs="Arial"/>
          <w:szCs w:val="24"/>
        </w:rPr>
        <w:t xml:space="preserve">, </w:t>
      </w:r>
      <w:r w:rsidRPr="00031A12">
        <w:rPr>
          <w:rFonts w:ascii="Calibri" w:eastAsia="Calibri" w:hAnsi="Calibri" w:cs="Arial"/>
          <w:szCs w:val="24"/>
        </w:rPr>
        <w:t>lung and bronchus</w:t>
      </w:r>
      <w:r>
        <w:rPr>
          <w:rFonts w:ascii="Calibri" w:eastAsia="Calibri" w:hAnsi="Calibri" w:cs="Arial"/>
          <w:szCs w:val="24"/>
        </w:rPr>
        <w:t xml:space="preserve">, </w:t>
      </w:r>
      <w:r w:rsidRPr="00031A12">
        <w:rPr>
          <w:rFonts w:ascii="Calibri" w:eastAsia="Calibri" w:hAnsi="Calibri" w:cs="Arial"/>
          <w:szCs w:val="24"/>
        </w:rPr>
        <w:t>melanoma,</w:t>
      </w:r>
      <w:r w:rsidRPr="00684DEA">
        <w:rPr>
          <w:rFonts w:ascii="Calibri" w:eastAsia="Calibri" w:hAnsi="Calibri" w:cs="Arial"/>
          <w:szCs w:val="24"/>
        </w:rPr>
        <w:t xml:space="preserve"> </w:t>
      </w:r>
      <w:r w:rsidRPr="00031A12">
        <w:rPr>
          <w:rFonts w:ascii="Calibri" w:eastAsia="Calibri" w:hAnsi="Calibri" w:cs="Arial"/>
          <w:szCs w:val="24"/>
        </w:rPr>
        <w:t>myeloma,</w:t>
      </w:r>
      <w:r>
        <w:rPr>
          <w:rFonts w:ascii="Calibri" w:eastAsia="Calibri" w:hAnsi="Calibri" w:cs="Arial"/>
          <w:szCs w:val="24"/>
        </w:rPr>
        <w:t xml:space="preserve"> </w:t>
      </w:r>
      <w:r w:rsidRPr="00031A12">
        <w:rPr>
          <w:rFonts w:ascii="Calibri" w:eastAsia="Calibri" w:hAnsi="Calibri" w:cs="Arial"/>
          <w:szCs w:val="24"/>
        </w:rPr>
        <w:t>non-Hodgkin lymphoma,</w:t>
      </w:r>
      <w:r w:rsidRPr="00C16412">
        <w:rPr>
          <w:rFonts w:ascii="Calibri" w:eastAsia="Calibri" w:hAnsi="Calibri" w:cs="Arial"/>
          <w:szCs w:val="24"/>
        </w:rPr>
        <w:t xml:space="preserve"> </w:t>
      </w:r>
      <w:r w:rsidRPr="00031A12">
        <w:rPr>
          <w:rFonts w:ascii="Calibri" w:eastAsia="Calibri" w:hAnsi="Calibri" w:cs="Arial"/>
          <w:szCs w:val="24"/>
        </w:rPr>
        <w:t>ovary</w:t>
      </w:r>
      <w:r>
        <w:rPr>
          <w:rFonts w:ascii="Calibri" w:eastAsia="Calibri" w:hAnsi="Calibri" w:cs="Arial"/>
          <w:szCs w:val="24"/>
        </w:rPr>
        <w:t xml:space="preserve">, </w:t>
      </w:r>
      <w:r w:rsidRPr="00031A12">
        <w:rPr>
          <w:rFonts w:ascii="Calibri" w:eastAsia="Calibri" w:hAnsi="Calibri" w:cs="Arial"/>
          <w:szCs w:val="24"/>
        </w:rPr>
        <w:t>oral cavity and pharynx</w:t>
      </w:r>
      <w:r>
        <w:rPr>
          <w:rFonts w:ascii="Calibri" w:eastAsia="Calibri" w:hAnsi="Calibri" w:cs="Arial"/>
          <w:szCs w:val="24"/>
        </w:rPr>
        <w:t xml:space="preserve">, </w:t>
      </w:r>
      <w:r w:rsidRPr="00031A12">
        <w:rPr>
          <w:rFonts w:ascii="Calibri" w:eastAsia="Calibri" w:hAnsi="Calibri" w:cs="Arial"/>
          <w:szCs w:val="24"/>
        </w:rPr>
        <w:t>pancreas</w:t>
      </w:r>
      <w:r>
        <w:rPr>
          <w:rFonts w:ascii="Calibri" w:eastAsia="Calibri" w:hAnsi="Calibri" w:cs="Arial"/>
          <w:szCs w:val="24"/>
        </w:rPr>
        <w:t xml:space="preserve">, </w:t>
      </w:r>
      <w:r w:rsidRPr="00031A12">
        <w:rPr>
          <w:rFonts w:ascii="Calibri" w:eastAsia="Calibri" w:hAnsi="Calibri" w:cs="Arial"/>
          <w:szCs w:val="24"/>
        </w:rPr>
        <w:t>prostate</w:t>
      </w:r>
      <w:r>
        <w:rPr>
          <w:rFonts w:ascii="Calibri" w:eastAsia="Calibri" w:hAnsi="Calibri" w:cs="Arial"/>
          <w:szCs w:val="24"/>
        </w:rPr>
        <w:t xml:space="preserve">, stomach, testis, thyroid, uterine, and urinary bladder.  </w:t>
      </w:r>
      <w:r w:rsidRPr="00031A12">
        <w:rPr>
          <w:rFonts w:ascii="Calibri" w:eastAsia="Calibri" w:hAnsi="Calibri" w:cs="Arial"/>
          <w:szCs w:val="24"/>
        </w:rPr>
        <w:t>These cancer statistics reflect incidence and mortality data for 201</w:t>
      </w:r>
      <w:r>
        <w:rPr>
          <w:rFonts w:ascii="Calibri" w:eastAsia="Calibri" w:hAnsi="Calibri" w:cs="Arial"/>
          <w:szCs w:val="24"/>
        </w:rPr>
        <w:t>7</w:t>
      </w:r>
      <w:r w:rsidRPr="00031A12">
        <w:rPr>
          <w:rFonts w:ascii="Calibri" w:eastAsia="Calibri" w:hAnsi="Calibri" w:cs="Arial"/>
          <w:szCs w:val="24"/>
        </w:rPr>
        <w:t>-20</w:t>
      </w:r>
      <w:r>
        <w:rPr>
          <w:rFonts w:ascii="Calibri" w:eastAsia="Calibri" w:hAnsi="Calibri" w:cs="Arial"/>
          <w:szCs w:val="24"/>
        </w:rPr>
        <w:t>21</w:t>
      </w:r>
      <w:r w:rsidRPr="00031A12">
        <w:rPr>
          <w:rFonts w:ascii="Calibri" w:eastAsia="Calibri" w:hAnsi="Calibri" w:cs="Arial"/>
          <w:szCs w:val="24"/>
        </w:rPr>
        <w:t>.  DPH compares Delaware’s cancer incidence and mortality statistics for 201</w:t>
      </w:r>
      <w:r>
        <w:rPr>
          <w:rFonts w:ascii="Calibri" w:eastAsia="Calibri" w:hAnsi="Calibri" w:cs="Arial"/>
          <w:szCs w:val="24"/>
        </w:rPr>
        <w:t>7</w:t>
      </w:r>
      <w:r w:rsidRPr="00031A12">
        <w:rPr>
          <w:rFonts w:ascii="Calibri" w:eastAsia="Calibri" w:hAnsi="Calibri" w:cs="Arial"/>
          <w:szCs w:val="24"/>
        </w:rPr>
        <w:t>-202</w:t>
      </w:r>
      <w:r>
        <w:rPr>
          <w:rFonts w:ascii="Calibri" w:eastAsia="Calibri" w:hAnsi="Calibri" w:cs="Arial"/>
          <w:szCs w:val="24"/>
        </w:rPr>
        <w:t>1</w:t>
      </w:r>
      <w:r w:rsidRPr="00031A12">
        <w:rPr>
          <w:rFonts w:ascii="Calibri" w:eastAsia="Calibri" w:hAnsi="Calibri" w:cs="Arial"/>
          <w:szCs w:val="24"/>
        </w:rPr>
        <w:t xml:space="preserve"> to those of the U.S. over the same period.  DPH also summarizes how Delaware and U.S. cancer rates have changed from 200</w:t>
      </w:r>
      <w:r>
        <w:rPr>
          <w:rFonts w:ascii="Calibri" w:eastAsia="Calibri" w:hAnsi="Calibri" w:cs="Arial"/>
          <w:szCs w:val="24"/>
        </w:rPr>
        <w:t>7</w:t>
      </w:r>
      <w:r w:rsidRPr="00031A12">
        <w:rPr>
          <w:rFonts w:ascii="Calibri" w:eastAsia="Calibri" w:hAnsi="Calibri" w:cs="Arial"/>
          <w:szCs w:val="24"/>
        </w:rPr>
        <w:t xml:space="preserve"> to 202</w:t>
      </w:r>
      <w:r>
        <w:rPr>
          <w:rFonts w:ascii="Calibri" w:eastAsia="Calibri" w:hAnsi="Calibri" w:cs="Arial"/>
          <w:szCs w:val="24"/>
        </w:rPr>
        <w:t>1</w:t>
      </w:r>
      <w:r w:rsidRPr="00031A12">
        <w:rPr>
          <w:rFonts w:ascii="Calibri" w:eastAsia="Calibri" w:hAnsi="Calibri" w:cs="Arial"/>
          <w:szCs w:val="24"/>
        </w:rPr>
        <w:t xml:space="preserve">.  </w:t>
      </w:r>
    </w:p>
    <w:p w14:paraId="6EB33021" w14:textId="77777777" w:rsidR="00911CAD" w:rsidRDefault="00911CAD" w:rsidP="00911CAD">
      <w:pPr>
        <w:pStyle w:val="ListParagraph"/>
        <w:spacing w:after="0" w:line="240" w:lineRule="auto"/>
        <w:ind w:left="0"/>
        <w:rPr>
          <w:rFonts w:ascii="Calibri" w:eastAsia="Calibri" w:hAnsi="Calibri" w:cs="Arial"/>
          <w:b/>
          <w:szCs w:val="24"/>
        </w:rPr>
      </w:pPr>
    </w:p>
    <w:p w14:paraId="6B4A6676" w14:textId="77777777" w:rsidR="00911CAD" w:rsidRPr="00031A12" w:rsidRDefault="00911CAD" w:rsidP="00911CAD">
      <w:pPr>
        <w:pStyle w:val="ListParagraph"/>
        <w:spacing w:after="0" w:line="240" w:lineRule="auto"/>
        <w:ind w:left="0"/>
        <w:rPr>
          <w:rFonts w:ascii="Calibri" w:eastAsia="Calibri" w:hAnsi="Calibri" w:cs="Arial"/>
          <w:b/>
          <w:szCs w:val="24"/>
        </w:rPr>
      </w:pPr>
      <w:r>
        <w:rPr>
          <w:rFonts w:ascii="Calibri" w:eastAsia="Calibri" w:hAnsi="Calibri" w:cs="Arial"/>
          <w:b/>
          <w:szCs w:val="24"/>
        </w:rPr>
        <w:t>INCIDENCE</w:t>
      </w:r>
    </w:p>
    <w:p w14:paraId="20499C1A" w14:textId="3C723652" w:rsidR="00911CAD" w:rsidRPr="00EF6B11" w:rsidRDefault="003E5BAB" w:rsidP="00911CAD">
      <w:pPr>
        <w:spacing w:after="0" w:line="240" w:lineRule="auto"/>
        <w:rPr>
          <w:rFonts w:asciiTheme="minorHAnsi" w:hAnsiTheme="minorHAnsi"/>
        </w:rPr>
      </w:pPr>
      <w:r>
        <w:rPr>
          <w:rFonts w:asciiTheme="minorHAnsi" w:hAnsiTheme="minorHAnsi" w:cstheme="minorHAnsi"/>
        </w:rPr>
        <w:t xml:space="preserve">Between </w:t>
      </w:r>
      <w:r w:rsidR="00911CAD" w:rsidRPr="00031A12">
        <w:rPr>
          <w:rFonts w:asciiTheme="minorHAnsi" w:hAnsiTheme="minorHAnsi" w:cstheme="minorHAnsi"/>
        </w:rPr>
        <w:t>200</w:t>
      </w:r>
      <w:r w:rsidR="00911CAD">
        <w:rPr>
          <w:rFonts w:asciiTheme="minorHAnsi" w:hAnsiTheme="minorHAnsi" w:cstheme="minorHAnsi"/>
        </w:rPr>
        <w:t>7</w:t>
      </w:r>
      <w:r w:rsidR="00911CAD" w:rsidRPr="00031A12">
        <w:rPr>
          <w:rFonts w:asciiTheme="minorHAnsi" w:hAnsiTheme="minorHAnsi" w:cstheme="minorHAnsi"/>
        </w:rPr>
        <w:t xml:space="preserve"> and 20</w:t>
      </w:r>
      <w:r w:rsidR="00911CAD">
        <w:rPr>
          <w:rFonts w:asciiTheme="minorHAnsi" w:hAnsiTheme="minorHAnsi" w:cstheme="minorHAnsi"/>
        </w:rPr>
        <w:t>21</w:t>
      </w:r>
      <w:r w:rsidR="00911CAD" w:rsidRPr="00031A12">
        <w:rPr>
          <w:rFonts w:asciiTheme="minorHAnsi" w:hAnsiTheme="minorHAnsi" w:cstheme="minorHAnsi"/>
        </w:rPr>
        <w:t xml:space="preserve">, incidence rates for all-site cancer decreased </w:t>
      </w:r>
      <w:r w:rsidR="00911CAD">
        <w:rPr>
          <w:rFonts w:asciiTheme="minorHAnsi" w:hAnsiTheme="minorHAnsi" w:cstheme="minorHAnsi"/>
        </w:rPr>
        <w:t xml:space="preserve">by </w:t>
      </w:r>
      <w:r w:rsidR="00911CAD" w:rsidRPr="00031A12">
        <w:rPr>
          <w:rFonts w:asciiTheme="minorHAnsi" w:hAnsiTheme="minorHAnsi" w:cstheme="minorHAnsi"/>
        </w:rPr>
        <w:t>an average of 1.1% per year in Delaware and an average of 0.</w:t>
      </w:r>
      <w:r w:rsidR="00911CAD">
        <w:rPr>
          <w:rFonts w:asciiTheme="minorHAnsi" w:hAnsiTheme="minorHAnsi" w:cstheme="minorHAnsi"/>
        </w:rPr>
        <w:t>7</w:t>
      </w:r>
      <w:r w:rsidR="00911CAD" w:rsidRPr="00031A12">
        <w:rPr>
          <w:rFonts w:asciiTheme="minorHAnsi" w:hAnsiTheme="minorHAnsi" w:cstheme="minorHAnsi"/>
        </w:rPr>
        <w:t>% per year in the U.S.</w:t>
      </w:r>
      <w:r w:rsidR="00911CAD" w:rsidRPr="00031A12">
        <w:t xml:space="preserve">  </w:t>
      </w:r>
      <w:r w:rsidR="00911CAD" w:rsidRPr="00031A12">
        <w:rPr>
          <w:rFonts w:ascii="Calibri" w:eastAsia="Times New Roman" w:hAnsi="Calibri" w:cs="Arial"/>
          <w:szCs w:val="24"/>
        </w:rPr>
        <w:t>While progress continues to be made, Delaware’s 201</w:t>
      </w:r>
      <w:r w:rsidR="00EF7D5C">
        <w:rPr>
          <w:rFonts w:ascii="Calibri" w:eastAsia="Times New Roman" w:hAnsi="Calibri" w:cs="Arial"/>
          <w:szCs w:val="24"/>
        </w:rPr>
        <w:t>7</w:t>
      </w:r>
      <w:r w:rsidR="00911CAD" w:rsidRPr="00031A12">
        <w:rPr>
          <w:rFonts w:ascii="Calibri" w:eastAsia="Times New Roman" w:hAnsi="Calibri" w:cs="Arial"/>
          <w:szCs w:val="24"/>
        </w:rPr>
        <w:t>-202</w:t>
      </w:r>
      <w:r w:rsidR="00EF7D5C">
        <w:rPr>
          <w:rFonts w:ascii="Calibri" w:eastAsia="Times New Roman" w:hAnsi="Calibri" w:cs="Arial"/>
          <w:szCs w:val="24"/>
        </w:rPr>
        <w:t>1</w:t>
      </w:r>
      <w:r w:rsidR="00911CAD" w:rsidRPr="00031A12">
        <w:rPr>
          <w:rFonts w:ascii="Calibri" w:eastAsia="Times New Roman" w:hAnsi="Calibri" w:cs="Arial"/>
          <w:szCs w:val="24"/>
        </w:rPr>
        <w:t xml:space="preserve"> all-site cancer incidence rate (4</w:t>
      </w:r>
      <w:r w:rsidR="00911CAD">
        <w:rPr>
          <w:rFonts w:ascii="Calibri" w:eastAsia="Times New Roman" w:hAnsi="Calibri" w:cs="Arial"/>
          <w:szCs w:val="24"/>
        </w:rPr>
        <w:t>62</w:t>
      </w:r>
      <w:r w:rsidR="00911CAD" w:rsidRPr="00031A12">
        <w:rPr>
          <w:rFonts w:ascii="Calibri" w:eastAsia="Times New Roman" w:hAnsi="Calibri" w:cs="Arial"/>
          <w:szCs w:val="24"/>
        </w:rPr>
        <w:t>.</w:t>
      </w:r>
      <w:r w:rsidR="00911CAD">
        <w:rPr>
          <w:rFonts w:ascii="Calibri" w:eastAsia="Times New Roman" w:hAnsi="Calibri" w:cs="Arial"/>
          <w:szCs w:val="24"/>
        </w:rPr>
        <w:t>1</w:t>
      </w:r>
      <w:r w:rsidR="00911CAD" w:rsidRPr="00031A12">
        <w:rPr>
          <w:rFonts w:ascii="Calibri" w:eastAsia="Times New Roman" w:hAnsi="Calibri" w:cs="Arial"/>
          <w:szCs w:val="24"/>
        </w:rPr>
        <w:t xml:space="preserve"> per 100,000 population) remains</w:t>
      </w:r>
      <w:r w:rsidR="00911CAD">
        <w:rPr>
          <w:rFonts w:ascii="Calibri" w:eastAsia="Times New Roman" w:hAnsi="Calibri" w:cs="Arial"/>
          <w:szCs w:val="24"/>
        </w:rPr>
        <w:t xml:space="preserve"> </w:t>
      </w:r>
      <w:r w:rsidR="00911CAD" w:rsidRPr="00031A12">
        <w:rPr>
          <w:rFonts w:ascii="Calibri" w:eastAsia="Times New Roman" w:hAnsi="Calibri" w:cs="Arial"/>
          <w:szCs w:val="24"/>
        </w:rPr>
        <w:t>higher than the comparable U.S. rate (44</w:t>
      </w:r>
      <w:r w:rsidR="00911CAD">
        <w:rPr>
          <w:rFonts w:ascii="Calibri" w:eastAsia="Times New Roman" w:hAnsi="Calibri" w:cs="Arial"/>
          <w:szCs w:val="24"/>
        </w:rPr>
        <w:t>4</w:t>
      </w:r>
      <w:r w:rsidR="00911CAD" w:rsidRPr="00031A12">
        <w:rPr>
          <w:rFonts w:ascii="Calibri" w:eastAsia="Times New Roman" w:hAnsi="Calibri" w:cs="Arial"/>
          <w:szCs w:val="24"/>
        </w:rPr>
        <w:t>.</w:t>
      </w:r>
      <w:r w:rsidR="00911CAD">
        <w:rPr>
          <w:rFonts w:ascii="Calibri" w:eastAsia="Times New Roman" w:hAnsi="Calibri" w:cs="Arial"/>
          <w:szCs w:val="24"/>
        </w:rPr>
        <w:t>6</w:t>
      </w:r>
      <w:r w:rsidR="00911CAD" w:rsidRPr="00031A12">
        <w:rPr>
          <w:rFonts w:ascii="Calibri" w:eastAsia="Times New Roman" w:hAnsi="Calibri" w:cs="Arial"/>
          <w:szCs w:val="24"/>
        </w:rPr>
        <w:t xml:space="preserve"> per 100,000 population).  </w:t>
      </w:r>
      <w:r w:rsidR="00911CAD" w:rsidRPr="00031A12">
        <w:rPr>
          <w:rFonts w:asciiTheme="minorHAnsi" w:eastAsia="Times New Roman" w:hAnsiTheme="minorHAnsi" w:cstheme="minorHAnsi"/>
          <w:szCs w:val="24"/>
        </w:rPr>
        <w:t xml:space="preserve">Delaware currently ranks </w:t>
      </w:r>
      <w:r w:rsidR="00567BE5">
        <w:rPr>
          <w:rFonts w:asciiTheme="minorHAnsi" w:eastAsia="Times New Roman" w:hAnsiTheme="minorHAnsi" w:cstheme="minorHAnsi"/>
          <w:szCs w:val="24"/>
        </w:rPr>
        <w:t>15</w:t>
      </w:r>
      <w:r w:rsidR="00911CAD" w:rsidRPr="00F85FDA">
        <w:rPr>
          <w:rFonts w:asciiTheme="minorHAnsi" w:eastAsia="Times New Roman" w:hAnsiTheme="minorHAnsi" w:cstheme="minorHAnsi"/>
          <w:szCs w:val="24"/>
          <w:vertAlign w:val="superscript"/>
        </w:rPr>
        <w:t xml:space="preserve">th </w:t>
      </w:r>
      <w:r w:rsidR="00911CAD" w:rsidRPr="00031A12">
        <w:rPr>
          <w:rFonts w:asciiTheme="minorHAnsi" w:eastAsia="Times New Roman" w:hAnsiTheme="minorHAnsi" w:cstheme="minorHAnsi"/>
          <w:szCs w:val="24"/>
        </w:rPr>
        <w:t xml:space="preserve">among the states for highest all-site cancer incidence.  </w:t>
      </w:r>
      <w:r w:rsidR="00911CAD" w:rsidRPr="00031A12">
        <w:rPr>
          <w:rFonts w:asciiTheme="minorHAnsi" w:hAnsiTheme="minorHAnsi" w:cstheme="minorHAnsi"/>
        </w:rPr>
        <w:t>Between 200</w:t>
      </w:r>
      <w:r w:rsidR="00911CAD">
        <w:rPr>
          <w:rFonts w:asciiTheme="minorHAnsi" w:hAnsiTheme="minorHAnsi" w:cstheme="minorHAnsi"/>
        </w:rPr>
        <w:t>7</w:t>
      </w:r>
      <w:r w:rsidR="00911CAD" w:rsidRPr="00031A12">
        <w:rPr>
          <w:rFonts w:asciiTheme="minorHAnsi" w:hAnsiTheme="minorHAnsi" w:cstheme="minorHAnsi"/>
        </w:rPr>
        <w:t xml:space="preserve"> and 20</w:t>
      </w:r>
      <w:r w:rsidR="00911CAD">
        <w:rPr>
          <w:rFonts w:asciiTheme="minorHAnsi" w:hAnsiTheme="minorHAnsi" w:cstheme="minorHAnsi"/>
        </w:rPr>
        <w:t>21</w:t>
      </w:r>
      <w:r w:rsidR="00911CAD" w:rsidRPr="00031A12">
        <w:rPr>
          <w:rFonts w:asciiTheme="minorHAnsi" w:hAnsiTheme="minorHAnsi" w:cstheme="minorHAnsi"/>
        </w:rPr>
        <w:t>, incidence rates for all-site cancer decreased an average of 1.</w:t>
      </w:r>
      <w:r w:rsidR="00911CAD">
        <w:rPr>
          <w:rFonts w:asciiTheme="minorHAnsi" w:hAnsiTheme="minorHAnsi" w:cstheme="minorHAnsi"/>
        </w:rPr>
        <w:t>8</w:t>
      </w:r>
      <w:r w:rsidR="00911CAD" w:rsidRPr="00031A12">
        <w:rPr>
          <w:rFonts w:asciiTheme="minorHAnsi" w:hAnsiTheme="minorHAnsi" w:cstheme="minorHAnsi"/>
        </w:rPr>
        <w:t xml:space="preserve">% per year among </w:t>
      </w:r>
      <w:r w:rsidR="00911CAD">
        <w:rPr>
          <w:rFonts w:asciiTheme="minorHAnsi" w:hAnsiTheme="minorHAnsi" w:cstheme="minorHAnsi"/>
        </w:rPr>
        <w:t>n</w:t>
      </w:r>
      <w:r w:rsidR="00911CAD" w:rsidRPr="00031A12">
        <w:rPr>
          <w:rFonts w:asciiTheme="minorHAnsi" w:hAnsiTheme="minorHAnsi" w:cstheme="minorHAnsi"/>
        </w:rPr>
        <w:t xml:space="preserve">on-Hispanic White males and remained stable for </w:t>
      </w:r>
      <w:r w:rsidR="00911CAD">
        <w:rPr>
          <w:rFonts w:asciiTheme="minorHAnsi" w:hAnsiTheme="minorHAnsi" w:cstheme="minorHAnsi"/>
        </w:rPr>
        <w:t>non</w:t>
      </w:r>
      <w:r w:rsidR="00911CAD" w:rsidRPr="00031A12">
        <w:rPr>
          <w:rFonts w:asciiTheme="minorHAnsi" w:hAnsiTheme="minorHAnsi" w:cstheme="minorHAnsi"/>
        </w:rPr>
        <w:t xml:space="preserve">-Hispanic White females.  During that same period, incidence rates for all-site cancer decreased an average of </w:t>
      </w:r>
      <w:r w:rsidR="00911CAD">
        <w:rPr>
          <w:rFonts w:asciiTheme="minorHAnsi" w:hAnsiTheme="minorHAnsi" w:cstheme="minorHAnsi"/>
        </w:rPr>
        <w:t>3.0</w:t>
      </w:r>
      <w:r w:rsidR="00911CAD" w:rsidRPr="00031A12">
        <w:rPr>
          <w:rFonts w:asciiTheme="minorHAnsi" w:hAnsiTheme="minorHAnsi" w:cstheme="minorHAnsi"/>
        </w:rPr>
        <w:t xml:space="preserve">% per year among </w:t>
      </w:r>
      <w:r w:rsidR="00911CAD">
        <w:rPr>
          <w:rFonts w:asciiTheme="minorHAnsi" w:hAnsiTheme="minorHAnsi" w:cstheme="minorHAnsi"/>
        </w:rPr>
        <w:t>n</w:t>
      </w:r>
      <w:r w:rsidR="00911CAD" w:rsidRPr="00031A12">
        <w:rPr>
          <w:rFonts w:asciiTheme="minorHAnsi" w:hAnsiTheme="minorHAnsi" w:cstheme="minorHAnsi"/>
        </w:rPr>
        <w:t xml:space="preserve">on-Hispanic Black males </w:t>
      </w:r>
      <w:r w:rsidR="00911CAD" w:rsidRPr="000403C3">
        <w:rPr>
          <w:rFonts w:asciiTheme="minorHAnsi" w:hAnsiTheme="minorHAnsi" w:cstheme="minorHAnsi"/>
        </w:rPr>
        <w:t>and</w:t>
      </w:r>
      <w:r w:rsidR="00911CAD">
        <w:rPr>
          <w:rFonts w:asciiTheme="minorHAnsi" w:hAnsiTheme="minorHAnsi" w:cstheme="minorHAnsi"/>
        </w:rPr>
        <w:t xml:space="preserve"> remained stable among</w:t>
      </w:r>
      <w:r w:rsidR="00911CAD" w:rsidRPr="000403C3">
        <w:rPr>
          <w:rFonts w:asciiTheme="minorHAnsi" w:hAnsiTheme="minorHAnsi" w:cstheme="minorHAnsi"/>
        </w:rPr>
        <w:t xml:space="preserve"> </w:t>
      </w:r>
      <w:r w:rsidR="00911CAD">
        <w:rPr>
          <w:rFonts w:asciiTheme="minorHAnsi" w:hAnsiTheme="minorHAnsi" w:cstheme="minorHAnsi"/>
        </w:rPr>
        <w:t>n</w:t>
      </w:r>
      <w:r w:rsidR="00911CAD" w:rsidRPr="000403C3">
        <w:rPr>
          <w:rFonts w:asciiTheme="minorHAnsi" w:hAnsiTheme="minorHAnsi" w:cstheme="minorHAnsi"/>
        </w:rPr>
        <w:t>on-Hispanic Black females</w:t>
      </w:r>
      <w:r w:rsidR="00911CAD">
        <w:rPr>
          <w:rFonts w:asciiTheme="minorHAnsi" w:hAnsiTheme="minorHAnsi" w:cstheme="minorHAnsi"/>
        </w:rPr>
        <w:t>.</w:t>
      </w:r>
      <w:r w:rsidR="00911CAD" w:rsidRPr="00031A12">
        <w:rPr>
          <w:rFonts w:asciiTheme="minorHAnsi" w:hAnsiTheme="minorHAnsi" w:cstheme="minorHAnsi"/>
        </w:rPr>
        <w:t xml:space="preserve"> </w:t>
      </w:r>
      <w:r w:rsidR="00911CAD">
        <w:rPr>
          <w:rFonts w:asciiTheme="minorHAnsi" w:hAnsiTheme="minorHAnsi" w:cstheme="minorHAnsi"/>
        </w:rPr>
        <w:t xml:space="preserve"> </w:t>
      </w:r>
      <w:r w:rsidR="00911CAD" w:rsidRPr="00486F5F">
        <w:rPr>
          <w:rFonts w:asciiTheme="minorHAnsi" w:hAnsiTheme="minorHAnsi" w:cstheme="minorHAnsi"/>
        </w:rPr>
        <w:t>Incidence rates for all-site cancer decreased an average of 2.9% per year among Hispanic males</w:t>
      </w:r>
      <w:r w:rsidR="00911CAD">
        <w:rPr>
          <w:rFonts w:asciiTheme="minorHAnsi" w:hAnsiTheme="minorHAnsi" w:cstheme="minorHAnsi"/>
        </w:rPr>
        <w:t xml:space="preserve"> and remained </w:t>
      </w:r>
      <w:r w:rsidR="00911CAD" w:rsidRPr="0058452E">
        <w:rPr>
          <w:rFonts w:asciiTheme="minorHAnsi" w:hAnsiTheme="minorHAnsi" w:cstheme="minorHAnsi"/>
        </w:rPr>
        <w:t>stable among Hispanic females in Delaware between 2007 and 2021.</w:t>
      </w:r>
    </w:p>
    <w:p w14:paraId="42F66630" w14:textId="77777777" w:rsidR="00911CAD" w:rsidRPr="00031A12" w:rsidRDefault="00911CAD" w:rsidP="00911CAD">
      <w:pPr>
        <w:pStyle w:val="ListParagraph"/>
        <w:spacing w:after="0" w:line="240" w:lineRule="auto"/>
        <w:ind w:left="0"/>
        <w:rPr>
          <w:rFonts w:asciiTheme="minorHAnsi" w:hAnsiTheme="minorHAnsi" w:cstheme="minorHAnsi"/>
        </w:rPr>
      </w:pPr>
    </w:p>
    <w:p w14:paraId="01BB29FD" w14:textId="4C5F7DA9" w:rsidR="00911CAD" w:rsidRDefault="003E5BAB" w:rsidP="00911CAD">
      <w:pPr>
        <w:spacing w:after="120" w:line="240" w:lineRule="auto"/>
        <w:rPr>
          <w:rFonts w:asciiTheme="minorHAnsi" w:hAnsiTheme="minorHAnsi"/>
        </w:rPr>
      </w:pPr>
      <w:r w:rsidRPr="00EF6B11">
        <w:rPr>
          <w:rFonts w:asciiTheme="minorHAnsi" w:hAnsiTheme="minorHAnsi" w:cstheme="minorHAnsi"/>
        </w:rPr>
        <w:t>In 2017</w:t>
      </w:r>
      <w:r w:rsidR="00B10CB0">
        <w:rPr>
          <w:rFonts w:asciiTheme="minorHAnsi" w:hAnsiTheme="minorHAnsi" w:cstheme="minorHAnsi"/>
        </w:rPr>
        <w:t xml:space="preserve"> to </w:t>
      </w:r>
      <w:r w:rsidRPr="00EF6B11">
        <w:rPr>
          <w:rFonts w:asciiTheme="minorHAnsi" w:hAnsiTheme="minorHAnsi" w:cstheme="minorHAnsi"/>
        </w:rPr>
        <w:t xml:space="preserve">2021, </w:t>
      </w:r>
      <w:r>
        <w:rPr>
          <w:rFonts w:asciiTheme="minorHAnsi" w:hAnsiTheme="minorHAnsi"/>
        </w:rPr>
        <w:t>t</w:t>
      </w:r>
      <w:r w:rsidRPr="00EF6B11">
        <w:rPr>
          <w:rFonts w:asciiTheme="minorHAnsi" w:hAnsiTheme="minorHAnsi"/>
        </w:rPr>
        <w:t xml:space="preserve">here were </w:t>
      </w:r>
      <w:r w:rsidRPr="00EF6B11">
        <w:rPr>
          <w:rFonts w:asciiTheme="minorHAnsi" w:hAnsiTheme="minorHAnsi" w:cstheme="minorHAnsi"/>
        </w:rPr>
        <w:t>30,849</w:t>
      </w:r>
      <w:r w:rsidRPr="00EF6B11">
        <w:rPr>
          <w:rFonts w:asciiTheme="minorHAnsi" w:hAnsiTheme="minorHAnsi"/>
        </w:rPr>
        <w:t xml:space="preserve"> new all-site cancer cases diagnosed, an average of 6,169 per yea</w:t>
      </w:r>
      <w:r w:rsidR="0013372A">
        <w:rPr>
          <w:rFonts w:asciiTheme="minorHAnsi" w:hAnsiTheme="minorHAnsi"/>
        </w:rPr>
        <w:t>r in Delaware.</w:t>
      </w:r>
      <w:r w:rsidR="00A22EFC">
        <w:rPr>
          <w:rFonts w:asciiTheme="minorHAnsi" w:hAnsiTheme="minorHAnsi"/>
        </w:rPr>
        <w:t xml:space="preserve"> </w:t>
      </w:r>
      <w:r w:rsidR="005E16FA">
        <w:rPr>
          <w:rFonts w:asciiTheme="minorHAnsi" w:hAnsiTheme="minorHAnsi"/>
        </w:rPr>
        <w:t xml:space="preserve"> </w:t>
      </w:r>
      <w:r w:rsidR="00A22EFC">
        <w:rPr>
          <w:rFonts w:asciiTheme="minorHAnsi" w:hAnsiTheme="minorHAnsi"/>
        </w:rPr>
        <w:t>Of</w:t>
      </w:r>
      <w:r w:rsidR="00911CAD" w:rsidRPr="002B4F10">
        <w:rPr>
          <w:rFonts w:asciiTheme="minorHAnsi" w:hAnsiTheme="minorHAnsi" w:cstheme="minorHAnsi"/>
        </w:rPr>
        <w:t xml:space="preserve"> the 23 site-specific can</w:t>
      </w:r>
      <w:r w:rsidR="00A22EFC">
        <w:rPr>
          <w:rFonts w:asciiTheme="minorHAnsi" w:hAnsiTheme="minorHAnsi" w:cstheme="minorHAnsi"/>
        </w:rPr>
        <w:t>ce</w:t>
      </w:r>
      <w:r w:rsidR="00911CAD" w:rsidRPr="002B4F10">
        <w:rPr>
          <w:rFonts w:asciiTheme="minorHAnsi" w:hAnsiTheme="minorHAnsi" w:cstheme="minorHAnsi"/>
        </w:rPr>
        <w:t xml:space="preserve">rs analyzed, </w:t>
      </w:r>
      <w:r w:rsidR="00911CAD" w:rsidRPr="002B4F10">
        <w:rPr>
          <w:rFonts w:asciiTheme="minorHAnsi" w:hAnsiTheme="minorHAnsi"/>
        </w:rPr>
        <w:t>female breast cancer accounted for 17% of all new cancer cases, followed by lung and bronchus cancer</w:t>
      </w:r>
      <w:r w:rsidR="00911CAD">
        <w:rPr>
          <w:rFonts w:asciiTheme="minorHAnsi" w:hAnsiTheme="minorHAnsi"/>
        </w:rPr>
        <w:t>, which</w:t>
      </w:r>
      <w:r w:rsidR="00911CAD" w:rsidRPr="002B4F10">
        <w:rPr>
          <w:rFonts w:asciiTheme="minorHAnsi" w:hAnsiTheme="minorHAnsi"/>
        </w:rPr>
        <w:t xml:space="preserve"> accounted for 14% of all new cancer cases. </w:t>
      </w:r>
      <w:r w:rsidR="00911CAD">
        <w:rPr>
          <w:rFonts w:asciiTheme="minorHAnsi" w:hAnsiTheme="minorHAnsi"/>
        </w:rPr>
        <w:t xml:space="preserve"> </w:t>
      </w:r>
      <w:r w:rsidR="00911CAD" w:rsidRPr="002B4F10">
        <w:rPr>
          <w:rFonts w:asciiTheme="minorHAnsi" w:hAnsiTheme="minorHAnsi"/>
        </w:rPr>
        <w:t>During 2017-2021</w:t>
      </w:r>
      <w:r w:rsidR="00911CAD">
        <w:rPr>
          <w:rFonts w:asciiTheme="minorHAnsi" w:hAnsiTheme="minorHAnsi"/>
        </w:rPr>
        <w:t>:</w:t>
      </w:r>
    </w:p>
    <w:p w14:paraId="04468DA1" w14:textId="77777777" w:rsidR="00911CAD" w:rsidRPr="00353BD7" w:rsidRDefault="00911CAD" w:rsidP="00911CAD">
      <w:pPr>
        <w:pStyle w:val="ListParagraph"/>
        <w:numPr>
          <w:ilvl w:val="0"/>
          <w:numId w:val="46"/>
        </w:numPr>
        <w:spacing w:after="120" w:line="240" w:lineRule="auto"/>
        <w:rPr>
          <w:rFonts w:asciiTheme="minorHAnsi" w:hAnsiTheme="minorHAnsi"/>
        </w:rPr>
      </w:pPr>
      <w:r w:rsidRPr="00353BD7">
        <w:rPr>
          <w:rFonts w:asciiTheme="minorHAnsi" w:hAnsiTheme="minorHAnsi"/>
        </w:rPr>
        <w:t xml:space="preserve">Delaware females had a statistically significantly lower age-adjusted incidence rate compared to Delaware males for colon and rectum (colorectal), esophagus, kidney and renal pelvis, larynx, leukemia, liver and intrahepatic bile duct, lung and bronchus, melanoma, myeloma, non-Hodgkin lymphoma, oral cavity and pharynx, pancreas, stomach, and urinary bladder. </w:t>
      </w:r>
    </w:p>
    <w:p w14:paraId="21B40E3E" w14:textId="77777777" w:rsidR="00911CAD" w:rsidRPr="00353BD7" w:rsidRDefault="00911CAD" w:rsidP="00911CAD">
      <w:pPr>
        <w:pStyle w:val="ListParagraph"/>
        <w:numPr>
          <w:ilvl w:val="0"/>
          <w:numId w:val="46"/>
        </w:numPr>
        <w:spacing w:after="120" w:line="240" w:lineRule="auto"/>
        <w:rPr>
          <w:rFonts w:asciiTheme="minorHAnsi" w:hAnsiTheme="minorHAnsi"/>
        </w:rPr>
      </w:pPr>
      <w:r w:rsidRPr="00353BD7">
        <w:rPr>
          <w:rFonts w:asciiTheme="minorHAnsi" w:hAnsiTheme="minorHAnsi"/>
        </w:rPr>
        <w:t xml:space="preserve">Delaware females had a statistically higher incidence rate for thyroid cancer compared to Delaware males. </w:t>
      </w:r>
    </w:p>
    <w:p w14:paraId="13932633" w14:textId="77777777" w:rsidR="00911CAD" w:rsidRDefault="00911CAD" w:rsidP="00911CAD">
      <w:pPr>
        <w:pStyle w:val="ListParagraph"/>
        <w:numPr>
          <w:ilvl w:val="0"/>
          <w:numId w:val="46"/>
        </w:numPr>
        <w:spacing w:after="120" w:line="240" w:lineRule="auto"/>
        <w:rPr>
          <w:rFonts w:asciiTheme="minorHAnsi" w:hAnsiTheme="minorHAnsi"/>
        </w:rPr>
      </w:pPr>
      <w:r w:rsidRPr="00353BD7">
        <w:rPr>
          <w:rFonts w:asciiTheme="minorHAnsi" w:hAnsiTheme="minorHAnsi"/>
        </w:rPr>
        <w:t>There was statistically no difference in the age-adjusted incidence rate among Delaware females compared to Delaware males for brain and other nervous system and Hodgkin lymphoma cancers</w:t>
      </w:r>
      <w:r>
        <w:rPr>
          <w:rFonts w:asciiTheme="minorHAnsi" w:hAnsiTheme="minorHAnsi"/>
        </w:rPr>
        <w:t>.</w:t>
      </w:r>
    </w:p>
    <w:p w14:paraId="0F2D3A46" w14:textId="77777777" w:rsidR="00911CAD" w:rsidRPr="00FD7DEF" w:rsidRDefault="00911CAD" w:rsidP="00911CAD">
      <w:pPr>
        <w:pStyle w:val="ListParagraph"/>
        <w:numPr>
          <w:ilvl w:val="0"/>
          <w:numId w:val="46"/>
        </w:numPr>
        <w:spacing w:after="120" w:line="240" w:lineRule="auto"/>
        <w:rPr>
          <w:rFonts w:asciiTheme="minorHAnsi" w:hAnsiTheme="minorHAnsi"/>
        </w:rPr>
      </w:pPr>
      <w:r w:rsidRPr="00FD7DEF">
        <w:rPr>
          <w:rFonts w:asciiTheme="minorHAnsi" w:hAnsiTheme="minorHAnsi"/>
        </w:rPr>
        <w:lastRenderedPageBreak/>
        <w:t xml:space="preserve">Non-Hispanic Black Delawareans had a statistically significantly higher age-adjusted incidence rate compared to </w:t>
      </w:r>
      <w:r>
        <w:rPr>
          <w:rFonts w:asciiTheme="minorHAnsi" w:hAnsiTheme="minorHAnsi"/>
        </w:rPr>
        <w:t>non</w:t>
      </w:r>
      <w:r w:rsidRPr="00FD7DEF">
        <w:rPr>
          <w:rFonts w:asciiTheme="minorHAnsi" w:hAnsiTheme="minorHAnsi"/>
        </w:rPr>
        <w:t xml:space="preserve">-Hispanic White Delawareans for the following cancers: </w:t>
      </w:r>
      <w:r>
        <w:rPr>
          <w:rFonts w:asciiTheme="minorHAnsi" w:hAnsiTheme="minorHAnsi"/>
        </w:rPr>
        <w:t xml:space="preserve"> </w:t>
      </w:r>
      <w:r w:rsidRPr="00FD7DEF">
        <w:rPr>
          <w:rFonts w:asciiTheme="minorHAnsi" w:hAnsiTheme="minorHAnsi"/>
        </w:rPr>
        <w:t xml:space="preserve">stomach, liver and intrahepatic bile duct, pancreas, myeloma, and prostate cancers. </w:t>
      </w:r>
    </w:p>
    <w:p w14:paraId="5521530D" w14:textId="77777777" w:rsidR="00911CAD" w:rsidRPr="00FD7DEF" w:rsidRDefault="00911CAD" w:rsidP="00911CAD">
      <w:pPr>
        <w:pStyle w:val="ListParagraph"/>
        <w:numPr>
          <w:ilvl w:val="0"/>
          <w:numId w:val="46"/>
        </w:numPr>
        <w:spacing w:after="120" w:line="240" w:lineRule="auto"/>
        <w:rPr>
          <w:rFonts w:asciiTheme="minorHAnsi" w:hAnsiTheme="minorHAnsi"/>
        </w:rPr>
      </w:pPr>
      <w:r w:rsidRPr="00FD7DEF">
        <w:rPr>
          <w:rFonts w:asciiTheme="minorHAnsi" w:hAnsiTheme="minorHAnsi"/>
        </w:rPr>
        <w:t xml:space="preserve">Non-Hispanic Black Delawareans had a statistically significantly lower age-adjusted incidence rate compared to </w:t>
      </w:r>
      <w:r>
        <w:rPr>
          <w:rFonts w:asciiTheme="minorHAnsi" w:hAnsiTheme="minorHAnsi"/>
        </w:rPr>
        <w:t>non</w:t>
      </w:r>
      <w:r w:rsidRPr="00FD7DEF">
        <w:rPr>
          <w:rFonts w:asciiTheme="minorHAnsi" w:hAnsiTheme="minorHAnsi"/>
        </w:rPr>
        <w:t>-Hispanic White Delawareans for oral cavity and pharynx, esophagus, lung and bronchus, urinary bladder, brain and other nervous system, thyroid, non-Hodgkin lymphoma, leukemia, and ovarian cancers.</w:t>
      </w:r>
    </w:p>
    <w:p w14:paraId="7A7C0415" w14:textId="77777777" w:rsidR="00911CAD" w:rsidRPr="00FD7DEF" w:rsidRDefault="00911CAD" w:rsidP="00911CAD">
      <w:pPr>
        <w:pStyle w:val="ListParagraph"/>
        <w:numPr>
          <w:ilvl w:val="0"/>
          <w:numId w:val="46"/>
        </w:numPr>
        <w:spacing w:after="120" w:line="240" w:lineRule="auto"/>
        <w:rPr>
          <w:rFonts w:asciiTheme="minorHAnsi" w:hAnsiTheme="minorHAnsi"/>
        </w:rPr>
      </w:pPr>
      <w:r w:rsidRPr="00FD7DEF">
        <w:rPr>
          <w:rFonts w:asciiTheme="minorHAnsi" w:hAnsiTheme="minorHAnsi"/>
        </w:rPr>
        <w:t xml:space="preserve">Non-Hispanic Black Delawareans had statistically no difference in age-adjusted incidence rates compared to </w:t>
      </w:r>
      <w:r>
        <w:rPr>
          <w:rFonts w:asciiTheme="minorHAnsi" w:hAnsiTheme="minorHAnsi"/>
        </w:rPr>
        <w:t>non</w:t>
      </w:r>
      <w:r w:rsidRPr="00FD7DEF">
        <w:rPr>
          <w:rFonts w:asciiTheme="minorHAnsi" w:hAnsiTheme="minorHAnsi"/>
        </w:rPr>
        <w:t>-Hispanic White Delawareans for all-sites, colon and rectum (colorectal), larynx, kidney and renal pelvis, Hodgkin lymphoma, female breast, cervical</w:t>
      </w:r>
      <w:r>
        <w:rPr>
          <w:rFonts w:asciiTheme="minorHAnsi" w:hAnsiTheme="minorHAnsi"/>
        </w:rPr>
        <w:t>,</w:t>
      </w:r>
      <w:r w:rsidRPr="00FD7DEF">
        <w:rPr>
          <w:rFonts w:asciiTheme="minorHAnsi" w:hAnsiTheme="minorHAnsi"/>
        </w:rPr>
        <w:t xml:space="preserve"> and uterine cancers. </w:t>
      </w:r>
    </w:p>
    <w:p w14:paraId="02B5806F" w14:textId="77777777" w:rsidR="00911CAD" w:rsidRPr="00FD7DEF" w:rsidRDefault="00911CAD" w:rsidP="00911CAD">
      <w:pPr>
        <w:pStyle w:val="ListParagraph"/>
        <w:numPr>
          <w:ilvl w:val="0"/>
          <w:numId w:val="46"/>
        </w:numPr>
        <w:spacing w:after="120" w:line="240" w:lineRule="auto"/>
        <w:rPr>
          <w:rFonts w:asciiTheme="minorHAnsi" w:hAnsiTheme="minorHAnsi"/>
        </w:rPr>
      </w:pPr>
      <w:r w:rsidRPr="00FD7DEF">
        <w:rPr>
          <w:rFonts w:asciiTheme="minorHAnsi" w:hAnsiTheme="minorHAnsi"/>
        </w:rPr>
        <w:t xml:space="preserve">Hispanic Black Delawareans had a statistically significantly higher age-adjusted incidence rate compared to </w:t>
      </w:r>
      <w:r>
        <w:rPr>
          <w:rFonts w:asciiTheme="minorHAnsi" w:hAnsiTheme="minorHAnsi"/>
        </w:rPr>
        <w:t>non</w:t>
      </w:r>
      <w:r w:rsidRPr="00FD7DEF">
        <w:rPr>
          <w:rFonts w:asciiTheme="minorHAnsi" w:hAnsiTheme="minorHAnsi"/>
        </w:rPr>
        <w:t>-Hispanic White Delawareans for stomach and liver and intrahepatic bile duct cancers.</w:t>
      </w:r>
    </w:p>
    <w:p w14:paraId="080CDDE5" w14:textId="77777777" w:rsidR="00911CAD" w:rsidRPr="00FD7DEF" w:rsidRDefault="00911CAD" w:rsidP="00911CAD">
      <w:pPr>
        <w:pStyle w:val="ListParagraph"/>
        <w:numPr>
          <w:ilvl w:val="0"/>
          <w:numId w:val="46"/>
        </w:numPr>
        <w:spacing w:after="120" w:line="240" w:lineRule="auto"/>
        <w:rPr>
          <w:rFonts w:asciiTheme="minorHAnsi" w:hAnsiTheme="minorHAnsi"/>
        </w:rPr>
      </w:pPr>
      <w:r w:rsidRPr="00FD7DEF">
        <w:rPr>
          <w:rFonts w:asciiTheme="minorHAnsi" w:hAnsiTheme="minorHAnsi"/>
        </w:rPr>
        <w:t xml:space="preserve">Hispanic Delawareans had a statistically significantly lower age-adjusted incidence rate compared to </w:t>
      </w:r>
      <w:r>
        <w:rPr>
          <w:rFonts w:asciiTheme="minorHAnsi" w:hAnsiTheme="minorHAnsi"/>
        </w:rPr>
        <w:t>non</w:t>
      </w:r>
      <w:r w:rsidRPr="00FD7DEF">
        <w:rPr>
          <w:rFonts w:asciiTheme="minorHAnsi" w:hAnsiTheme="minorHAnsi"/>
        </w:rPr>
        <w:t>-Hispanic White Delawareans for all-sites, oral cavity and pharynx, colon and rectum (colorectal) lung and bronchus, urinary bladder, prostate</w:t>
      </w:r>
      <w:r>
        <w:rPr>
          <w:rFonts w:asciiTheme="minorHAnsi" w:hAnsiTheme="minorHAnsi"/>
        </w:rPr>
        <w:t>,</w:t>
      </w:r>
      <w:r w:rsidRPr="00FD7DEF">
        <w:rPr>
          <w:rFonts w:asciiTheme="minorHAnsi" w:hAnsiTheme="minorHAnsi"/>
        </w:rPr>
        <w:t xml:space="preserve"> and female breast cancers. </w:t>
      </w:r>
    </w:p>
    <w:p w14:paraId="70A95D2D" w14:textId="77777777" w:rsidR="00911CAD" w:rsidRPr="00FD7DEF" w:rsidRDefault="00911CAD" w:rsidP="00911CAD">
      <w:pPr>
        <w:pStyle w:val="ListParagraph"/>
        <w:numPr>
          <w:ilvl w:val="0"/>
          <w:numId w:val="46"/>
        </w:numPr>
        <w:spacing w:after="120" w:line="240" w:lineRule="auto"/>
        <w:rPr>
          <w:rFonts w:asciiTheme="minorHAnsi" w:hAnsiTheme="minorHAnsi"/>
        </w:rPr>
      </w:pPr>
      <w:r w:rsidRPr="00FD7DEF">
        <w:rPr>
          <w:rFonts w:asciiTheme="minorHAnsi" w:hAnsiTheme="minorHAnsi"/>
        </w:rPr>
        <w:t xml:space="preserve">Hispanic Delawareans had statistically no difference in age-adjusted incidence rates compared to </w:t>
      </w:r>
      <w:r>
        <w:rPr>
          <w:rFonts w:asciiTheme="minorHAnsi" w:hAnsiTheme="minorHAnsi"/>
        </w:rPr>
        <w:t>non</w:t>
      </w:r>
      <w:r w:rsidRPr="00FD7DEF">
        <w:rPr>
          <w:rFonts w:asciiTheme="minorHAnsi" w:hAnsiTheme="minorHAnsi"/>
        </w:rPr>
        <w:t>-Hispanic White Delawareans for pancreas, kidney and renal pelvis, non-Hodgkin lymphoma, brain and other nervous system, myeloma, leukemia, uterine</w:t>
      </w:r>
      <w:r>
        <w:rPr>
          <w:rFonts w:asciiTheme="minorHAnsi" w:hAnsiTheme="minorHAnsi"/>
        </w:rPr>
        <w:t>,</w:t>
      </w:r>
      <w:r w:rsidRPr="00FD7DEF">
        <w:rPr>
          <w:rFonts w:asciiTheme="minorHAnsi" w:hAnsiTheme="minorHAnsi"/>
        </w:rPr>
        <w:t xml:space="preserve"> and ovarian cancers. </w:t>
      </w:r>
    </w:p>
    <w:p w14:paraId="2C688705" w14:textId="77777777" w:rsidR="00911CAD" w:rsidRPr="00FD7DEF" w:rsidRDefault="00911CAD" w:rsidP="00911CAD">
      <w:pPr>
        <w:pStyle w:val="ListParagraph"/>
        <w:spacing w:after="120" w:line="240" w:lineRule="auto"/>
        <w:rPr>
          <w:rFonts w:asciiTheme="minorHAnsi" w:hAnsiTheme="minorHAnsi"/>
        </w:rPr>
      </w:pPr>
    </w:p>
    <w:p w14:paraId="411082F0" w14:textId="77777777" w:rsidR="00911CAD" w:rsidRDefault="00911CAD" w:rsidP="00911CAD">
      <w:pPr>
        <w:pStyle w:val="ListParagraph"/>
        <w:spacing w:after="0" w:line="240" w:lineRule="auto"/>
        <w:ind w:left="0"/>
        <w:rPr>
          <w:rFonts w:ascii="Calibri" w:eastAsia="Calibri" w:hAnsi="Calibri" w:cs="Arial"/>
          <w:b/>
          <w:szCs w:val="24"/>
        </w:rPr>
      </w:pPr>
      <w:r>
        <w:rPr>
          <w:rFonts w:ascii="Calibri" w:eastAsia="Calibri" w:hAnsi="Calibri" w:cs="Arial"/>
          <w:b/>
          <w:szCs w:val="24"/>
        </w:rPr>
        <w:t>MORTALITY</w:t>
      </w:r>
    </w:p>
    <w:p w14:paraId="317C0CE7" w14:textId="4C3EF0FC" w:rsidR="00911CAD" w:rsidRPr="00402C72" w:rsidRDefault="00706892" w:rsidP="00911CAD">
      <w:pPr>
        <w:widowControl w:val="0"/>
        <w:spacing w:after="120" w:line="240" w:lineRule="auto"/>
        <w:rPr>
          <w:rFonts w:ascii="Calibri" w:eastAsia="Times New Roman" w:hAnsi="Calibri" w:cs="Times New Roman"/>
          <w:szCs w:val="24"/>
        </w:rPr>
      </w:pPr>
      <w:r>
        <w:rPr>
          <w:rFonts w:ascii="Calibri" w:eastAsia="Times New Roman" w:hAnsi="Calibri" w:cs="Times New Roman"/>
          <w:szCs w:val="24"/>
        </w:rPr>
        <w:t>In 2017-2021, t</w:t>
      </w:r>
      <w:r w:rsidR="00911CAD">
        <w:rPr>
          <w:rFonts w:ascii="Calibri" w:eastAsia="Times New Roman" w:hAnsi="Calibri" w:cs="Times New Roman"/>
          <w:szCs w:val="24"/>
        </w:rPr>
        <w:t>he</w:t>
      </w:r>
      <w:r>
        <w:rPr>
          <w:rFonts w:ascii="Calibri" w:eastAsia="Times New Roman" w:hAnsi="Calibri" w:cs="Times New Roman"/>
          <w:szCs w:val="24"/>
        </w:rPr>
        <w:t xml:space="preserve"> Delaware</w:t>
      </w:r>
      <w:r w:rsidR="00911CAD">
        <w:rPr>
          <w:rFonts w:ascii="Calibri" w:eastAsia="Times New Roman" w:hAnsi="Calibri" w:cs="Times New Roman"/>
          <w:szCs w:val="24"/>
        </w:rPr>
        <w:t xml:space="preserve"> </w:t>
      </w:r>
      <w:r w:rsidR="00911CAD" w:rsidRPr="00206A6C">
        <w:rPr>
          <w:rFonts w:ascii="Calibri" w:eastAsia="Times New Roman" w:hAnsi="Calibri" w:cs="Times New Roman"/>
          <w:szCs w:val="24"/>
        </w:rPr>
        <w:t>all-site cancer mortality rate of 15</w:t>
      </w:r>
      <w:r w:rsidR="00911CAD">
        <w:rPr>
          <w:rFonts w:ascii="Calibri" w:eastAsia="Times New Roman" w:hAnsi="Calibri" w:cs="Times New Roman"/>
          <w:szCs w:val="24"/>
        </w:rPr>
        <w:t>4</w:t>
      </w:r>
      <w:r w:rsidR="00911CAD" w:rsidRPr="00206A6C">
        <w:rPr>
          <w:rFonts w:ascii="Calibri" w:eastAsia="Times New Roman" w:hAnsi="Calibri" w:cs="Times New Roman"/>
          <w:szCs w:val="24"/>
        </w:rPr>
        <w:t>.</w:t>
      </w:r>
      <w:r w:rsidR="00911CAD">
        <w:rPr>
          <w:rFonts w:ascii="Calibri" w:eastAsia="Times New Roman" w:hAnsi="Calibri" w:cs="Times New Roman"/>
          <w:szCs w:val="24"/>
        </w:rPr>
        <w:t>1</w:t>
      </w:r>
      <w:r w:rsidR="00911CAD" w:rsidRPr="00206A6C">
        <w:rPr>
          <w:rFonts w:ascii="Calibri" w:eastAsia="Times New Roman" w:hAnsi="Calibri" w:cs="Times New Roman"/>
          <w:szCs w:val="24"/>
        </w:rPr>
        <w:t xml:space="preserve"> per 100,000 population was higher than the U.S. rate of 14</w:t>
      </w:r>
      <w:r w:rsidR="00911CAD">
        <w:rPr>
          <w:rFonts w:ascii="Calibri" w:eastAsia="Times New Roman" w:hAnsi="Calibri" w:cs="Times New Roman"/>
          <w:szCs w:val="24"/>
        </w:rPr>
        <w:t>8</w:t>
      </w:r>
      <w:r w:rsidR="00911CAD" w:rsidRPr="00206A6C">
        <w:rPr>
          <w:rFonts w:ascii="Calibri" w:eastAsia="Times New Roman" w:hAnsi="Calibri" w:cs="Times New Roman"/>
          <w:szCs w:val="24"/>
        </w:rPr>
        <w:t xml:space="preserve">.4 per 100,000 population.  Although Delaware’s all-site cancer mortality rate has historically been higher than the U.S. rate, the gap narrowed over the last decade as the state continues to make </w:t>
      </w:r>
      <w:r w:rsidR="00911CAD" w:rsidRPr="00206A6C">
        <w:rPr>
          <w:rFonts w:ascii="Calibri" w:eastAsia="Calibri" w:hAnsi="Calibri" w:cs="Arial"/>
          <w:szCs w:val="24"/>
        </w:rPr>
        <w:t xml:space="preserve">strides in reducing the cancer </w:t>
      </w:r>
      <w:r w:rsidR="00911CAD" w:rsidRPr="00206A6C">
        <w:rPr>
          <w:rFonts w:ascii="Calibri" w:eastAsia="Calibri" w:hAnsi="Calibri" w:cs="Calibri"/>
        </w:rPr>
        <w:t xml:space="preserve">mortality rate through cancer screening and early detection.  </w:t>
      </w:r>
      <w:r w:rsidR="00911CAD" w:rsidRPr="00206A6C">
        <w:rPr>
          <w:rFonts w:ascii="Calibri" w:eastAsia="Times New Roman" w:hAnsi="Calibri" w:cs="Calibri"/>
          <w:bCs/>
        </w:rPr>
        <w:t>Delaware</w:t>
      </w:r>
      <w:r w:rsidR="00DD2580">
        <w:rPr>
          <w:rFonts w:ascii="Calibri" w:eastAsia="Times New Roman" w:hAnsi="Calibri" w:cs="Calibri"/>
          <w:bCs/>
        </w:rPr>
        <w:t xml:space="preserve"> ranks </w:t>
      </w:r>
      <w:r w:rsidR="00911CAD" w:rsidRPr="00206A6C">
        <w:rPr>
          <w:rFonts w:ascii="Calibri" w:eastAsia="Times New Roman" w:hAnsi="Calibri" w:cs="Calibri"/>
          <w:bCs/>
        </w:rPr>
        <w:t>1</w:t>
      </w:r>
      <w:r w:rsidR="008F25FF">
        <w:rPr>
          <w:rFonts w:ascii="Calibri" w:eastAsia="Times New Roman" w:hAnsi="Calibri" w:cs="Calibri"/>
          <w:bCs/>
        </w:rPr>
        <w:t>6</w:t>
      </w:r>
      <w:r w:rsidR="00911CAD" w:rsidRPr="00206A6C">
        <w:rPr>
          <w:rFonts w:ascii="Calibri" w:eastAsia="Times New Roman" w:hAnsi="Calibri" w:cs="Calibri"/>
          <w:bCs/>
          <w:vertAlign w:val="superscript"/>
        </w:rPr>
        <w:t>th</w:t>
      </w:r>
      <w:r w:rsidR="00911CAD" w:rsidRPr="00206A6C">
        <w:rPr>
          <w:rFonts w:ascii="Calibri" w:eastAsia="Times New Roman" w:hAnsi="Calibri" w:cs="Calibri"/>
          <w:bCs/>
        </w:rPr>
        <w:t xml:space="preserve"> among the states for highest all-site cancer mortality</w:t>
      </w:r>
      <w:r w:rsidR="00CF3A29">
        <w:rPr>
          <w:rFonts w:ascii="Calibri" w:eastAsia="Times New Roman" w:hAnsi="Calibri" w:cs="Calibri"/>
          <w:bCs/>
        </w:rPr>
        <w:t>, which is an improvement compared to the 20</w:t>
      </w:r>
      <w:r w:rsidR="00DE1894">
        <w:rPr>
          <w:rFonts w:ascii="Calibri" w:eastAsia="Times New Roman" w:hAnsi="Calibri" w:cs="Calibri"/>
          <w:bCs/>
        </w:rPr>
        <w:t>16-2020</w:t>
      </w:r>
      <w:r w:rsidR="00D6700C">
        <w:rPr>
          <w:rFonts w:ascii="Calibri" w:eastAsia="Times New Roman" w:hAnsi="Calibri" w:cs="Calibri"/>
          <w:bCs/>
        </w:rPr>
        <w:t xml:space="preserve"> </w:t>
      </w:r>
      <w:proofErr w:type="gramStart"/>
      <w:r w:rsidR="00D6700C">
        <w:rPr>
          <w:rFonts w:ascii="Calibri" w:eastAsia="Times New Roman" w:hAnsi="Calibri" w:cs="Calibri"/>
          <w:bCs/>
        </w:rPr>
        <w:t>time period</w:t>
      </w:r>
      <w:proofErr w:type="gramEnd"/>
      <w:r w:rsidR="00DE1894">
        <w:rPr>
          <w:rFonts w:ascii="Calibri" w:eastAsia="Times New Roman" w:hAnsi="Calibri" w:cs="Calibri"/>
          <w:bCs/>
        </w:rPr>
        <w:t>, when Delaware ranked 15</w:t>
      </w:r>
      <w:r w:rsidR="00DE1894" w:rsidRPr="00DE1894">
        <w:rPr>
          <w:rFonts w:ascii="Calibri" w:eastAsia="Times New Roman" w:hAnsi="Calibri" w:cs="Calibri"/>
          <w:bCs/>
          <w:vertAlign w:val="superscript"/>
        </w:rPr>
        <w:t>th</w:t>
      </w:r>
      <w:r w:rsidR="00DE1894">
        <w:rPr>
          <w:rFonts w:ascii="Calibri" w:eastAsia="Times New Roman" w:hAnsi="Calibri" w:cs="Calibri"/>
          <w:bCs/>
        </w:rPr>
        <w:t xml:space="preserve">. </w:t>
      </w:r>
      <w:r w:rsidR="00C916DF">
        <w:rPr>
          <w:rFonts w:ascii="Calibri" w:eastAsia="Times New Roman" w:hAnsi="Calibri" w:cs="Calibri"/>
          <w:bCs/>
        </w:rPr>
        <w:t xml:space="preserve"> </w:t>
      </w:r>
      <w:r w:rsidR="00DE1894">
        <w:rPr>
          <w:rFonts w:ascii="Calibri" w:eastAsia="Times New Roman" w:hAnsi="Calibri" w:cs="Calibri"/>
          <w:bCs/>
        </w:rPr>
        <w:t xml:space="preserve">This </w:t>
      </w:r>
      <w:r w:rsidR="00911CAD" w:rsidRPr="00206A6C">
        <w:rPr>
          <w:rFonts w:ascii="Calibri" w:eastAsia="Times New Roman" w:hAnsi="Calibri" w:cs="Calibri"/>
          <w:bCs/>
        </w:rPr>
        <w:t xml:space="preserve">represents considerable continued progress since the 1990s, when the state ranked second.  </w:t>
      </w:r>
      <w:r w:rsidR="00911CAD">
        <w:rPr>
          <w:rFonts w:ascii="Calibri" w:eastAsia="Times New Roman" w:hAnsi="Calibri" w:cs="Calibri"/>
          <w:bCs/>
        </w:rPr>
        <w:t>In the 15-year period b</w:t>
      </w:r>
      <w:r w:rsidR="00911CAD" w:rsidRPr="00206A6C">
        <w:rPr>
          <w:rFonts w:asciiTheme="minorHAnsi" w:hAnsiTheme="minorHAnsi" w:cstheme="minorHAnsi"/>
        </w:rPr>
        <w:t>etween 200</w:t>
      </w:r>
      <w:r w:rsidR="00911CAD">
        <w:rPr>
          <w:rFonts w:asciiTheme="minorHAnsi" w:hAnsiTheme="minorHAnsi" w:cstheme="minorHAnsi"/>
        </w:rPr>
        <w:t>7</w:t>
      </w:r>
      <w:r w:rsidR="00911CAD" w:rsidRPr="00206A6C">
        <w:rPr>
          <w:rFonts w:asciiTheme="minorHAnsi" w:hAnsiTheme="minorHAnsi" w:cstheme="minorHAnsi"/>
        </w:rPr>
        <w:t xml:space="preserve"> and 202</w:t>
      </w:r>
      <w:r w:rsidR="00911CAD">
        <w:rPr>
          <w:rFonts w:asciiTheme="minorHAnsi" w:hAnsiTheme="minorHAnsi" w:cstheme="minorHAnsi"/>
        </w:rPr>
        <w:t>1</w:t>
      </w:r>
      <w:r w:rsidR="00911CAD" w:rsidRPr="00206A6C">
        <w:rPr>
          <w:rFonts w:asciiTheme="minorHAnsi" w:hAnsiTheme="minorHAnsi" w:cstheme="minorHAnsi"/>
        </w:rPr>
        <w:t>, mortality rates for all-site cancer decreased an average of 1.8% per year in Delaware and decreased an average of 1.</w:t>
      </w:r>
      <w:r w:rsidR="00911CAD">
        <w:rPr>
          <w:rFonts w:asciiTheme="minorHAnsi" w:hAnsiTheme="minorHAnsi" w:cstheme="minorHAnsi"/>
        </w:rPr>
        <w:t>5</w:t>
      </w:r>
      <w:r w:rsidR="00911CAD" w:rsidRPr="00206A6C">
        <w:rPr>
          <w:rFonts w:asciiTheme="minorHAnsi" w:hAnsiTheme="minorHAnsi" w:cstheme="minorHAnsi"/>
        </w:rPr>
        <w:t xml:space="preserve">% per year in the U.S. </w:t>
      </w:r>
    </w:p>
    <w:p w14:paraId="7F07B9FA" w14:textId="77777777" w:rsidR="00911CAD" w:rsidRPr="00031A12" w:rsidRDefault="00911CAD" w:rsidP="00911CAD">
      <w:pPr>
        <w:pStyle w:val="ListParagraph"/>
        <w:spacing w:after="0" w:line="240" w:lineRule="auto"/>
        <w:ind w:left="0"/>
        <w:rPr>
          <w:rFonts w:asciiTheme="minorHAnsi" w:hAnsiTheme="minorHAnsi" w:cstheme="minorHAnsi"/>
        </w:rPr>
      </w:pPr>
      <w:r w:rsidRPr="00031A12">
        <w:rPr>
          <w:rFonts w:asciiTheme="minorHAnsi" w:hAnsiTheme="minorHAnsi" w:cstheme="minorHAnsi"/>
        </w:rPr>
        <w:t>Between 200</w:t>
      </w:r>
      <w:r>
        <w:rPr>
          <w:rFonts w:asciiTheme="minorHAnsi" w:hAnsiTheme="minorHAnsi" w:cstheme="minorHAnsi"/>
        </w:rPr>
        <w:t>7</w:t>
      </w:r>
      <w:r w:rsidRPr="00031A12">
        <w:rPr>
          <w:rFonts w:asciiTheme="minorHAnsi" w:hAnsiTheme="minorHAnsi" w:cstheme="minorHAnsi"/>
        </w:rPr>
        <w:t xml:space="preserve"> and 202</w:t>
      </w:r>
      <w:r>
        <w:rPr>
          <w:rFonts w:asciiTheme="minorHAnsi" w:hAnsiTheme="minorHAnsi" w:cstheme="minorHAnsi"/>
        </w:rPr>
        <w:t>1</w:t>
      </w:r>
      <w:r w:rsidRPr="00031A12">
        <w:rPr>
          <w:rFonts w:asciiTheme="minorHAnsi" w:hAnsiTheme="minorHAnsi" w:cstheme="minorHAnsi"/>
        </w:rPr>
        <w:t xml:space="preserve">, mortality rates for all-site cancer decreased </w:t>
      </w:r>
      <w:r>
        <w:rPr>
          <w:rFonts w:asciiTheme="minorHAnsi" w:hAnsiTheme="minorHAnsi" w:cstheme="minorHAnsi"/>
        </w:rPr>
        <w:t>by</w:t>
      </w:r>
      <w:r w:rsidRPr="00031A12">
        <w:rPr>
          <w:rFonts w:asciiTheme="minorHAnsi" w:hAnsiTheme="minorHAnsi" w:cstheme="minorHAnsi"/>
        </w:rPr>
        <w:t xml:space="preserve"> an average of 1.</w:t>
      </w:r>
      <w:r>
        <w:rPr>
          <w:rFonts w:asciiTheme="minorHAnsi" w:hAnsiTheme="minorHAnsi" w:cstheme="minorHAnsi"/>
        </w:rPr>
        <w:t>6</w:t>
      </w:r>
      <w:r w:rsidRPr="00031A12">
        <w:rPr>
          <w:rFonts w:asciiTheme="minorHAnsi" w:hAnsiTheme="minorHAnsi" w:cstheme="minorHAnsi"/>
        </w:rPr>
        <w:t xml:space="preserve">% per year among </w:t>
      </w:r>
      <w:r>
        <w:rPr>
          <w:rFonts w:asciiTheme="minorHAnsi" w:hAnsiTheme="minorHAnsi" w:cstheme="minorHAnsi"/>
        </w:rPr>
        <w:t>n</w:t>
      </w:r>
      <w:r w:rsidRPr="00031A12">
        <w:rPr>
          <w:rFonts w:asciiTheme="minorHAnsi" w:hAnsiTheme="minorHAnsi" w:cstheme="minorHAnsi"/>
        </w:rPr>
        <w:t xml:space="preserve">on-Hispanic White males and decreased </w:t>
      </w:r>
      <w:r>
        <w:rPr>
          <w:rFonts w:asciiTheme="minorHAnsi" w:hAnsiTheme="minorHAnsi" w:cstheme="minorHAnsi"/>
        </w:rPr>
        <w:t xml:space="preserve">by </w:t>
      </w:r>
      <w:r w:rsidRPr="00031A12">
        <w:rPr>
          <w:rFonts w:asciiTheme="minorHAnsi" w:hAnsiTheme="minorHAnsi" w:cstheme="minorHAnsi"/>
        </w:rPr>
        <w:t xml:space="preserve">an average of </w:t>
      </w:r>
      <w:r>
        <w:rPr>
          <w:rFonts w:asciiTheme="minorHAnsi" w:hAnsiTheme="minorHAnsi" w:cstheme="minorHAnsi"/>
        </w:rPr>
        <w:t>2</w:t>
      </w:r>
      <w:r w:rsidRPr="00031A12">
        <w:rPr>
          <w:rFonts w:asciiTheme="minorHAnsi" w:hAnsiTheme="minorHAnsi" w:cstheme="minorHAnsi"/>
        </w:rPr>
        <w:t>.</w:t>
      </w:r>
      <w:r>
        <w:rPr>
          <w:rFonts w:asciiTheme="minorHAnsi" w:hAnsiTheme="minorHAnsi" w:cstheme="minorHAnsi"/>
        </w:rPr>
        <w:t>0</w:t>
      </w:r>
      <w:r w:rsidRPr="00031A12">
        <w:rPr>
          <w:rFonts w:asciiTheme="minorHAnsi" w:hAnsiTheme="minorHAnsi" w:cstheme="minorHAnsi"/>
        </w:rPr>
        <w:t xml:space="preserve">% per year among </w:t>
      </w:r>
      <w:r>
        <w:rPr>
          <w:rFonts w:asciiTheme="minorHAnsi" w:hAnsiTheme="minorHAnsi" w:cstheme="minorHAnsi"/>
        </w:rPr>
        <w:t>non</w:t>
      </w:r>
      <w:r w:rsidRPr="00031A12">
        <w:rPr>
          <w:rFonts w:asciiTheme="minorHAnsi" w:hAnsiTheme="minorHAnsi" w:cstheme="minorHAnsi"/>
        </w:rPr>
        <w:t>-Hispanic White females.  Between 200</w:t>
      </w:r>
      <w:r>
        <w:rPr>
          <w:rFonts w:asciiTheme="minorHAnsi" w:hAnsiTheme="minorHAnsi" w:cstheme="minorHAnsi"/>
        </w:rPr>
        <w:t>7</w:t>
      </w:r>
      <w:r w:rsidRPr="00031A12">
        <w:rPr>
          <w:rFonts w:asciiTheme="minorHAnsi" w:hAnsiTheme="minorHAnsi" w:cstheme="minorHAnsi"/>
        </w:rPr>
        <w:t xml:space="preserve"> and 202</w:t>
      </w:r>
      <w:r>
        <w:rPr>
          <w:rFonts w:asciiTheme="minorHAnsi" w:hAnsiTheme="minorHAnsi" w:cstheme="minorHAnsi"/>
        </w:rPr>
        <w:t>1</w:t>
      </w:r>
      <w:r w:rsidRPr="00031A12">
        <w:rPr>
          <w:rFonts w:asciiTheme="minorHAnsi" w:hAnsiTheme="minorHAnsi" w:cstheme="minorHAnsi"/>
        </w:rPr>
        <w:t xml:space="preserve">, mortality rates for all-site cancer decreased </w:t>
      </w:r>
      <w:r>
        <w:rPr>
          <w:rFonts w:asciiTheme="minorHAnsi" w:hAnsiTheme="minorHAnsi" w:cstheme="minorHAnsi"/>
        </w:rPr>
        <w:t>by</w:t>
      </w:r>
      <w:r w:rsidRPr="00031A12">
        <w:rPr>
          <w:rFonts w:asciiTheme="minorHAnsi" w:hAnsiTheme="minorHAnsi" w:cstheme="minorHAnsi"/>
        </w:rPr>
        <w:t xml:space="preserve"> an average of </w:t>
      </w:r>
      <w:r>
        <w:rPr>
          <w:rFonts w:asciiTheme="minorHAnsi" w:hAnsiTheme="minorHAnsi" w:cstheme="minorHAnsi"/>
        </w:rPr>
        <w:t>1.7</w:t>
      </w:r>
      <w:r w:rsidRPr="00031A12">
        <w:rPr>
          <w:rFonts w:asciiTheme="minorHAnsi" w:hAnsiTheme="minorHAnsi" w:cstheme="minorHAnsi"/>
        </w:rPr>
        <w:t xml:space="preserve">% per year among </w:t>
      </w:r>
      <w:r>
        <w:rPr>
          <w:rFonts w:asciiTheme="minorHAnsi" w:hAnsiTheme="minorHAnsi" w:cstheme="minorHAnsi"/>
        </w:rPr>
        <w:t>n</w:t>
      </w:r>
      <w:r w:rsidRPr="00031A12">
        <w:rPr>
          <w:rFonts w:asciiTheme="minorHAnsi" w:hAnsiTheme="minorHAnsi" w:cstheme="minorHAnsi"/>
        </w:rPr>
        <w:t xml:space="preserve">on-Hispanic Black males and remained stable for </w:t>
      </w:r>
      <w:r>
        <w:rPr>
          <w:rFonts w:asciiTheme="minorHAnsi" w:hAnsiTheme="minorHAnsi" w:cstheme="minorHAnsi"/>
        </w:rPr>
        <w:t>non</w:t>
      </w:r>
      <w:r w:rsidRPr="00031A12">
        <w:rPr>
          <w:rFonts w:asciiTheme="minorHAnsi" w:hAnsiTheme="minorHAnsi" w:cstheme="minorHAnsi"/>
        </w:rPr>
        <w:t>-Hispanic Black females.  Between 200</w:t>
      </w:r>
      <w:r>
        <w:rPr>
          <w:rFonts w:asciiTheme="minorHAnsi" w:hAnsiTheme="minorHAnsi" w:cstheme="minorHAnsi"/>
        </w:rPr>
        <w:t>7</w:t>
      </w:r>
      <w:r w:rsidRPr="00031A12">
        <w:rPr>
          <w:rFonts w:asciiTheme="minorHAnsi" w:hAnsiTheme="minorHAnsi" w:cstheme="minorHAnsi"/>
        </w:rPr>
        <w:t xml:space="preserve"> and 202</w:t>
      </w:r>
      <w:r>
        <w:rPr>
          <w:rFonts w:asciiTheme="minorHAnsi" w:hAnsiTheme="minorHAnsi" w:cstheme="minorHAnsi"/>
        </w:rPr>
        <w:t>1</w:t>
      </w:r>
      <w:r w:rsidRPr="00031A12">
        <w:rPr>
          <w:rFonts w:asciiTheme="minorHAnsi" w:hAnsiTheme="minorHAnsi" w:cstheme="minorHAnsi"/>
        </w:rPr>
        <w:t>, the trend in mortality rates for all-site cancer was stable among both Hispanic males and Hispanic females in Delaware.</w:t>
      </w:r>
    </w:p>
    <w:p w14:paraId="6676B7A2" w14:textId="77777777" w:rsidR="00911CAD" w:rsidRPr="00031A12" w:rsidRDefault="00911CAD" w:rsidP="00911CAD">
      <w:pPr>
        <w:pStyle w:val="ListParagraph"/>
        <w:spacing w:after="0" w:line="240" w:lineRule="auto"/>
        <w:ind w:left="0"/>
        <w:rPr>
          <w:rFonts w:asciiTheme="minorHAnsi" w:hAnsiTheme="minorHAnsi" w:cstheme="minorHAnsi"/>
        </w:rPr>
      </w:pPr>
    </w:p>
    <w:p w14:paraId="736FBFF4" w14:textId="22EB1BF9" w:rsidR="00911CAD" w:rsidRDefault="006408E2" w:rsidP="00911CAD">
      <w:pPr>
        <w:spacing w:after="120" w:line="240" w:lineRule="auto"/>
        <w:rPr>
          <w:rFonts w:asciiTheme="minorHAnsi" w:hAnsiTheme="minorHAnsi"/>
        </w:rPr>
      </w:pPr>
      <w:r>
        <w:rPr>
          <w:rFonts w:ascii="Calibri" w:eastAsia="Times New Roman" w:hAnsi="Calibri" w:cs="Times New Roman"/>
          <w:szCs w:val="24"/>
        </w:rPr>
        <w:t>In 2017-2021, t</w:t>
      </w:r>
      <w:r w:rsidRPr="00402C72">
        <w:rPr>
          <w:rFonts w:ascii="Calibri" w:eastAsia="Times New Roman" w:hAnsi="Calibri" w:cs="Times New Roman"/>
          <w:szCs w:val="24"/>
        </w:rPr>
        <w:t>here were 10,453 deaths from cancer, an average of 2,090 per yea</w:t>
      </w:r>
      <w:r w:rsidR="003469A3">
        <w:rPr>
          <w:rFonts w:ascii="Calibri" w:eastAsia="Times New Roman" w:hAnsi="Calibri" w:cs="Times New Roman"/>
          <w:szCs w:val="24"/>
        </w:rPr>
        <w:t xml:space="preserve">r in Delaware. </w:t>
      </w:r>
      <w:r w:rsidR="00B97065">
        <w:rPr>
          <w:rFonts w:ascii="Calibri" w:eastAsia="Times New Roman" w:hAnsi="Calibri" w:cs="Times New Roman"/>
          <w:szCs w:val="24"/>
        </w:rPr>
        <w:t xml:space="preserve"> </w:t>
      </w:r>
      <w:r w:rsidR="003469A3">
        <w:rPr>
          <w:rFonts w:ascii="Calibri" w:eastAsia="Times New Roman" w:hAnsi="Calibri" w:cs="Times New Roman"/>
          <w:szCs w:val="24"/>
        </w:rPr>
        <w:t>O</w:t>
      </w:r>
      <w:r w:rsidR="00911CAD" w:rsidRPr="00E01244">
        <w:rPr>
          <w:rFonts w:asciiTheme="minorHAnsi" w:hAnsiTheme="minorHAnsi" w:cstheme="minorHAnsi"/>
        </w:rPr>
        <w:t xml:space="preserve">f the 23 site-specific cancers, </w:t>
      </w:r>
      <w:r w:rsidR="00911CAD">
        <w:rPr>
          <w:rFonts w:asciiTheme="minorHAnsi" w:hAnsiTheme="minorHAnsi"/>
        </w:rPr>
        <w:t>l</w:t>
      </w:r>
      <w:r w:rsidR="00911CAD" w:rsidRPr="00E01244">
        <w:rPr>
          <w:rFonts w:asciiTheme="minorHAnsi" w:hAnsiTheme="minorHAnsi"/>
        </w:rPr>
        <w:t>ung and bronchus cancer accounted for 28% of all new cancer deaths.</w:t>
      </w:r>
      <w:r w:rsidR="00911CAD">
        <w:rPr>
          <w:rFonts w:asciiTheme="minorHAnsi" w:hAnsiTheme="minorHAnsi"/>
        </w:rPr>
        <w:t xml:space="preserve"> </w:t>
      </w:r>
      <w:r w:rsidR="00A3294A">
        <w:rPr>
          <w:rFonts w:asciiTheme="minorHAnsi" w:hAnsiTheme="minorHAnsi"/>
        </w:rPr>
        <w:t xml:space="preserve"> </w:t>
      </w:r>
      <w:r w:rsidR="00911CAD">
        <w:rPr>
          <w:rFonts w:asciiTheme="minorHAnsi" w:hAnsiTheme="minorHAnsi"/>
        </w:rPr>
        <w:t>The second leading cause of cancer death was c</w:t>
      </w:r>
      <w:r w:rsidR="00911CAD" w:rsidRPr="00E01244">
        <w:rPr>
          <w:rFonts w:asciiTheme="minorHAnsi" w:hAnsiTheme="minorHAnsi"/>
        </w:rPr>
        <w:t>olorectal cancer</w:t>
      </w:r>
      <w:r w:rsidR="00911CAD">
        <w:rPr>
          <w:rFonts w:asciiTheme="minorHAnsi" w:hAnsiTheme="minorHAnsi"/>
        </w:rPr>
        <w:t>, which</w:t>
      </w:r>
      <w:r w:rsidR="00911CAD" w:rsidRPr="00E01244">
        <w:rPr>
          <w:rFonts w:asciiTheme="minorHAnsi" w:hAnsiTheme="minorHAnsi"/>
        </w:rPr>
        <w:t xml:space="preserve"> accounted for 9% of all new cancer deaths</w:t>
      </w:r>
      <w:r w:rsidR="00911CAD">
        <w:rPr>
          <w:rFonts w:asciiTheme="minorHAnsi" w:hAnsiTheme="minorHAnsi"/>
        </w:rPr>
        <w:t>; and p</w:t>
      </w:r>
      <w:r w:rsidR="00911CAD" w:rsidRPr="00E01244">
        <w:rPr>
          <w:rFonts w:asciiTheme="minorHAnsi" w:hAnsiTheme="minorHAnsi"/>
        </w:rPr>
        <w:t>ancreatic cancer</w:t>
      </w:r>
      <w:r w:rsidR="00911CAD">
        <w:rPr>
          <w:rFonts w:asciiTheme="minorHAnsi" w:hAnsiTheme="minorHAnsi"/>
        </w:rPr>
        <w:t xml:space="preserve">, which </w:t>
      </w:r>
      <w:r w:rsidR="00911CAD" w:rsidRPr="00E01244">
        <w:rPr>
          <w:rFonts w:asciiTheme="minorHAnsi" w:hAnsiTheme="minorHAnsi"/>
        </w:rPr>
        <w:t>accounted for 9% of all new cancer deaths.</w:t>
      </w:r>
      <w:r w:rsidR="00CE2CB6">
        <w:rPr>
          <w:rFonts w:asciiTheme="minorHAnsi" w:hAnsiTheme="minorHAnsi"/>
        </w:rPr>
        <w:t xml:space="preserve"> </w:t>
      </w:r>
      <w:r w:rsidR="00A3294A">
        <w:rPr>
          <w:rFonts w:asciiTheme="minorHAnsi" w:hAnsiTheme="minorHAnsi"/>
        </w:rPr>
        <w:t xml:space="preserve"> </w:t>
      </w:r>
      <w:r w:rsidR="00911CAD">
        <w:rPr>
          <w:rFonts w:asciiTheme="minorHAnsi" w:hAnsiTheme="minorHAnsi"/>
        </w:rPr>
        <w:t>During 2017-2021:</w:t>
      </w:r>
    </w:p>
    <w:p w14:paraId="2123E862" w14:textId="05359E70" w:rsidR="00911CAD" w:rsidRPr="00AB31EF" w:rsidRDefault="00911CAD" w:rsidP="00911CAD">
      <w:pPr>
        <w:pStyle w:val="ListParagraph"/>
        <w:numPr>
          <w:ilvl w:val="0"/>
          <w:numId w:val="46"/>
        </w:numPr>
        <w:spacing w:after="120" w:line="240" w:lineRule="auto"/>
        <w:rPr>
          <w:rFonts w:asciiTheme="minorHAnsi" w:hAnsiTheme="minorHAnsi"/>
        </w:rPr>
      </w:pPr>
      <w:r w:rsidRPr="00AB31EF">
        <w:rPr>
          <w:rFonts w:asciiTheme="minorHAnsi" w:hAnsiTheme="minorHAnsi"/>
        </w:rPr>
        <w:t xml:space="preserve">Delaware females had a statistically significantly lower age-adjusted mortality rate compared to Delaware males for the following cancers: </w:t>
      </w:r>
      <w:r w:rsidR="00A3294A">
        <w:rPr>
          <w:rFonts w:asciiTheme="minorHAnsi" w:hAnsiTheme="minorHAnsi"/>
        </w:rPr>
        <w:t xml:space="preserve"> </w:t>
      </w:r>
      <w:r w:rsidRPr="00AB31EF">
        <w:rPr>
          <w:rFonts w:asciiTheme="minorHAnsi" w:hAnsiTheme="minorHAnsi"/>
        </w:rPr>
        <w:t xml:space="preserve">all-sites, brain and other nervous system, colon and rectum (colorectal), esophagus, kidney and renal pelvis, larynx, leukemia, liver and intrahepatic bile duct, lung and bronchus, melanoma, myeloma, non-Hodgkin lymphoma, oral cavity and pharynx, pancreas, stomach, and urinary bladder.  </w:t>
      </w:r>
    </w:p>
    <w:p w14:paraId="7996AB13" w14:textId="77777777" w:rsidR="00911CAD" w:rsidRPr="00AB31EF" w:rsidRDefault="00911CAD" w:rsidP="00911CAD">
      <w:pPr>
        <w:pStyle w:val="ListParagraph"/>
        <w:numPr>
          <w:ilvl w:val="0"/>
          <w:numId w:val="46"/>
        </w:numPr>
        <w:spacing w:after="120" w:line="240" w:lineRule="auto"/>
        <w:rPr>
          <w:rFonts w:asciiTheme="minorHAnsi" w:hAnsiTheme="minorHAnsi"/>
        </w:rPr>
      </w:pPr>
      <w:r w:rsidRPr="00AB31EF">
        <w:rPr>
          <w:rFonts w:asciiTheme="minorHAnsi" w:hAnsiTheme="minorHAnsi"/>
        </w:rPr>
        <w:t xml:space="preserve">Non-Hispanic Black Delawareans had a statistically significantly higher age-adjusted mortality rate compared to </w:t>
      </w:r>
      <w:r>
        <w:rPr>
          <w:rFonts w:asciiTheme="minorHAnsi" w:hAnsiTheme="minorHAnsi"/>
        </w:rPr>
        <w:t>non</w:t>
      </w:r>
      <w:r w:rsidRPr="00AB31EF">
        <w:rPr>
          <w:rFonts w:asciiTheme="minorHAnsi" w:hAnsiTheme="minorHAnsi"/>
        </w:rPr>
        <w:t>-Hispanic White Delawareans for</w:t>
      </w:r>
      <w:r>
        <w:rPr>
          <w:rFonts w:asciiTheme="minorHAnsi" w:hAnsiTheme="minorHAnsi"/>
        </w:rPr>
        <w:t xml:space="preserve"> </w:t>
      </w:r>
      <w:r w:rsidRPr="00AB31EF">
        <w:rPr>
          <w:rFonts w:asciiTheme="minorHAnsi" w:hAnsiTheme="minorHAnsi"/>
        </w:rPr>
        <w:t xml:space="preserve">all-sites, stomach, larynx, liver and intrahepatic bile duct, pancreas, myeloma, female breast, prostate, and uterine cancers. </w:t>
      </w:r>
    </w:p>
    <w:p w14:paraId="242DEFF1" w14:textId="77777777" w:rsidR="00911CAD" w:rsidRPr="00AB31EF" w:rsidRDefault="00911CAD" w:rsidP="00911CAD">
      <w:pPr>
        <w:pStyle w:val="ListParagraph"/>
        <w:numPr>
          <w:ilvl w:val="0"/>
          <w:numId w:val="46"/>
        </w:numPr>
        <w:spacing w:after="120" w:line="240" w:lineRule="auto"/>
        <w:rPr>
          <w:rFonts w:asciiTheme="minorHAnsi" w:hAnsiTheme="minorHAnsi"/>
        </w:rPr>
      </w:pPr>
      <w:r w:rsidRPr="00AB31EF">
        <w:rPr>
          <w:rFonts w:asciiTheme="minorHAnsi" w:hAnsiTheme="minorHAnsi"/>
        </w:rPr>
        <w:lastRenderedPageBreak/>
        <w:t xml:space="preserve">Non-Hispanic Black Delawareans had a statistically significantly lower age-adjusted mortality rate compared to </w:t>
      </w:r>
      <w:r>
        <w:rPr>
          <w:rFonts w:asciiTheme="minorHAnsi" w:hAnsiTheme="minorHAnsi"/>
        </w:rPr>
        <w:t>non</w:t>
      </w:r>
      <w:r w:rsidRPr="00AB31EF">
        <w:rPr>
          <w:rFonts w:asciiTheme="minorHAnsi" w:hAnsiTheme="minorHAnsi"/>
        </w:rPr>
        <w:t xml:space="preserve">-Hispanic White Delawareans for brain and other nervous system and esophagus cancers. </w:t>
      </w:r>
    </w:p>
    <w:p w14:paraId="115AA3BB" w14:textId="77777777" w:rsidR="00911CAD" w:rsidRPr="00AB31EF" w:rsidRDefault="00911CAD" w:rsidP="00911CAD">
      <w:pPr>
        <w:pStyle w:val="ListParagraph"/>
        <w:numPr>
          <w:ilvl w:val="0"/>
          <w:numId w:val="46"/>
        </w:numPr>
        <w:spacing w:after="120" w:line="240" w:lineRule="auto"/>
        <w:rPr>
          <w:rFonts w:asciiTheme="minorHAnsi" w:hAnsiTheme="minorHAnsi"/>
        </w:rPr>
      </w:pPr>
      <w:r w:rsidRPr="00AB31EF">
        <w:rPr>
          <w:rFonts w:asciiTheme="minorHAnsi" w:hAnsiTheme="minorHAnsi"/>
        </w:rPr>
        <w:t xml:space="preserve">Non-Hispanic Black Delawareans had statistically no difference in age-adjusted mortality rates compared to </w:t>
      </w:r>
      <w:r>
        <w:rPr>
          <w:rFonts w:asciiTheme="minorHAnsi" w:hAnsiTheme="minorHAnsi"/>
        </w:rPr>
        <w:t>non</w:t>
      </w:r>
      <w:r w:rsidRPr="00AB31EF">
        <w:rPr>
          <w:rFonts w:asciiTheme="minorHAnsi" w:hAnsiTheme="minorHAnsi"/>
        </w:rPr>
        <w:t>-Hispanic White Delawareans for oral cavity and pharynx, colon</w:t>
      </w:r>
      <w:r>
        <w:rPr>
          <w:rFonts w:asciiTheme="minorHAnsi" w:hAnsiTheme="minorHAnsi"/>
        </w:rPr>
        <w:t xml:space="preserve"> </w:t>
      </w:r>
      <w:r w:rsidRPr="00AB31EF">
        <w:rPr>
          <w:rFonts w:asciiTheme="minorHAnsi" w:hAnsiTheme="minorHAnsi"/>
        </w:rPr>
        <w:t>and rectum (colorectal), lung and bronchus, urinary bladder, kidney and renal pelvis, non-Hodgkin lymphoma, leukemia, cervical</w:t>
      </w:r>
      <w:r>
        <w:rPr>
          <w:rFonts w:asciiTheme="minorHAnsi" w:hAnsiTheme="minorHAnsi"/>
        </w:rPr>
        <w:t>,</w:t>
      </w:r>
      <w:r w:rsidRPr="00AB31EF">
        <w:rPr>
          <w:rFonts w:asciiTheme="minorHAnsi" w:hAnsiTheme="minorHAnsi"/>
        </w:rPr>
        <w:t xml:space="preserve"> and ovarian cancers.  </w:t>
      </w:r>
    </w:p>
    <w:p w14:paraId="5D47F2BB" w14:textId="77777777" w:rsidR="00911CAD" w:rsidRPr="00AB31EF" w:rsidRDefault="00911CAD" w:rsidP="00911CAD">
      <w:pPr>
        <w:pStyle w:val="ListParagraph"/>
        <w:numPr>
          <w:ilvl w:val="0"/>
          <w:numId w:val="46"/>
        </w:numPr>
        <w:spacing w:after="120" w:line="240" w:lineRule="auto"/>
        <w:rPr>
          <w:rFonts w:asciiTheme="minorHAnsi" w:hAnsiTheme="minorHAnsi"/>
        </w:rPr>
      </w:pPr>
      <w:r w:rsidRPr="00AB31EF">
        <w:rPr>
          <w:rFonts w:asciiTheme="minorHAnsi" w:hAnsiTheme="minorHAnsi"/>
        </w:rPr>
        <w:t xml:space="preserve">The age-adjusted mortality rate for stomach cancer among Hispanic Delawareans (9.9 deaths per 100,000 population) was statistically significantly higher compared to </w:t>
      </w:r>
      <w:r>
        <w:rPr>
          <w:rFonts w:asciiTheme="minorHAnsi" w:hAnsiTheme="minorHAnsi"/>
        </w:rPr>
        <w:t>non</w:t>
      </w:r>
      <w:r w:rsidRPr="00AB31EF">
        <w:rPr>
          <w:rFonts w:asciiTheme="minorHAnsi" w:hAnsiTheme="minorHAnsi"/>
        </w:rPr>
        <w:t xml:space="preserve">-Hispanic White Delawareans (2.3 deaths per 100,000 population).  </w:t>
      </w:r>
    </w:p>
    <w:p w14:paraId="2C37D9CF" w14:textId="77777777" w:rsidR="00911CAD" w:rsidRPr="00AB31EF" w:rsidRDefault="00911CAD" w:rsidP="00911CAD">
      <w:pPr>
        <w:pStyle w:val="ListParagraph"/>
        <w:numPr>
          <w:ilvl w:val="0"/>
          <w:numId w:val="46"/>
        </w:numPr>
        <w:spacing w:after="120" w:line="240" w:lineRule="auto"/>
        <w:rPr>
          <w:rFonts w:asciiTheme="minorHAnsi" w:hAnsiTheme="minorHAnsi"/>
        </w:rPr>
      </w:pPr>
      <w:r w:rsidRPr="00AB31EF">
        <w:rPr>
          <w:rFonts w:asciiTheme="minorHAnsi" w:hAnsiTheme="minorHAnsi"/>
        </w:rPr>
        <w:t xml:space="preserve">Hispanic Delawareans had a statistically significantly lower age-adjusted mortality rate compared to </w:t>
      </w:r>
      <w:r>
        <w:rPr>
          <w:rFonts w:asciiTheme="minorHAnsi" w:hAnsiTheme="minorHAnsi"/>
        </w:rPr>
        <w:t>non</w:t>
      </w:r>
      <w:r w:rsidRPr="00AB31EF">
        <w:rPr>
          <w:rFonts w:asciiTheme="minorHAnsi" w:hAnsiTheme="minorHAnsi"/>
        </w:rPr>
        <w:t xml:space="preserve">-Hispanic White Delawareans for all-sites, lung and bronchus, and female breast cancers. </w:t>
      </w:r>
    </w:p>
    <w:p w14:paraId="75ABA6EC" w14:textId="77777777" w:rsidR="00911CAD" w:rsidRPr="00AB31EF" w:rsidRDefault="00911CAD" w:rsidP="00911CAD">
      <w:pPr>
        <w:pStyle w:val="ListParagraph"/>
        <w:numPr>
          <w:ilvl w:val="0"/>
          <w:numId w:val="46"/>
        </w:numPr>
        <w:spacing w:after="120" w:line="240" w:lineRule="auto"/>
        <w:rPr>
          <w:rFonts w:asciiTheme="minorHAnsi" w:hAnsiTheme="minorHAnsi"/>
        </w:rPr>
      </w:pPr>
      <w:r w:rsidRPr="00AB31EF">
        <w:rPr>
          <w:rFonts w:asciiTheme="minorHAnsi" w:hAnsiTheme="minorHAnsi"/>
        </w:rPr>
        <w:t xml:space="preserve">Hispanic Delawareans had statistically no difference in age-adjusted mortality rates compared to </w:t>
      </w:r>
      <w:r>
        <w:rPr>
          <w:rFonts w:asciiTheme="minorHAnsi" w:hAnsiTheme="minorHAnsi"/>
        </w:rPr>
        <w:t>non</w:t>
      </w:r>
      <w:r w:rsidRPr="00AB31EF">
        <w:rPr>
          <w:rFonts w:asciiTheme="minorHAnsi" w:hAnsiTheme="minorHAnsi"/>
        </w:rPr>
        <w:t>-Hispanic White Delawareans for colon and rectum (colorectal), liver and intrahepatic bile duct</w:t>
      </w:r>
      <w:r>
        <w:rPr>
          <w:rFonts w:asciiTheme="minorHAnsi" w:hAnsiTheme="minorHAnsi"/>
        </w:rPr>
        <w:t>,</w:t>
      </w:r>
      <w:r w:rsidRPr="00AB31EF">
        <w:rPr>
          <w:rFonts w:asciiTheme="minorHAnsi" w:hAnsiTheme="minorHAnsi"/>
        </w:rPr>
        <w:t xml:space="preserve"> and non-Hodgkin lymphoma cancers. </w:t>
      </w:r>
    </w:p>
    <w:p w14:paraId="552FABF0" w14:textId="77777777" w:rsidR="00911CAD" w:rsidRDefault="00911CAD" w:rsidP="00911CAD">
      <w:pPr>
        <w:pStyle w:val="ListParagraph"/>
        <w:spacing w:after="120" w:line="240" w:lineRule="auto"/>
        <w:contextualSpacing w:val="0"/>
        <w:rPr>
          <w:rFonts w:asciiTheme="minorHAnsi" w:hAnsiTheme="minorHAnsi"/>
        </w:rPr>
      </w:pPr>
    </w:p>
    <w:p w14:paraId="20E3E7F0" w14:textId="77777777" w:rsidR="00911CAD" w:rsidRPr="00E01244" w:rsidRDefault="00911CAD" w:rsidP="00911CAD">
      <w:pPr>
        <w:spacing w:after="120" w:line="240" w:lineRule="auto"/>
        <w:rPr>
          <w:rFonts w:asciiTheme="minorHAnsi" w:hAnsiTheme="minorHAnsi"/>
        </w:rPr>
      </w:pPr>
    </w:p>
    <w:p w14:paraId="62459C2E" w14:textId="77777777" w:rsidR="00911CAD" w:rsidRDefault="00911CAD" w:rsidP="00911CAD">
      <w:pPr>
        <w:pStyle w:val="ListParagraph"/>
        <w:spacing w:after="0" w:line="240" w:lineRule="auto"/>
        <w:ind w:left="0"/>
        <w:rPr>
          <w:rFonts w:asciiTheme="minorHAnsi" w:hAnsiTheme="minorHAnsi" w:cstheme="minorHAnsi"/>
        </w:rPr>
      </w:pPr>
    </w:p>
    <w:p w14:paraId="2385812E" w14:textId="77777777" w:rsidR="00911CAD" w:rsidRDefault="00911CAD" w:rsidP="00911CAD">
      <w:pPr>
        <w:pStyle w:val="ListParagraph"/>
        <w:spacing w:after="0" w:line="240" w:lineRule="auto"/>
        <w:ind w:left="0"/>
        <w:rPr>
          <w:rFonts w:asciiTheme="minorHAnsi" w:hAnsiTheme="minorHAnsi" w:cstheme="minorHAnsi"/>
        </w:rPr>
      </w:pPr>
    </w:p>
    <w:p w14:paraId="53B98DD6" w14:textId="77777777" w:rsidR="00911CAD" w:rsidRDefault="00911CAD" w:rsidP="00911CAD">
      <w:pPr>
        <w:pStyle w:val="ListParagraph"/>
        <w:spacing w:after="0" w:line="240" w:lineRule="auto"/>
        <w:ind w:left="0"/>
        <w:rPr>
          <w:rFonts w:asciiTheme="minorHAnsi" w:hAnsiTheme="minorHAnsi" w:cstheme="minorHAnsi"/>
        </w:rPr>
      </w:pPr>
    </w:p>
    <w:p w14:paraId="0F610303" w14:textId="10833990" w:rsidR="00F27468" w:rsidRDefault="00F27468" w:rsidP="00F27468">
      <w:pPr>
        <w:spacing w:line="240" w:lineRule="auto"/>
        <w:rPr>
          <w:rFonts w:asciiTheme="minorHAnsi" w:hAnsiTheme="minorHAnsi"/>
        </w:rPr>
      </w:pPr>
    </w:p>
    <w:p w14:paraId="786CADA3" w14:textId="73CB828C" w:rsidR="001745A9" w:rsidRPr="00CE3F54" w:rsidRDefault="000F2FF9" w:rsidP="00B21C83">
      <w:pPr>
        <w:pStyle w:val="Heading1"/>
        <w:numPr>
          <w:ilvl w:val="0"/>
          <w:numId w:val="29"/>
        </w:numPr>
        <w:spacing w:line="240" w:lineRule="auto"/>
        <w:rPr>
          <w:rFonts w:asciiTheme="minorHAnsi" w:hAnsiTheme="minorHAnsi"/>
        </w:rPr>
      </w:pPr>
      <w:bookmarkStart w:id="2" w:name="_Toc84256556"/>
      <w:bookmarkStart w:id="3" w:name="_Toc179276350"/>
      <w:r>
        <w:rPr>
          <w:rFonts w:asciiTheme="minorHAnsi" w:hAnsiTheme="minorHAnsi"/>
        </w:rPr>
        <w:lastRenderedPageBreak/>
        <w:t>I</w:t>
      </w:r>
      <w:r w:rsidR="00680015">
        <w:rPr>
          <w:rFonts w:asciiTheme="minorHAnsi" w:hAnsiTheme="minorHAnsi"/>
        </w:rPr>
        <w:t>ntroduction</w:t>
      </w:r>
      <w:bookmarkEnd w:id="2"/>
      <w:bookmarkEnd w:id="3"/>
    </w:p>
    <w:p w14:paraId="5148A0FB" w14:textId="77777777" w:rsidR="000F2FF9" w:rsidRPr="000F2FF9" w:rsidRDefault="000F2FF9" w:rsidP="000F2FF9">
      <w:pPr>
        <w:pStyle w:val="Heading3"/>
        <w:spacing w:before="120" w:after="120"/>
        <w:rPr>
          <w:rFonts w:asciiTheme="minorHAnsi" w:hAnsiTheme="minorHAnsi"/>
          <w:b/>
        </w:rPr>
      </w:pPr>
      <w:bookmarkStart w:id="4" w:name="_Toc135759748"/>
      <w:bookmarkStart w:id="5" w:name="_Toc139340280"/>
      <w:bookmarkStart w:id="6" w:name="_Toc169518306"/>
      <w:r w:rsidRPr="000F2FF9">
        <w:rPr>
          <w:rFonts w:asciiTheme="minorHAnsi" w:hAnsiTheme="minorHAnsi"/>
          <w:b/>
        </w:rPr>
        <w:t>Delaware Cancer Registry</w:t>
      </w:r>
    </w:p>
    <w:p w14:paraId="6A5491C6" w14:textId="00F65086" w:rsidR="000F2FF9" w:rsidRPr="00AC5D00" w:rsidRDefault="000F2FF9" w:rsidP="000F2FF9">
      <w:pPr>
        <w:widowControl w:val="0"/>
        <w:spacing w:after="120" w:line="240" w:lineRule="auto"/>
        <w:rPr>
          <w:rFonts w:asciiTheme="minorHAnsi" w:hAnsiTheme="minorHAnsi" w:cs="Arial"/>
          <w:bCs/>
        </w:rPr>
      </w:pPr>
      <w:r w:rsidRPr="00AC5D00">
        <w:rPr>
          <w:rFonts w:asciiTheme="minorHAnsi" w:hAnsiTheme="minorHAnsi" w:cs="Arial"/>
        </w:rPr>
        <w:t xml:space="preserve">The Delaware Cancer Registry (DCR) is managed by the </w:t>
      </w:r>
      <w:r w:rsidR="009D480A">
        <w:rPr>
          <w:rFonts w:asciiTheme="minorHAnsi" w:hAnsiTheme="minorHAnsi" w:cs="Arial"/>
        </w:rPr>
        <w:t xml:space="preserve">Delaware Department of Health and Social Services (DHSS), </w:t>
      </w:r>
      <w:r w:rsidRPr="00AC5D00">
        <w:rPr>
          <w:rFonts w:asciiTheme="minorHAnsi" w:hAnsiTheme="minorHAnsi" w:cs="Arial"/>
        </w:rPr>
        <w:t xml:space="preserve">Division of Public Health (DPH) and serves as the state’s central cancer information center. </w:t>
      </w:r>
      <w:r>
        <w:rPr>
          <w:rFonts w:asciiTheme="minorHAnsi" w:hAnsiTheme="minorHAnsi" w:cs="Arial"/>
        </w:rPr>
        <w:t xml:space="preserve"> </w:t>
      </w:r>
      <w:r w:rsidRPr="00AC5D00">
        <w:rPr>
          <w:rFonts w:asciiTheme="minorHAnsi" w:hAnsiTheme="minorHAnsi" w:cs="Arial"/>
          <w:bCs/>
        </w:rPr>
        <w:t xml:space="preserve">The DCR was founded in 1972 and </w:t>
      </w:r>
      <w:r w:rsidR="00184909">
        <w:rPr>
          <w:rFonts w:asciiTheme="minorHAnsi" w:hAnsiTheme="minorHAnsi" w:cs="Arial"/>
          <w:bCs/>
        </w:rPr>
        <w:t xml:space="preserve">was </w:t>
      </w:r>
      <w:r w:rsidRPr="00AC5D00">
        <w:rPr>
          <w:rFonts w:asciiTheme="minorHAnsi" w:hAnsiTheme="minorHAnsi" w:cs="Arial"/>
          <w:bCs/>
        </w:rPr>
        <w:t>legally established in 1980 under the Delaware Cancer Control Act</w:t>
      </w:r>
      <w:r w:rsidRPr="00AC5D00">
        <w:rPr>
          <w:rStyle w:val="FootnoteReference"/>
          <w:rFonts w:asciiTheme="minorHAnsi" w:hAnsiTheme="minorHAnsi" w:cs="Arial"/>
          <w:bCs/>
        </w:rPr>
        <w:footnoteReference w:id="4"/>
      </w:r>
      <w:r w:rsidRPr="00AC5D00">
        <w:rPr>
          <w:rFonts w:asciiTheme="minorHAnsi" w:hAnsiTheme="minorHAnsi" w:cs="Arial"/>
          <w:bCs/>
        </w:rPr>
        <w:t>.</w:t>
      </w:r>
      <w:r>
        <w:rPr>
          <w:rFonts w:asciiTheme="minorHAnsi" w:hAnsiTheme="minorHAnsi" w:cs="Arial"/>
          <w:bCs/>
        </w:rPr>
        <w:t xml:space="preserve"> </w:t>
      </w:r>
      <w:r w:rsidRPr="00AC5D00">
        <w:rPr>
          <w:rFonts w:asciiTheme="minorHAnsi" w:hAnsiTheme="minorHAnsi" w:cs="Arial"/>
          <w:bCs/>
        </w:rPr>
        <w:t xml:space="preserve"> The </w:t>
      </w:r>
      <w:r w:rsidR="00E53B36">
        <w:rPr>
          <w:rFonts w:asciiTheme="minorHAnsi" w:hAnsiTheme="minorHAnsi" w:cs="Arial"/>
          <w:bCs/>
        </w:rPr>
        <w:t>A</w:t>
      </w:r>
      <w:r w:rsidRPr="00AC5D00">
        <w:rPr>
          <w:rFonts w:asciiTheme="minorHAnsi" w:hAnsiTheme="minorHAnsi" w:cs="Arial"/>
          <w:bCs/>
        </w:rPr>
        <w:t xml:space="preserve">ct stipulated that all </w:t>
      </w:r>
      <w:r w:rsidR="00C247E7">
        <w:rPr>
          <w:rFonts w:asciiTheme="minorHAnsi" w:hAnsiTheme="minorHAnsi" w:cs="Arial"/>
          <w:bCs/>
        </w:rPr>
        <w:t xml:space="preserve">state hospitals, clinical laboratories, and cancer treatment centers </w:t>
      </w:r>
      <w:r w:rsidRPr="00AC5D00">
        <w:rPr>
          <w:rFonts w:asciiTheme="minorHAnsi" w:hAnsiTheme="minorHAnsi" w:cs="Arial"/>
          <w:bCs/>
        </w:rPr>
        <w:t xml:space="preserve">report all new cancer cases to the DCR. </w:t>
      </w:r>
      <w:r>
        <w:rPr>
          <w:rFonts w:asciiTheme="minorHAnsi" w:hAnsiTheme="minorHAnsi" w:cs="Arial"/>
          <w:bCs/>
        </w:rPr>
        <w:t xml:space="preserve"> </w:t>
      </w:r>
      <w:r w:rsidRPr="00AC5D00">
        <w:rPr>
          <w:rFonts w:asciiTheme="minorHAnsi" w:hAnsiTheme="minorHAnsi" w:cs="Arial"/>
          <w:bCs/>
        </w:rPr>
        <w:t>In 1996</w:t>
      </w:r>
      <w:r>
        <w:rPr>
          <w:rFonts w:asciiTheme="minorHAnsi" w:hAnsiTheme="minorHAnsi" w:cs="Arial"/>
          <w:bCs/>
        </w:rPr>
        <w:t>,</w:t>
      </w:r>
      <w:r w:rsidRPr="00AC5D00">
        <w:rPr>
          <w:rFonts w:asciiTheme="minorHAnsi" w:hAnsiTheme="minorHAnsi" w:cs="Arial"/>
          <w:bCs/>
        </w:rPr>
        <w:t xml:space="preserve"> the Delaware Cancer Control Act was amended to require any health care practitioner who diagnoses or provides treatment to report cancer cases to the DCR. </w:t>
      </w:r>
      <w:r>
        <w:rPr>
          <w:rFonts w:asciiTheme="minorHAnsi" w:hAnsiTheme="minorHAnsi" w:cs="Arial"/>
          <w:bCs/>
        </w:rPr>
        <w:t xml:space="preserve"> </w:t>
      </w:r>
      <w:r w:rsidRPr="00AC5D00">
        <w:rPr>
          <w:rFonts w:asciiTheme="minorHAnsi" w:hAnsiTheme="minorHAnsi" w:cs="Arial"/>
          <w:bCs/>
        </w:rPr>
        <w:t xml:space="preserve">Further enhancements of the Delaware Cancer Control Act took effect in 2002 with the passage of Senate Bill 372 </w:t>
      </w:r>
      <w:r w:rsidR="00EE5A6D">
        <w:rPr>
          <w:rFonts w:asciiTheme="minorHAnsi" w:hAnsiTheme="minorHAnsi" w:cs="Arial"/>
          <w:bCs/>
        </w:rPr>
        <w:t>which</w:t>
      </w:r>
      <w:r w:rsidR="00B032D8">
        <w:rPr>
          <w:rFonts w:asciiTheme="minorHAnsi" w:hAnsiTheme="minorHAnsi" w:cs="Arial"/>
          <w:bCs/>
        </w:rPr>
        <w:t xml:space="preserve"> </w:t>
      </w:r>
      <w:r w:rsidRPr="00AC5D00">
        <w:rPr>
          <w:rFonts w:asciiTheme="minorHAnsi" w:hAnsiTheme="minorHAnsi" w:cs="Arial"/>
          <w:bCs/>
        </w:rPr>
        <w:t>requires physicians to provide additional information to the DCR, including patients’ duration of residence in Delaware and their occupational history.</w:t>
      </w:r>
      <w:r>
        <w:rPr>
          <w:rFonts w:asciiTheme="minorHAnsi" w:hAnsiTheme="minorHAnsi" w:cs="Arial"/>
          <w:bCs/>
        </w:rPr>
        <w:t xml:space="preserve"> </w:t>
      </w:r>
      <w:r w:rsidRPr="00AC5D00">
        <w:rPr>
          <w:rFonts w:asciiTheme="minorHAnsi" w:hAnsiTheme="minorHAnsi" w:cs="Arial"/>
          <w:bCs/>
        </w:rPr>
        <w:t xml:space="preserve"> Senate Bill 372 also extended the reporting deadline to 180 days from initial diagnosis or treatment. </w:t>
      </w:r>
    </w:p>
    <w:p w14:paraId="49695BE7" w14:textId="6CAEC7B3" w:rsidR="000F2FF9" w:rsidRPr="00AC5D00" w:rsidRDefault="000F2FF9" w:rsidP="000F2FF9">
      <w:pPr>
        <w:widowControl w:val="0"/>
        <w:spacing w:after="120" w:line="240" w:lineRule="auto"/>
        <w:rPr>
          <w:rFonts w:asciiTheme="minorHAnsi" w:hAnsiTheme="minorHAnsi" w:cs="Arial"/>
          <w:bCs/>
        </w:rPr>
      </w:pPr>
      <w:r w:rsidRPr="00BD630A">
        <w:rPr>
          <w:rFonts w:asciiTheme="minorHAnsi" w:hAnsiTheme="minorHAnsi" w:cs="Arial"/>
          <w:bCs/>
        </w:rPr>
        <w:t xml:space="preserve">Today, </w:t>
      </w:r>
      <w:r w:rsidRPr="00BD630A">
        <w:rPr>
          <w:rFonts w:asciiTheme="minorHAnsi" w:hAnsiTheme="minorHAnsi" w:cs="Arial"/>
        </w:rPr>
        <w:t>Delaware is one of 4</w:t>
      </w:r>
      <w:r w:rsidR="001662E1">
        <w:rPr>
          <w:rFonts w:asciiTheme="minorHAnsi" w:hAnsiTheme="minorHAnsi" w:cs="Arial"/>
        </w:rPr>
        <w:t>6</w:t>
      </w:r>
      <w:r w:rsidRPr="00BD630A">
        <w:rPr>
          <w:rFonts w:asciiTheme="minorHAnsi" w:hAnsiTheme="minorHAnsi" w:cs="Arial"/>
        </w:rPr>
        <w:t xml:space="preserve"> states whose central cancer registry is supported by the National Program of Cancer Registries (NPCR) of the </w:t>
      </w:r>
      <w:r w:rsidR="006B5650">
        <w:rPr>
          <w:rFonts w:asciiTheme="minorHAnsi" w:hAnsiTheme="minorHAnsi" w:cs="Arial"/>
        </w:rPr>
        <w:t xml:space="preserve">U.S. </w:t>
      </w:r>
      <w:r w:rsidRPr="00BD630A">
        <w:rPr>
          <w:rFonts w:asciiTheme="minorHAnsi" w:hAnsiTheme="minorHAnsi" w:cs="Arial"/>
        </w:rPr>
        <w:t>Centers for Disease Control and Prevention (CDC).</w:t>
      </w:r>
      <w:r w:rsidRPr="00BD630A">
        <w:rPr>
          <w:rStyle w:val="FootnoteReference"/>
          <w:rFonts w:asciiTheme="minorHAnsi" w:hAnsiTheme="minorHAnsi" w:cs="Arial"/>
        </w:rPr>
        <w:footnoteReference w:id="5"/>
      </w:r>
      <w:r>
        <w:rPr>
          <w:rFonts w:asciiTheme="minorHAnsi" w:hAnsiTheme="minorHAnsi" w:cs="Arial"/>
        </w:rPr>
        <w:t xml:space="preserve"> </w:t>
      </w:r>
      <w:r w:rsidRPr="00BD630A">
        <w:rPr>
          <w:rFonts w:asciiTheme="minorHAnsi" w:hAnsiTheme="minorHAnsi" w:cs="Arial"/>
        </w:rPr>
        <w:t xml:space="preserve"> </w:t>
      </w:r>
      <w:r w:rsidRPr="00BD630A">
        <w:rPr>
          <w:rFonts w:asciiTheme="minorHAnsi" w:hAnsiTheme="minorHAnsi" w:cs="Arial"/>
          <w:bCs/>
        </w:rPr>
        <w:t>The DCR ensures</w:t>
      </w:r>
      <w:r w:rsidRPr="00AC5D00">
        <w:rPr>
          <w:rFonts w:asciiTheme="minorHAnsi" w:hAnsiTheme="minorHAnsi" w:cs="Arial"/>
          <w:bCs/>
        </w:rPr>
        <w:t xml:space="preserve"> accurate, timely, and routine surveillance of cancer trends among Delawareans.</w:t>
      </w:r>
    </w:p>
    <w:p w14:paraId="69F79A3C" w14:textId="77777777" w:rsidR="000F2FF9" w:rsidRPr="000F2FF9" w:rsidRDefault="000F2FF9" w:rsidP="000F2FF9">
      <w:pPr>
        <w:pStyle w:val="Heading3"/>
        <w:spacing w:before="120" w:after="120"/>
        <w:rPr>
          <w:rFonts w:asciiTheme="minorHAnsi" w:hAnsiTheme="minorHAnsi"/>
          <w:b/>
        </w:rPr>
      </w:pPr>
      <w:bookmarkStart w:id="7" w:name="_Toc197328704"/>
      <w:r w:rsidRPr="000F2FF9">
        <w:rPr>
          <w:rFonts w:asciiTheme="minorHAnsi" w:hAnsiTheme="minorHAnsi"/>
          <w:b/>
        </w:rPr>
        <w:t>Reporting Facilities</w:t>
      </w:r>
      <w:bookmarkEnd w:id="7"/>
    </w:p>
    <w:p w14:paraId="051D0D70" w14:textId="00FA8151" w:rsidR="0054581C" w:rsidRPr="0054581C" w:rsidRDefault="009D77B1" w:rsidP="0054581C">
      <w:pPr>
        <w:spacing w:after="0" w:line="240" w:lineRule="auto"/>
        <w:rPr>
          <w:rFonts w:ascii="Calibri" w:eastAsia="Calibri" w:hAnsi="Calibri" w:cs="Times New Roman"/>
        </w:rPr>
      </w:pPr>
      <w:bookmarkStart w:id="8" w:name="_Hlk143695129"/>
      <w:bookmarkStart w:id="9" w:name="_Toc197328705"/>
      <w:r>
        <w:rPr>
          <w:rFonts w:ascii="Calibri" w:eastAsia="Calibri" w:hAnsi="Calibri" w:cs="Times New Roman"/>
        </w:rPr>
        <w:t>Seven</w:t>
      </w:r>
      <w:r w:rsidR="0054581C" w:rsidRPr="0054581C">
        <w:rPr>
          <w:rFonts w:ascii="Calibri" w:eastAsia="Calibri" w:hAnsi="Calibri" w:cs="Times New Roman"/>
        </w:rPr>
        <w:t xml:space="preserve"> Delaware hospitals currently report cancer cases to the DCR.  </w:t>
      </w:r>
      <w:r w:rsidR="00554564">
        <w:rPr>
          <w:rFonts w:ascii="Calibri" w:eastAsia="Calibri" w:hAnsi="Calibri" w:cs="Times New Roman"/>
        </w:rPr>
        <w:t>Non</w:t>
      </w:r>
      <w:r w:rsidR="0054581C" w:rsidRPr="0054581C">
        <w:rPr>
          <w:rFonts w:ascii="Calibri" w:eastAsia="Calibri" w:hAnsi="Calibri" w:cs="Times New Roman"/>
        </w:rPr>
        <w:t xml:space="preserve">-hospital offices </w:t>
      </w:r>
      <w:r w:rsidR="00554564">
        <w:rPr>
          <w:rFonts w:ascii="Calibri" w:eastAsia="Calibri" w:hAnsi="Calibri" w:cs="Times New Roman"/>
        </w:rPr>
        <w:t xml:space="preserve">that </w:t>
      </w:r>
      <w:r w:rsidR="0054581C" w:rsidRPr="0054581C">
        <w:rPr>
          <w:rFonts w:ascii="Calibri" w:eastAsia="Calibri" w:hAnsi="Calibri" w:cs="Times New Roman"/>
        </w:rPr>
        <w:t>submit data to the DCR</w:t>
      </w:r>
      <w:r w:rsidR="00554564">
        <w:rPr>
          <w:rFonts w:ascii="Calibri" w:eastAsia="Calibri" w:hAnsi="Calibri" w:cs="Times New Roman"/>
        </w:rPr>
        <w:t xml:space="preserve"> include</w:t>
      </w:r>
      <w:r w:rsidR="0054581C" w:rsidRPr="0054581C">
        <w:rPr>
          <w:rFonts w:ascii="Calibri" w:eastAsia="Calibri" w:hAnsi="Calibri" w:cs="Times New Roman"/>
        </w:rPr>
        <w:t xml:space="preserve"> 1</w:t>
      </w:r>
      <w:r w:rsidR="00081F77">
        <w:rPr>
          <w:rFonts w:ascii="Calibri" w:eastAsia="Calibri" w:hAnsi="Calibri" w:cs="Times New Roman"/>
        </w:rPr>
        <w:t>5</w:t>
      </w:r>
      <w:r w:rsidR="0054581C" w:rsidRPr="0054581C">
        <w:rPr>
          <w:rFonts w:ascii="Calibri" w:eastAsia="Calibri" w:hAnsi="Calibri" w:cs="Times New Roman"/>
        </w:rPr>
        <w:t xml:space="preserve"> diagnostic laboratories, </w:t>
      </w:r>
      <w:r w:rsidRPr="0054581C">
        <w:rPr>
          <w:rFonts w:ascii="Calibri" w:eastAsia="Calibri" w:hAnsi="Calibri" w:cs="Times New Roman"/>
        </w:rPr>
        <w:t>1</w:t>
      </w:r>
      <w:r w:rsidR="00081F77">
        <w:rPr>
          <w:rFonts w:ascii="Calibri" w:eastAsia="Calibri" w:hAnsi="Calibri" w:cs="Times New Roman"/>
        </w:rPr>
        <w:t>3</w:t>
      </w:r>
      <w:r w:rsidRPr="0054581C">
        <w:rPr>
          <w:rFonts w:ascii="Calibri" w:eastAsia="Calibri" w:hAnsi="Calibri" w:cs="Times New Roman"/>
        </w:rPr>
        <w:t xml:space="preserve"> </w:t>
      </w:r>
      <w:r w:rsidR="0054581C" w:rsidRPr="0054581C">
        <w:rPr>
          <w:rFonts w:ascii="Calibri" w:eastAsia="Calibri" w:hAnsi="Calibri" w:cs="Times New Roman"/>
        </w:rPr>
        <w:t>freestanding ambulatory surgery centers</w:t>
      </w:r>
      <w:r w:rsidR="00554564">
        <w:rPr>
          <w:rFonts w:ascii="Calibri" w:eastAsia="Calibri" w:hAnsi="Calibri" w:cs="Times New Roman"/>
        </w:rPr>
        <w:t xml:space="preserve">, and </w:t>
      </w:r>
      <w:r w:rsidR="00B13280">
        <w:rPr>
          <w:rFonts w:ascii="Calibri" w:eastAsia="Calibri" w:hAnsi="Calibri" w:cs="Times New Roman"/>
        </w:rPr>
        <w:t xml:space="preserve">at least </w:t>
      </w:r>
      <w:r w:rsidR="00A57A97">
        <w:rPr>
          <w:rFonts w:ascii="Calibri" w:eastAsia="Calibri" w:hAnsi="Calibri" w:cs="Times New Roman"/>
        </w:rPr>
        <w:t>20</w:t>
      </w:r>
      <w:r>
        <w:rPr>
          <w:rFonts w:ascii="Calibri" w:eastAsia="Calibri" w:hAnsi="Calibri" w:cs="Times New Roman"/>
        </w:rPr>
        <w:t xml:space="preserve"> </w:t>
      </w:r>
      <w:r w:rsidR="00554564">
        <w:rPr>
          <w:rFonts w:ascii="Calibri" w:eastAsia="Calibri" w:hAnsi="Calibri" w:cs="Times New Roman"/>
        </w:rPr>
        <w:t>physicians</w:t>
      </w:r>
      <w:r w:rsidR="0054581C" w:rsidRPr="0054581C">
        <w:rPr>
          <w:rFonts w:ascii="Calibri" w:eastAsia="Calibri" w:hAnsi="Calibri" w:cs="Times New Roman"/>
        </w:rPr>
        <w:t xml:space="preserve">.  Additionally, the DCR has reciprocal data exchange agreements with </w:t>
      </w:r>
      <w:r w:rsidR="00CB600F" w:rsidRPr="00CB600F">
        <w:rPr>
          <w:rFonts w:ascii="Calibri" w:eastAsia="Calibri" w:hAnsi="Calibri" w:cs="Times New Roman"/>
        </w:rPr>
        <w:t>Alaska, Alabama,</w:t>
      </w:r>
      <w:r w:rsidR="004A0CAD">
        <w:rPr>
          <w:rFonts w:ascii="Calibri" w:eastAsia="Calibri" w:hAnsi="Calibri" w:cs="Times New Roman"/>
        </w:rPr>
        <w:t xml:space="preserve"> Arizona,</w:t>
      </w:r>
      <w:r w:rsidR="00CB600F" w:rsidRPr="00CB600F">
        <w:rPr>
          <w:rFonts w:ascii="Calibri" w:eastAsia="Calibri" w:hAnsi="Calibri" w:cs="Times New Roman"/>
        </w:rPr>
        <w:t xml:space="preserve"> Arkansas, California, Colorado, Connec</w:t>
      </w:r>
      <w:r w:rsidR="00CB600F">
        <w:rPr>
          <w:rFonts w:ascii="Calibri" w:eastAsia="Calibri" w:hAnsi="Calibri" w:cs="Times New Roman"/>
        </w:rPr>
        <w:t>ticut, Florida, Georgia, Hawaii,</w:t>
      </w:r>
      <w:r w:rsidR="00CB600F" w:rsidRPr="00CB600F">
        <w:rPr>
          <w:rFonts w:ascii="Calibri" w:eastAsia="Calibri" w:hAnsi="Calibri" w:cs="Times New Roman"/>
        </w:rPr>
        <w:t xml:space="preserve"> Idaho, Illinois, Indiana, Louisiana, Maine</w:t>
      </w:r>
      <w:r w:rsidR="00CB600F">
        <w:rPr>
          <w:rFonts w:ascii="Calibri" w:eastAsia="Calibri" w:hAnsi="Calibri" w:cs="Times New Roman"/>
        </w:rPr>
        <w:t>,</w:t>
      </w:r>
      <w:r w:rsidR="00CB600F" w:rsidRPr="00CB600F">
        <w:rPr>
          <w:rFonts w:ascii="Calibri" w:eastAsia="Calibri" w:hAnsi="Calibri" w:cs="Times New Roman"/>
        </w:rPr>
        <w:t xml:space="preserve"> Maryland, Massachusetts, Michigan, </w:t>
      </w:r>
      <w:r w:rsidR="004A0CAD">
        <w:rPr>
          <w:rFonts w:ascii="Calibri" w:eastAsia="Calibri" w:hAnsi="Calibri" w:cs="Times New Roman"/>
        </w:rPr>
        <w:t xml:space="preserve">Minnesota, </w:t>
      </w:r>
      <w:r w:rsidR="00934EB6">
        <w:rPr>
          <w:rFonts w:ascii="Calibri" w:eastAsia="Calibri" w:hAnsi="Calibri" w:cs="Times New Roman"/>
        </w:rPr>
        <w:t xml:space="preserve">Missouri, </w:t>
      </w:r>
      <w:r w:rsidR="00CB600F" w:rsidRPr="00CB600F">
        <w:rPr>
          <w:rFonts w:ascii="Calibri" w:eastAsia="Calibri" w:hAnsi="Calibri" w:cs="Times New Roman"/>
        </w:rPr>
        <w:t>Montana, Nebraska, Nevada</w:t>
      </w:r>
      <w:r w:rsidR="008A462D" w:rsidRPr="00CB600F">
        <w:rPr>
          <w:rFonts w:ascii="Calibri" w:eastAsia="Calibri" w:hAnsi="Calibri" w:cs="Times New Roman"/>
        </w:rPr>
        <w:t xml:space="preserve">, </w:t>
      </w:r>
      <w:r w:rsidR="008A462D">
        <w:rPr>
          <w:rFonts w:ascii="Calibri" w:eastAsia="Calibri" w:hAnsi="Calibri" w:cs="Times New Roman"/>
        </w:rPr>
        <w:t xml:space="preserve">New Hampshire, </w:t>
      </w:r>
      <w:r w:rsidR="00CB600F" w:rsidRPr="00CB600F">
        <w:rPr>
          <w:rFonts w:ascii="Calibri" w:eastAsia="Calibri" w:hAnsi="Calibri" w:cs="Times New Roman"/>
        </w:rPr>
        <w:t xml:space="preserve"> New Jersey, New York, North Carolina</w:t>
      </w:r>
      <w:r w:rsidR="008A462D">
        <w:rPr>
          <w:rFonts w:ascii="Calibri" w:eastAsia="Calibri" w:hAnsi="Calibri" w:cs="Times New Roman"/>
        </w:rPr>
        <w:t xml:space="preserve">, </w:t>
      </w:r>
      <w:r w:rsidR="00CB600F" w:rsidRPr="00CB600F">
        <w:rPr>
          <w:rFonts w:ascii="Calibri" w:eastAsia="Calibri" w:hAnsi="Calibri" w:cs="Times New Roman"/>
        </w:rPr>
        <w:t>Ohio, Oklahoma, Pennsylvania, Puerto Rico, Rhode Island, Sou</w:t>
      </w:r>
      <w:r w:rsidR="00CB600F">
        <w:rPr>
          <w:rFonts w:ascii="Calibri" w:eastAsia="Calibri" w:hAnsi="Calibri" w:cs="Times New Roman"/>
        </w:rPr>
        <w:t>th Carolina,</w:t>
      </w:r>
      <w:r w:rsidR="004A0CAD">
        <w:rPr>
          <w:rFonts w:ascii="Calibri" w:eastAsia="Calibri" w:hAnsi="Calibri" w:cs="Times New Roman"/>
        </w:rPr>
        <w:t xml:space="preserve"> South Dakota,</w:t>
      </w:r>
      <w:r w:rsidR="00CB600F">
        <w:rPr>
          <w:rFonts w:ascii="Calibri" w:eastAsia="Calibri" w:hAnsi="Calibri" w:cs="Times New Roman"/>
        </w:rPr>
        <w:t xml:space="preserve"> Tennessee, Texas, </w:t>
      </w:r>
      <w:r w:rsidR="00CB600F" w:rsidRPr="00CB600F">
        <w:rPr>
          <w:rFonts w:ascii="Calibri" w:eastAsia="Calibri" w:hAnsi="Calibri" w:cs="Times New Roman"/>
        </w:rPr>
        <w:t>Utah</w:t>
      </w:r>
      <w:r w:rsidR="00CB600F">
        <w:rPr>
          <w:rFonts w:ascii="Calibri" w:eastAsia="Calibri" w:hAnsi="Calibri" w:cs="Times New Roman"/>
        </w:rPr>
        <w:t>,</w:t>
      </w:r>
      <w:r w:rsidR="00CB600F" w:rsidRPr="00CB600F">
        <w:rPr>
          <w:rFonts w:ascii="Calibri" w:eastAsia="Calibri" w:hAnsi="Calibri" w:cs="Times New Roman"/>
        </w:rPr>
        <w:t xml:space="preserve"> </w:t>
      </w:r>
      <w:r w:rsidR="004A0CAD">
        <w:rPr>
          <w:rFonts w:ascii="Calibri" w:eastAsia="Calibri" w:hAnsi="Calibri" w:cs="Times New Roman"/>
        </w:rPr>
        <w:t xml:space="preserve">Vermont, </w:t>
      </w:r>
      <w:r w:rsidR="00CB600F" w:rsidRPr="00CB600F">
        <w:rPr>
          <w:rFonts w:ascii="Calibri" w:eastAsia="Calibri" w:hAnsi="Calibri" w:cs="Times New Roman"/>
        </w:rPr>
        <w:t>Virginia, Washington</w:t>
      </w:r>
      <w:r w:rsidR="0075647E">
        <w:rPr>
          <w:rFonts w:ascii="Calibri" w:eastAsia="Calibri" w:hAnsi="Calibri" w:cs="Times New Roman"/>
        </w:rPr>
        <w:t xml:space="preserve">, </w:t>
      </w:r>
      <w:r w:rsidR="00CB600F" w:rsidRPr="00CB600F">
        <w:rPr>
          <w:rFonts w:ascii="Calibri" w:eastAsia="Calibri" w:hAnsi="Calibri" w:cs="Times New Roman"/>
        </w:rPr>
        <w:t>West Virginia</w:t>
      </w:r>
      <w:r w:rsidR="0075647E" w:rsidRPr="00CB600F">
        <w:rPr>
          <w:rFonts w:ascii="Calibri" w:eastAsia="Calibri" w:hAnsi="Calibri" w:cs="Times New Roman"/>
        </w:rPr>
        <w:t xml:space="preserve">, Wisconsin, Wyoming, </w:t>
      </w:r>
      <w:r w:rsidR="00CB600F" w:rsidRPr="00CB600F">
        <w:rPr>
          <w:rFonts w:ascii="Calibri" w:eastAsia="Calibri" w:hAnsi="Calibri" w:cs="Times New Roman"/>
        </w:rPr>
        <w:t>and the District of Columbia</w:t>
      </w:r>
      <w:r w:rsidR="0054581C" w:rsidRPr="0054581C">
        <w:rPr>
          <w:rFonts w:ascii="Calibri" w:eastAsia="Calibri" w:hAnsi="Calibri" w:cs="Times New Roman"/>
        </w:rPr>
        <w:t>.  Interstate data exchange agreements assist in identifying Delaware residents whose cancer was diagnosed and/or treated in another state.</w:t>
      </w:r>
    </w:p>
    <w:bookmarkEnd w:id="8"/>
    <w:p w14:paraId="1BEC20C5" w14:textId="77777777" w:rsidR="000F2FF9" w:rsidRPr="000F2FF9" w:rsidRDefault="000F2FF9" w:rsidP="000F2FF9">
      <w:pPr>
        <w:pStyle w:val="Heading3"/>
        <w:spacing w:before="120" w:after="120"/>
        <w:rPr>
          <w:rFonts w:asciiTheme="minorHAnsi" w:hAnsiTheme="minorHAnsi"/>
          <w:b/>
        </w:rPr>
      </w:pPr>
      <w:r w:rsidRPr="000F2FF9">
        <w:rPr>
          <w:rFonts w:asciiTheme="minorHAnsi" w:hAnsiTheme="minorHAnsi"/>
          <w:b/>
        </w:rPr>
        <w:t>Data Confidentiality</w:t>
      </w:r>
      <w:bookmarkEnd w:id="9"/>
    </w:p>
    <w:p w14:paraId="4CB1E21C" w14:textId="24AE9849" w:rsidR="000F2FF9" w:rsidRPr="00AC5D00" w:rsidRDefault="000F2FF9" w:rsidP="000F2FF9">
      <w:pPr>
        <w:widowControl w:val="0"/>
        <w:spacing w:after="120" w:line="240" w:lineRule="auto"/>
        <w:rPr>
          <w:rFonts w:asciiTheme="minorHAnsi" w:hAnsiTheme="minorHAnsi" w:cs="Arial"/>
        </w:rPr>
      </w:pPr>
      <w:r w:rsidRPr="007818C4">
        <w:rPr>
          <w:rFonts w:asciiTheme="minorHAnsi" w:hAnsiTheme="minorHAnsi" w:cs="Arial"/>
        </w:rPr>
        <w:t xml:space="preserve">The DCR maintains patient confidentiality using a combination of techniques.  Reporting facilities submit cancer data using computerized data encryption techniques.  </w:t>
      </w:r>
      <w:r w:rsidR="007F6D1E" w:rsidRPr="007818C4">
        <w:rPr>
          <w:rStyle w:val="cf01"/>
          <w:rFonts w:asciiTheme="minorHAnsi" w:hAnsiTheme="minorHAnsi" w:cstheme="minorHAnsi"/>
          <w:sz w:val="22"/>
          <w:szCs w:val="22"/>
        </w:rPr>
        <w:t>Published reports are limited to aggregate data</w:t>
      </w:r>
      <w:r w:rsidR="001A1888" w:rsidRPr="007818C4">
        <w:rPr>
          <w:rStyle w:val="cf01"/>
          <w:rFonts w:asciiTheme="minorHAnsi" w:hAnsiTheme="minorHAnsi" w:cstheme="minorHAnsi"/>
          <w:sz w:val="22"/>
          <w:szCs w:val="22"/>
        </w:rPr>
        <w:t>,</w:t>
      </w:r>
      <w:r w:rsidR="007F6D1E" w:rsidRPr="007818C4">
        <w:rPr>
          <w:rStyle w:val="cf01"/>
          <w:rFonts w:asciiTheme="minorHAnsi" w:hAnsiTheme="minorHAnsi" w:cstheme="minorHAnsi"/>
          <w:sz w:val="22"/>
          <w:szCs w:val="22"/>
        </w:rPr>
        <w:t xml:space="preserve"> and requests for da</w:t>
      </w:r>
      <w:r w:rsidR="007F6D1E" w:rsidRPr="007818C4">
        <w:rPr>
          <w:rStyle w:val="cf11"/>
          <w:rFonts w:asciiTheme="minorHAnsi" w:hAnsiTheme="minorHAnsi" w:cstheme="minorHAnsi"/>
          <w:sz w:val="22"/>
          <w:szCs w:val="22"/>
        </w:rPr>
        <w:t>ta releases are all reviewed by the</w:t>
      </w:r>
      <w:r w:rsidR="001525BC" w:rsidRPr="007818C4">
        <w:rPr>
          <w:rStyle w:val="cf11"/>
          <w:rFonts w:asciiTheme="minorHAnsi" w:hAnsiTheme="minorHAnsi" w:cstheme="minorHAnsi"/>
          <w:sz w:val="22"/>
          <w:szCs w:val="22"/>
        </w:rPr>
        <w:t xml:space="preserve"> </w:t>
      </w:r>
      <w:r w:rsidR="00E22C89" w:rsidRPr="007818C4">
        <w:rPr>
          <w:rStyle w:val="cf11"/>
          <w:rFonts w:asciiTheme="minorHAnsi" w:hAnsiTheme="minorHAnsi" w:cstheme="minorHAnsi"/>
          <w:sz w:val="22"/>
          <w:szCs w:val="22"/>
        </w:rPr>
        <w:t>DPH</w:t>
      </w:r>
      <w:r w:rsidR="00B142A6" w:rsidRPr="007818C4">
        <w:rPr>
          <w:rStyle w:val="cf11"/>
          <w:rFonts w:asciiTheme="minorHAnsi" w:hAnsiTheme="minorHAnsi" w:cstheme="minorHAnsi"/>
          <w:sz w:val="22"/>
          <w:szCs w:val="22"/>
        </w:rPr>
        <w:t xml:space="preserve"> P</w:t>
      </w:r>
      <w:r w:rsidR="007F6D1E" w:rsidRPr="007818C4">
        <w:rPr>
          <w:rStyle w:val="cf11"/>
          <w:rFonts w:asciiTheme="minorHAnsi" w:hAnsiTheme="minorHAnsi" w:cstheme="minorHAnsi"/>
          <w:sz w:val="22"/>
          <w:szCs w:val="22"/>
        </w:rPr>
        <w:t xml:space="preserve">rivacy </w:t>
      </w:r>
      <w:r w:rsidR="00B142A6" w:rsidRPr="007818C4">
        <w:rPr>
          <w:rStyle w:val="cf11"/>
          <w:rFonts w:asciiTheme="minorHAnsi" w:hAnsiTheme="minorHAnsi" w:cstheme="minorHAnsi"/>
          <w:sz w:val="22"/>
          <w:szCs w:val="22"/>
        </w:rPr>
        <w:t>B</w:t>
      </w:r>
      <w:r w:rsidR="007F6D1E" w:rsidRPr="007818C4">
        <w:rPr>
          <w:rStyle w:val="cf11"/>
          <w:rFonts w:asciiTheme="minorHAnsi" w:hAnsiTheme="minorHAnsi" w:cstheme="minorHAnsi"/>
          <w:sz w:val="22"/>
          <w:szCs w:val="22"/>
        </w:rPr>
        <w:t xml:space="preserve">oard and need to be approved </w:t>
      </w:r>
      <w:r w:rsidR="00944820" w:rsidRPr="007818C4">
        <w:rPr>
          <w:rStyle w:val="cf11"/>
          <w:rFonts w:asciiTheme="minorHAnsi" w:hAnsiTheme="minorHAnsi" w:cstheme="minorHAnsi"/>
          <w:sz w:val="22"/>
          <w:szCs w:val="22"/>
        </w:rPr>
        <w:t>before</w:t>
      </w:r>
      <w:r w:rsidR="007F6D1E" w:rsidRPr="007818C4">
        <w:rPr>
          <w:rStyle w:val="cf11"/>
          <w:rFonts w:asciiTheme="minorHAnsi" w:hAnsiTheme="minorHAnsi" w:cstheme="minorHAnsi"/>
          <w:sz w:val="22"/>
          <w:szCs w:val="22"/>
        </w:rPr>
        <w:t xml:space="preserve"> release.</w:t>
      </w:r>
      <w:r w:rsidR="007F6D1E" w:rsidRPr="007818C4">
        <w:rPr>
          <w:rStyle w:val="cf11"/>
        </w:rPr>
        <w:t xml:space="preserve"> </w:t>
      </w:r>
      <w:r w:rsidR="006B5650" w:rsidRPr="007818C4">
        <w:rPr>
          <w:rStyle w:val="cf11"/>
        </w:rPr>
        <w:t xml:space="preserve"> </w:t>
      </w:r>
      <w:r w:rsidRPr="007818C4">
        <w:rPr>
          <w:rFonts w:asciiTheme="minorHAnsi" w:hAnsiTheme="minorHAnsi" w:cs="Arial"/>
        </w:rPr>
        <w:t>Researchers who use DCR data must comply with regulations stated in DPH data use agreements and</w:t>
      </w:r>
      <w:r w:rsidR="00B142A6" w:rsidRPr="007818C4">
        <w:rPr>
          <w:rFonts w:asciiTheme="minorHAnsi" w:hAnsiTheme="minorHAnsi" w:cs="Arial"/>
        </w:rPr>
        <w:t xml:space="preserve"> in some cases</w:t>
      </w:r>
      <w:r w:rsidR="00303779" w:rsidRPr="007818C4">
        <w:rPr>
          <w:rFonts w:asciiTheme="minorHAnsi" w:hAnsiTheme="minorHAnsi" w:cs="Arial"/>
        </w:rPr>
        <w:t>,</w:t>
      </w:r>
      <w:r w:rsidRPr="007818C4">
        <w:rPr>
          <w:rFonts w:asciiTheme="minorHAnsi" w:hAnsiTheme="minorHAnsi" w:cs="Arial"/>
        </w:rPr>
        <w:t xml:space="preserve"> obtain clearance from Delaware’s Human Subjects Review Board.</w:t>
      </w:r>
      <w:r w:rsidRPr="00AC5D00">
        <w:rPr>
          <w:rFonts w:asciiTheme="minorHAnsi" w:hAnsiTheme="minorHAnsi" w:cs="Arial"/>
        </w:rPr>
        <w:t xml:space="preserve"> </w:t>
      </w:r>
    </w:p>
    <w:p w14:paraId="762B7094" w14:textId="77777777" w:rsidR="004B6CBF" w:rsidRDefault="004B6CBF">
      <w:pPr>
        <w:rPr>
          <w:rFonts w:asciiTheme="minorHAnsi" w:hAnsiTheme="minorHAnsi"/>
          <w:b/>
          <w:caps/>
          <w:color w:val="1A4070" w:themeColor="accent2" w:themeShade="7F"/>
          <w:sz w:val="24"/>
          <w:szCs w:val="24"/>
        </w:rPr>
      </w:pPr>
      <w:bookmarkStart w:id="10" w:name="_Toc197328706"/>
      <w:r>
        <w:rPr>
          <w:rFonts w:asciiTheme="minorHAnsi" w:hAnsiTheme="minorHAnsi"/>
          <w:b/>
        </w:rPr>
        <w:br w:type="page"/>
      </w:r>
    </w:p>
    <w:p w14:paraId="5F3C1D05" w14:textId="2C7095B1" w:rsidR="000F2FF9" w:rsidRPr="000F2FF9" w:rsidRDefault="000F2FF9" w:rsidP="000F2FF9">
      <w:pPr>
        <w:pStyle w:val="Heading3"/>
        <w:spacing w:before="120" w:after="120"/>
        <w:rPr>
          <w:rFonts w:asciiTheme="minorHAnsi" w:hAnsiTheme="minorHAnsi"/>
          <w:b/>
        </w:rPr>
      </w:pPr>
      <w:r w:rsidRPr="000F2FF9">
        <w:rPr>
          <w:rFonts w:asciiTheme="minorHAnsi" w:hAnsiTheme="minorHAnsi"/>
          <w:b/>
        </w:rPr>
        <w:lastRenderedPageBreak/>
        <w:t>Data Quality</w:t>
      </w:r>
      <w:bookmarkEnd w:id="10"/>
    </w:p>
    <w:p w14:paraId="15892B0B" w14:textId="253FA1D9" w:rsidR="004B6CBF" w:rsidRDefault="006C136B" w:rsidP="004B6CBF">
      <w:pPr>
        <w:widowControl w:val="0"/>
        <w:spacing w:after="120" w:line="240" w:lineRule="auto"/>
        <w:rPr>
          <w:rFonts w:asciiTheme="minorHAnsi" w:hAnsiTheme="minorHAnsi"/>
          <w:b/>
        </w:rPr>
      </w:pPr>
      <w:r>
        <w:rPr>
          <w:rFonts w:asciiTheme="minorHAnsi" w:hAnsiTheme="minorHAnsi" w:cs="Arial"/>
        </w:rPr>
        <w:t>The DCR implement</w:t>
      </w:r>
      <w:r w:rsidR="000367A1">
        <w:rPr>
          <w:rFonts w:asciiTheme="minorHAnsi" w:hAnsiTheme="minorHAnsi" w:cs="Arial"/>
        </w:rPr>
        <w:t>s</w:t>
      </w:r>
      <w:r>
        <w:rPr>
          <w:rFonts w:asciiTheme="minorHAnsi" w:hAnsiTheme="minorHAnsi" w:cs="Arial"/>
        </w:rPr>
        <w:t xml:space="preserve"> i</w:t>
      </w:r>
      <w:r w:rsidR="000F2FF9" w:rsidRPr="00AC5D00">
        <w:rPr>
          <w:rFonts w:asciiTheme="minorHAnsi" w:hAnsiTheme="minorHAnsi" w:cs="Arial"/>
        </w:rPr>
        <w:t>nternal quality control procedures to verify the consistency of cancer data</w:t>
      </w:r>
      <w:r w:rsidR="008B41C0">
        <w:rPr>
          <w:rFonts w:asciiTheme="minorHAnsi" w:hAnsiTheme="minorHAnsi" w:cs="Arial"/>
        </w:rPr>
        <w:t xml:space="preserve"> continually throughout the year as data </w:t>
      </w:r>
      <w:r w:rsidR="00A01E29">
        <w:rPr>
          <w:rFonts w:asciiTheme="minorHAnsi" w:hAnsiTheme="minorHAnsi" w:cs="Arial"/>
        </w:rPr>
        <w:t>are</w:t>
      </w:r>
      <w:r w:rsidR="008B41C0">
        <w:rPr>
          <w:rFonts w:asciiTheme="minorHAnsi" w:hAnsiTheme="minorHAnsi" w:cs="Arial"/>
        </w:rPr>
        <w:t xml:space="preserve"> submitted by reporting facilities. </w:t>
      </w:r>
      <w:r w:rsidR="001506FD">
        <w:rPr>
          <w:rFonts w:asciiTheme="minorHAnsi" w:hAnsiTheme="minorHAnsi" w:cs="Arial"/>
        </w:rPr>
        <w:t xml:space="preserve"> </w:t>
      </w:r>
      <w:r w:rsidR="008B41C0">
        <w:rPr>
          <w:rFonts w:asciiTheme="minorHAnsi" w:hAnsiTheme="minorHAnsi" w:cs="Arial"/>
        </w:rPr>
        <w:t xml:space="preserve">In addition, the DCR </w:t>
      </w:r>
      <w:r w:rsidR="005C4CCF">
        <w:rPr>
          <w:rFonts w:asciiTheme="minorHAnsi" w:hAnsiTheme="minorHAnsi" w:cs="Arial"/>
        </w:rPr>
        <w:t>strives to meet d</w:t>
      </w:r>
      <w:r w:rsidR="000F2FF9" w:rsidRPr="00AC5D00">
        <w:rPr>
          <w:rFonts w:asciiTheme="minorHAnsi" w:hAnsiTheme="minorHAnsi" w:cs="Arial"/>
        </w:rPr>
        <w:t>ata consistency standards set by the North American Association of Central Cancer Registries (NAACCR).</w:t>
      </w:r>
      <w:r w:rsidR="001506FD">
        <w:rPr>
          <w:rFonts w:asciiTheme="minorHAnsi" w:hAnsiTheme="minorHAnsi" w:cs="Arial"/>
        </w:rPr>
        <w:t xml:space="preserve"> </w:t>
      </w:r>
      <w:r w:rsidR="005C4CCF">
        <w:rPr>
          <w:rFonts w:asciiTheme="minorHAnsi" w:hAnsiTheme="minorHAnsi" w:cs="Arial"/>
        </w:rPr>
        <w:t xml:space="preserve"> Data </w:t>
      </w:r>
      <w:r w:rsidR="00E27849">
        <w:rPr>
          <w:rFonts w:asciiTheme="minorHAnsi" w:hAnsiTheme="minorHAnsi" w:cs="Arial"/>
        </w:rPr>
        <w:t>are</w:t>
      </w:r>
      <w:r w:rsidR="005C4CCF">
        <w:rPr>
          <w:rFonts w:asciiTheme="minorHAnsi" w:hAnsiTheme="minorHAnsi" w:cs="Arial"/>
        </w:rPr>
        <w:t xml:space="preserve"> submitted by DCR to NAACCR </w:t>
      </w:r>
      <w:r w:rsidR="00834D9E">
        <w:rPr>
          <w:rFonts w:asciiTheme="minorHAnsi" w:hAnsiTheme="minorHAnsi" w:cs="Arial"/>
        </w:rPr>
        <w:t>annually</w:t>
      </w:r>
      <w:r w:rsidR="005C4CCF">
        <w:rPr>
          <w:rFonts w:asciiTheme="minorHAnsi" w:hAnsiTheme="minorHAnsi" w:cs="Arial"/>
        </w:rPr>
        <w:t>.</w:t>
      </w:r>
      <w:r w:rsidR="000F2FF9" w:rsidRPr="00AC5D00">
        <w:rPr>
          <w:rFonts w:asciiTheme="minorHAnsi" w:hAnsiTheme="minorHAnsi" w:cs="Arial"/>
        </w:rPr>
        <w:t xml:space="preserve"> </w:t>
      </w:r>
      <w:r w:rsidR="001506FD">
        <w:rPr>
          <w:rFonts w:asciiTheme="minorHAnsi" w:hAnsiTheme="minorHAnsi" w:cs="Arial"/>
        </w:rPr>
        <w:t xml:space="preserve"> </w:t>
      </w:r>
      <w:r w:rsidR="000F2FF9" w:rsidRPr="00AC5D00">
        <w:rPr>
          <w:rFonts w:asciiTheme="minorHAnsi" w:hAnsiTheme="minorHAnsi" w:cs="Arial"/>
        </w:rPr>
        <w:t xml:space="preserve">The DCR also conducts record consolidation using a computerized matching program to identify multiple reports on the same individual. </w:t>
      </w:r>
      <w:r w:rsidR="000F2FF9">
        <w:rPr>
          <w:rFonts w:asciiTheme="minorHAnsi" w:hAnsiTheme="minorHAnsi" w:cs="Arial"/>
        </w:rPr>
        <w:t xml:space="preserve"> </w:t>
      </w:r>
      <w:r w:rsidR="000F2FF9" w:rsidRPr="00AC5D00">
        <w:rPr>
          <w:rFonts w:asciiTheme="minorHAnsi" w:hAnsiTheme="minorHAnsi" w:cs="Arial"/>
        </w:rPr>
        <w:t>This scenario often arises when a patient is diagnosed and treated in two or more facilities</w:t>
      </w:r>
      <w:r w:rsidR="00303779">
        <w:rPr>
          <w:rFonts w:asciiTheme="minorHAnsi" w:hAnsiTheme="minorHAnsi" w:cs="Arial"/>
        </w:rPr>
        <w:t>,</w:t>
      </w:r>
      <w:r w:rsidR="000F2FF9" w:rsidRPr="00AC5D00">
        <w:rPr>
          <w:rFonts w:asciiTheme="minorHAnsi" w:hAnsiTheme="minorHAnsi" w:cs="Arial"/>
        </w:rPr>
        <w:t xml:space="preserve"> and each facility submits a cancer case reporting form to the DCR. </w:t>
      </w:r>
      <w:bookmarkStart w:id="11" w:name="_Toc197328707"/>
    </w:p>
    <w:p w14:paraId="3E59F95A" w14:textId="72FAAB43" w:rsidR="000F2FF9" w:rsidRPr="004B6CBF" w:rsidRDefault="000F2FF9" w:rsidP="004B6CBF">
      <w:pPr>
        <w:pStyle w:val="Heading3"/>
        <w:spacing w:before="120" w:after="120"/>
        <w:rPr>
          <w:rFonts w:asciiTheme="minorHAnsi" w:hAnsiTheme="minorHAnsi"/>
          <w:b/>
        </w:rPr>
      </w:pPr>
      <w:r w:rsidRPr="000F2FF9">
        <w:rPr>
          <w:rFonts w:asciiTheme="minorHAnsi" w:hAnsiTheme="minorHAnsi"/>
          <w:b/>
        </w:rPr>
        <w:t>NAACCR Certification and NPCR Standard Status</w:t>
      </w:r>
      <w:bookmarkEnd w:id="11"/>
    </w:p>
    <w:p w14:paraId="1CBFB954" w14:textId="61DD604F" w:rsidR="000F2FF9" w:rsidRPr="0005529C" w:rsidRDefault="000F2FF9" w:rsidP="000F2FF9">
      <w:pPr>
        <w:widowControl w:val="0"/>
        <w:spacing w:after="120" w:line="240" w:lineRule="auto"/>
        <w:rPr>
          <w:rFonts w:asciiTheme="minorHAnsi" w:hAnsiTheme="minorHAnsi" w:cs="Arial"/>
        </w:rPr>
      </w:pPr>
      <w:r w:rsidRPr="0005529C">
        <w:rPr>
          <w:rFonts w:asciiTheme="minorHAnsi" w:hAnsiTheme="minorHAnsi" w:cs="Arial"/>
          <w:szCs w:val="20"/>
        </w:rPr>
        <w:t>In 1997, the NAACCR instituted a program to independently and annually review data from member registries for their completeness, accuracy, and timeliness.  The registry certification metrics are pre-determined and established by NAACCR</w:t>
      </w:r>
      <w:r w:rsidRPr="0005529C">
        <w:rPr>
          <w:rStyle w:val="FootnoteReference"/>
          <w:rFonts w:asciiTheme="minorHAnsi" w:hAnsiTheme="minorHAnsi" w:cs="Arial"/>
          <w:szCs w:val="20"/>
        </w:rPr>
        <w:footnoteReference w:id="6"/>
      </w:r>
      <w:r w:rsidRPr="0005529C">
        <w:rPr>
          <w:rFonts w:asciiTheme="minorHAnsi" w:hAnsiTheme="minorHAnsi" w:cs="Arial"/>
          <w:szCs w:val="20"/>
        </w:rPr>
        <w:t>.  Gold or Silver Standard certifications</w:t>
      </w:r>
      <w:r w:rsidRPr="0005529C">
        <w:rPr>
          <w:rFonts w:asciiTheme="minorHAnsi" w:hAnsiTheme="minorHAnsi" w:cs="Arial"/>
        </w:rPr>
        <w:t xml:space="preserve"> are awarded following an evaluation of data quality, completeness, and timeliness of reporting.  The DCR received Gold Standard certification for diagnosis </w:t>
      </w:r>
      <w:r w:rsidR="006C136B" w:rsidRPr="0005529C">
        <w:rPr>
          <w:rFonts w:asciiTheme="minorHAnsi" w:hAnsiTheme="minorHAnsi" w:cs="Arial"/>
        </w:rPr>
        <w:t xml:space="preserve">in </w:t>
      </w:r>
      <w:r w:rsidRPr="0005529C">
        <w:rPr>
          <w:rFonts w:asciiTheme="minorHAnsi" w:hAnsiTheme="minorHAnsi" w:cs="Arial"/>
        </w:rPr>
        <w:t>1999, 2003, 2004, 2005, 2006, 2007, 2008, 2009, 2010, 2011, 2012, 2013, 2014</w:t>
      </w:r>
      <w:r w:rsidR="00FD472A" w:rsidRPr="0005529C">
        <w:rPr>
          <w:rFonts w:asciiTheme="minorHAnsi" w:hAnsiTheme="minorHAnsi" w:cs="Arial"/>
        </w:rPr>
        <w:t>, 2015</w:t>
      </w:r>
      <w:r w:rsidR="00461105" w:rsidRPr="0005529C">
        <w:rPr>
          <w:rFonts w:asciiTheme="minorHAnsi" w:hAnsiTheme="minorHAnsi" w:cs="Arial"/>
        </w:rPr>
        <w:t>, 2016</w:t>
      </w:r>
      <w:r w:rsidR="00457A4D" w:rsidRPr="0005529C">
        <w:rPr>
          <w:rFonts w:asciiTheme="minorHAnsi" w:hAnsiTheme="minorHAnsi" w:cs="Arial"/>
        </w:rPr>
        <w:t>, 2017</w:t>
      </w:r>
      <w:r w:rsidR="004C257F" w:rsidRPr="0005529C">
        <w:rPr>
          <w:rFonts w:asciiTheme="minorHAnsi" w:hAnsiTheme="minorHAnsi" w:cs="Arial"/>
        </w:rPr>
        <w:t>, 2018</w:t>
      </w:r>
      <w:r w:rsidR="00E50799" w:rsidRPr="0005529C">
        <w:rPr>
          <w:rFonts w:asciiTheme="minorHAnsi" w:hAnsiTheme="minorHAnsi" w:cs="Arial"/>
        </w:rPr>
        <w:t>, 2019</w:t>
      </w:r>
      <w:r w:rsidR="00BC7ADF">
        <w:rPr>
          <w:rFonts w:asciiTheme="minorHAnsi" w:hAnsiTheme="minorHAnsi" w:cs="Arial"/>
        </w:rPr>
        <w:t>, 2020</w:t>
      </w:r>
      <w:r w:rsidR="0086683F">
        <w:rPr>
          <w:rFonts w:asciiTheme="minorHAnsi" w:hAnsiTheme="minorHAnsi" w:cs="Arial"/>
        </w:rPr>
        <w:t>, and 2021</w:t>
      </w:r>
      <w:r w:rsidRPr="0005529C">
        <w:rPr>
          <w:rFonts w:asciiTheme="minorHAnsi" w:hAnsiTheme="minorHAnsi" w:cs="Arial"/>
        </w:rPr>
        <w:t xml:space="preserve"> (</w:t>
      </w:r>
      <w:r w:rsidR="00184909" w:rsidRPr="0005529C">
        <w:rPr>
          <w:rFonts w:asciiTheme="minorHAnsi" w:hAnsiTheme="minorHAnsi" w:cs="Arial"/>
        </w:rPr>
        <w:t xml:space="preserve">the </w:t>
      </w:r>
      <w:r w:rsidRPr="0005529C">
        <w:rPr>
          <w:rFonts w:asciiTheme="minorHAnsi" w:hAnsiTheme="minorHAnsi" w:cs="Arial"/>
        </w:rPr>
        <w:t>most recent year for which complete data are currently available).  The DCR received Silver Standard certification in 1998 and 2002.</w:t>
      </w:r>
    </w:p>
    <w:p w14:paraId="023597DF" w14:textId="644F2E09" w:rsidR="000F2FF9" w:rsidRPr="00AC5D00" w:rsidRDefault="000F2FF9" w:rsidP="000F2FF9">
      <w:pPr>
        <w:widowControl w:val="0"/>
        <w:spacing w:after="120" w:line="240" w:lineRule="auto"/>
        <w:rPr>
          <w:rFonts w:asciiTheme="minorHAnsi" w:hAnsiTheme="minorHAnsi"/>
        </w:rPr>
      </w:pPr>
      <w:r w:rsidRPr="0005529C">
        <w:rPr>
          <w:rFonts w:asciiTheme="minorHAnsi" w:hAnsiTheme="minorHAnsi"/>
        </w:rPr>
        <w:t xml:space="preserve">Additionally, the NPCR provides an annual Standard Status Report to state cancer registries supported by </w:t>
      </w:r>
      <w:r w:rsidR="00184909" w:rsidRPr="0005529C">
        <w:rPr>
          <w:rFonts w:asciiTheme="minorHAnsi" w:hAnsiTheme="minorHAnsi"/>
        </w:rPr>
        <w:t xml:space="preserve">the </w:t>
      </w:r>
      <w:r w:rsidRPr="0005529C">
        <w:rPr>
          <w:rFonts w:asciiTheme="minorHAnsi" w:hAnsiTheme="minorHAnsi"/>
        </w:rPr>
        <w:t xml:space="preserve">CDC.  Delaware’s data submissions for diagnosis years 2000 through </w:t>
      </w:r>
      <w:r w:rsidR="00FD472A" w:rsidRPr="0005529C">
        <w:rPr>
          <w:rFonts w:asciiTheme="minorHAnsi" w:hAnsiTheme="minorHAnsi"/>
        </w:rPr>
        <w:t>20</w:t>
      </w:r>
      <w:r w:rsidR="00BC7ADF">
        <w:rPr>
          <w:rFonts w:asciiTheme="minorHAnsi" w:hAnsiTheme="minorHAnsi"/>
        </w:rPr>
        <w:t>2</w:t>
      </w:r>
      <w:r w:rsidR="007A2331">
        <w:rPr>
          <w:rFonts w:asciiTheme="minorHAnsi" w:hAnsiTheme="minorHAnsi"/>
        </w:rPr>
        <w:t>1</w:t>
      </w:r>
      <w:r w:rsidR="00FD472A" w:rsidRPr="0005529C">
        <w:rPr>
          <w:rFonts w:asciiTheme="minorHAnsi" w:hAnsiTheme="minorHAnsi"/>
        </w:rPr>
        <w:t xml:space="preserve"> </w:t>
      </w:r>
      <w:r w:rsidRPr="0005529C">
        <w:rPr>
          <w:rFonts w:asciiTheme="minorHAnsi" w:hAnsiTheme="minorHAnsi"/>
        </w:rPr>
        <w:t>surpassed all standard levels for quality, completeness, and timeliness.</w:t>
      </w:r>
      <w:r w:rsidRPr="00AC5D00">
        <w:rPr>
          <w:rFonts w:asciiTheme="minorHAnsi" w:hAnsiTheme="minorHAnsi"/>
        </w:rPr>
        <w:t xml:space="preserve"> </w:t>
      </w:r>
    </w:p>
    <w:p w14:paraId="5D0FFD02" w14:textId="77777777" w:rsidR="000F2FF9" w:rsidRPr="000F2FF9" w:rsidRDefault="000F2FF9" w:rsidP="000F2FF9">
      <w:pPr>
        <w:pStyle w:val="Heading3"/>
        <w:spacing w:before="120" w:after="120"/>
        <w:rPr>
          <w:rFonts w:asciiTheme="minorHAnsi" w:hAnsiTheme="minorHAnsi"/>
          <w:b/>
        </w:rPr>
      </w:pPr>
      <w:bookmarkStart w:id="12" w:name="_Toc197328708"/>
      <w:r w:rsidRPr="000F2FF9">
        <w:rPr>
          <w:rFonts w:asciiTheme="minorHAnsi" w:hAnsiTheme="minorHAnsi"/>
          <w:b/>
        </w:rPr>
        <w:t>Uses</w:t>
      </w:r>
      <w:bookmarkEnd w:id="12"/>
      <w:r w:rsidRPr="000F2FF9">
        <w:rPr>
          <w:rFonts w:asciiTheme="minorHAnsi" w:hAnsiTheme="minorHAnsi"/>
          <w:b/>
        </w:rPr>
        <w:t xml:space="preserve"> of Data</w:t>
      </w:r>
    </w:p>
    <w:p w14:paraId="7C08EF36" w14:textId="2C856B9E" w:rsidR="00BA2491" w:rsidRDefault="00BA2491" w:rsidP="00BA2491">
      <w:pPr>
        <w:widowControl w:val="0"/>
        <w:spacing w:after="120" w:line="240" w:lineRule="auto"/>
        <w:rPr>
          <w:rFonts w:asciiTheme="minorHAnsi" w:hAnsiTheme="minorHAnsi"/>
        </w:rPr>
      </w:pPr>
      <w:bookmarkStart w:id="13" w:name="_Toc135759754"/>
      <w:bookmarkStart w:id="14" w:name="_Toc139340286"/>
      <w:bookmarkStart w:id="15" w:name="_Toc169518312"/>
      <w:bookmarkStart w:id="16" w:name="_Toc197328709"/>
      <w:bookmarkEnd w:id="4"/>
      <w:bookmarkEnd w:id="5"/>
      <w:bookmarkEnd w:id="6"/>
      <w:r w:rsidRPr="00BA2491">
        <w:rPr>
          <w:rFonts w:asciiTheme="minorHAnsi" w:hAnsiTheme="minorHAnsi"/>
        </w:rPr>
        <w:t>DPH uses DCR data to support various programs and initiatives, including the Screening for Life (SFL) program and the Delaware Cancer Treatment Program.  DPH also uses DCR data to investigate citizen inquiries and provide up-to-date cancer statistics to Delaware residents, hospitals, health care providers, community organizations, federal agencies, research institutions, and academic institutions.  Committees associated with the Delaware Cancer Consortium (DCC) utilize DCR data to monitor cancer trends across the state, promote research, and guide policy planning.</w:t>
      </w:r>
    </w:p>
    <w:p w14:paraId="7E33EA03" w14:textId="4F003341" w:rsidR="002E1B58" w:rsidRPr="000F2FF9" w:rsidRDefault="002E1B58" w:rsidP="002E1B58">
      <w:pPr>
        <w:pStyle w:val="Heading3"/>
        <w:spacing w:before="120" w:after="120"/>
        <w:rPr>
          <w:rFonts w:asciiTheme="minorHAnsi" w:hAnsiTheme="minorHAnsi"/>
          <w:b/>
        </w:rPr>
      </w:pPr>
      <w:r>
        <w:rPr>
          <w:rFonts w:asciiTheme="minorHAnsi" w:hAnsiTheme="minorHAnsi"/>
          <w:b/>
        </w:rPr>
        <w:t>COVID-19 impact on cancer incidence</w:t>
      </w:r>
    </w:p>
    <w:p w14:paraId="7F50D2FD" w14:textId="574F020D" w:rsidR="00D401B5" w:rsidRDefault="00D401B5" w:rsidP="00D401B5">
      <w:pPr>
        <w:spacing w:after="120" w:line="240" w:lineRule="auto"/>
        <w:rPr>
          <w:rFonts w:asciiTheme="minorHAnsi" w:hAnsiTheme="minorHAnsi" w:cstheme="minorHAnsi"/>
        </w:rPr>
      </w:pPr>
      <w:r w:rsidRPr="00B66F96">
        <w:rPr>
          <w:rFonts w:asciiTheme="minorHAnsi" w:hAnsiTheme="minorHAnsi" w:cstheme="minorHAnsi"/>
          <w:color w:val="000000"/>
        </w:rPr>
        <w:t xml:space="preserve">The </w:t>
      </w:r>
      <w:r w:rsidR="00BE276E">
        <w:rPr>
          <w:rFonts w:asciiTheme="minorHAnsi" w:hAnsiTheme="minorHAnsi" w:cstheme="minorHAnsi"/>
          <w:color w:val="000000"/>
        </w:rPr>
        <w:t>DCR and U.S. data utilized for this report include</w:t>
      </w:r>
      <w:r w:rsidRPr="00B66F96">
        <w:rPr>
          <w:rFonts w:asciiTheme="minorHAnsi" w:hAnsiTheme="minorHAnsi" w:cstheme="minorHAnsi"/>
          <w:color w:val="000000"/>
        </w:rPr>
        <w:t xml:space="preserve"> cancer cases diagnosed in 2020, the first year of the </w:t>
      </w:r>
      <w:r w:rsidR="00F41EA6">
        <w:rPr>
          <w:rFonts w:asciiTheme="minorHAnsi" w:hAnsiTheme="minorHAnsi" w:cstheme="minorHAnsi"/>
          <w:color w:val="000000"/>
        </w:rPr>
        <w:t>Coronavirus 2019 (</w:t>
      </w:r>
      <w:r w:rsidRPr="00B66F96">
        <w:rPr>
          <w:rFonts w:asciiTheme="minorHAnsi" w:hAnsiTheme="minorHAnsi" w:cstheme="minorHAnsi"/>
          <w:color w:val="000000"/>
        </w:rPr>
        <w:t>COVID-19</w:t>
      </w:r>
      <w:r w:rsidR="00F41EA6">
        <w:rPr>
          <w:rFonts w:asciiTheme="minorHAnsi" w:hAnsiTheme="minorHAnsi" w:cstheme="minorHAnsi"/>
          <w:color w:val="000000"/>
        </w:rPr>
        <w:t>)</w:t>
      </w:r>
      <w:r w:rsidRPr="00B66F96">
        <w:rPr>
          <w:rFonts w:asciiTheme="minorHAnsi" w:hAnsiTheme="minorHAnsi" w:cstheme="minorHAnsi"/>
          <w:color w:val="000000"/>
        </w:rPr>
        <w:t xml:space="preserve"> pandemic. </w:t>
      </w:r>
      <w:r w:rsidR="00F41EA6">
        <w:rPr>
          <w:rFonts w:asciiTheme="minorHAnsi" w:hAnsiTheme="minorHAnsi" w:cstheme="minorHAnsi"/>
          <w:color w:val="000000"/>
        </w:rPr>
        <w:t xml:space="preserve"> </w:t>
      </w:r>
      <w:r w:rsidRPr="00B66F96">
        <w:rPr>
          <w:rFonts w:asciiTheme="minorHAnsi" w:hAnsiTheme="minorHAnsi" w:cstheme="minorHAnsi"/>
        </w:rPr>
        <w:t>The pandemic resulted in delays and reductions in cancer screening and diagnosis, which subsequently led to a decline in 2020 incidence counts and rates</w:t>
      </w:r>
      <w:r w:rsidR="0085238B">
        <w:rPr>
          <w:rFonts w:asciiTheme="minorHAnsi" w:hAnsiTheme="minorHAnsi" w:cstheme="minorHAnsi"/>
        </w:rPr>
        <w:t xml:space="preserve">, leading </w:t>
      </w:r>
      <w:r w:rsidR="00026ED3">
        <w:rPr>
          <w:rFonts w:asciiTheme="minorHAnsi" w:hAnsiTheme="minorHAnsi" w:cstheme="minorHAnsi"/>
        </w:rPr>
        <w:t xml:space="preserve">DPH to </w:t>
      </w:r>
      <w:r w:rsidR="0085238B">
        <w:rPr>
          <w:rFonts w:asciiTheme="minorHAnsi" w:hAnsiTheme="minorHAnsi" w:cstheme="minorHAnsi"/>
        </w:rPr>
        <w:t xml:space="preserve"> </w:t>
      </w:r>
      <w:r w:rsidRPr="00B66F96">
        <w:rPr>
          <w:rFonts w:asciiTheme="minorHAnsi" w:hAnsiTheme="minorHAnsi" w:cstheme="minorHAnsi"/>
        </w:rPr>
        <w:t xml:space="preserve"> consider</w:t>
      </w:r>
      <w:r>
        <w:rPr>
          <w:rFonts w:asciiTheme="minorHAnsi" w:hAnsiTheme="minorHAnsi" w:cstheme="minorHAnsi"/>
        </w:rPr>
        <w:t xml:space="preserve"> </w:t>
      </w:r>
      <w:r w:rsidR="00026ED3">
        <w:rPr>
          <w:rFonts w:asciiTheme="minorHAnsi" w:hAnsiTheme="minorHAnsi" w:cstheme="minorHAnsi"/>
        </w:rPr>
        <w:t xml:space="preserve">2020 </w:t>
      </w:r>
      <w:r>
        <w:rPr>
          <w:rFonts w:asciiTheme="minorHAnsi" w:hAnsiTheme="minorHAnsi" w:cstheme="minorHAnsi"/>
        </w:rPr>
        <w:t xml:space="preserve">a temporary, </w:t>
      </w:r>
      <w:r w:rsidRPr="00B66F96">
        <w:rPr>
          <w:rFonts w:asciiTheme="minorHAnsi" w:hAnsiTheme="minorHAnsi" w:cstheme="minorHAnsi"/>
        </w:rPr>
        <w:t>anomal</w:t>
      </w:r>
      <w:r>
        <w:rPr>
          <w:rFonts w:asciiTheme="minorHAnsi" w:hAnsiTheme="minorHAnsi" w:cstheme="minorHAnsi"/>
        </w:rPr>
        <w:t>ous year</w:t>
      </w:r>
      <w:r w:rsidRPr="00B66F96">
        <w:rPr>
          <w:rFonts w:asciiTheme="minorHAnsi" w:hAnsiTheme="minorHAnsi" w:cstheme="minorHAnsi"/>
        </w:rPr>
        <w:t xml:space="preserve">. </w:t>
      </w:r>
      <w:r w:rsidR="00F41EA6">
        <w:rPr>
          <w:rFonts w:asciiTheme="minorHAnsi" w:hAnsiTheme="minorHAnsi" w:cstheme="minorHAnsi"/>
        </w:rPr>
        <w:t xml:space="preserve"> </w:t>
      </w:r>
      <w:bookmarkStart w:id="17" w:name="_Hlk145934288"/>
      <w:r w:rsidRPr="00B66F96">
        <w:rPr>
          <w:rFonts w:asciiTheme="minorHAnsi" w:hAnsiTheme="minorHAnsi" w:cstheme="minorHAnsi"/>
        </w:rPr>
        <w:t>Inclusion of 2020 rates would bias the estimates of trends over time</w:t>
      </w:r>
      <w:r w:rsidR="00303779">
        <w:rPr>
          <w:rFonts w:asciiTheme="minorHAnsi" w:hAnsiTheme="minorHAnsi" w:cstheme="minorHAnsi"/>
        </w:rPr>
        <w:t>,</w:t>
      </w:r>
      <w:r w:rsidRPr="00B66F96">
        <w:rPr>
          <w:rFonts w:asciiTheme="minorHAnsi" w:hAnsiTheme="minorHAnsi" w:cstheme="minorHAnsi"/>
        </w:rPr>
        <w:t xml:space="preserve"> and therefore</w:t>
      </w:r>
      <w:r w:rsidR="00303779">
        <w:rPr>
          <w:rFonts w:asciiTheme="minorHAnsi" w:hAnsiTheme="minorHAnsi" w:cstheme="minorHAnsi"/>
        </w:rPr>
        <w:t>,</w:t>
      </w:r>
      <w:r w:rsidRPr="00B66F96">
        <w:rPr>
          <w:rFonts w:asciiTheme="minorHAnsi" w:hAnsiTheme="minorHAnsi" w:cstheme="minorHAnsi"/>
        </w:rPr>
        <w:t xml:space="preserve"> 2020 rates were not included in trend analysis.</w:t>
      </w:r>
      <w:r w:rsidRPr="00B66F96">
        <w:rPr>
          <w:rStyle w:val="FootnoteReference"/>
          <w:rFonts w:asciiTheme="minorHAnsi" w:hAnsiTheme="minorHAnsi" w:cstheme="minorHAnsi"/>
        </w:rPr>
        <w:footnoteReference w:id="7"/>
      </w:r>
      <w:r w:rsidRPr="00B66F96">
        <w:rPr>
          <w:rFonts w:asciiTheme="minorHAnsi" w:hAnsiTheme="minorHAnsi" w:cstheme="minorHAnsi"/>
        </w:rPr>
        <w:t xml:space="preserve"> </w:t>
      </w:r>
      <w:bookmarkEnd w:id="17"/>
    </w:p>
    <w:p w14:paraId="291812DC" w14:textId="2DA09E46" w:rsidR="0014457A" w:rsidRDefault="002F426A" w:rsidP="00D401B5">
      <w:pPr>
        <w:spacing w:after="120" w:line="240" w:lineRule="auto"/>
        <w:rPr>
          <w:rFonts w:asciiTheme="minorHAnsi" w:hAnsiTheme="minorHAnsi" w:cstheme="minorHAnsi"/>
          <w:color w:val="000000"/>
        </w:rPr>
      </w:pPr>
      <w:r w:rsidRPr="002F426A">
        <w:rPr>
          <w:rFonts w:asciiTheme="minorHAnsi" w:hAnsiTheme="minorHAnsi" w:cstheme="minorHAnsi"/>
          <w:color w:val="000000"/>
        </w:rPr>
        <w:t>Caution should be taken when making comparisons of cancer incidence data that include 2020 with other time periods, as decreases in incidence counts and rates may primarily be due to the effects of COVID-19 rather than decreases due to cancer control efforts.</w:t>
      </w:r>
    </w:p>
    <w:p w14:paraId="4AD109A5" w14:textId="6FDBE569" w:rsidR="002F426A" w:rsidRPr="001B78A4" w:rsidRDefault="0014457A" w:rsidP="002A572F">
      <w:pPr>
        <w:rPr>
          <w:rFonts w:asciiTheme="minorHAnsi" w:hAnsiTheme="minorHAnsi" w:cstheme="minorHAnsi"/>
          <w:color w:val="000000"/>
        </w:rPr>
      </w:pPr>
      <w:r>
        <w:rPr>
          <w:rFonts w:asciiTheme="minorHAnsi" w:hAnsiTheme="minorHAnsi" w:cstheme="minorHAnsi"/>
          <w:color w:val="000000"/>
        </w:rPr>
        <w:br w:type="page"/>
      </w:r>
    </w:p>
    <w:p w14:paraId="06C140E3" w14:textId="004C44D8" w:rsidR="000F2FF9" w:rsidRPr="000F2FF9" w:rsidRDefault="000F2FF9" w:rsidP="000F2FF9">
      <w:pPr>
        <w:pStyle w:val="Heading3"/>
        <w:spacing w:before="120" w:after="120"/>
        <w:rPr>
          <w:rFonts w:asciiTheme="minorHAnsi" w:hAnsiTheme="minorHAnsi"/>
          <w:b/>
        </w:rPr>
      </w:pPr>
      <w:r w:rsidRPr="000F2FF9">
        <w:rPr>
          <w:rFonts w:asciiTheme="minorHAnsi" w:hAnsiTheme="minorHAnsi"/>
          <w:b/>
        </w:rPr>
        <w:lastRenderedPageBreak/>
        <w:t>Organization of This Report</w:t>
      </w:r>
      <w:bookmarkEnd w:id="13"/>
      <w:bookmarkEnd w:id="14"/>
      <w:bookmarkEnd w:id="15"/>
      <w:bookmarkEnd w:id="16"/>
    </w:p>
    <w:p w14:paraId="3EE2F4DE" w14:textId="7E48B2F6" w:rsidR="000F2FF9" w:rsidRPr="0005529C" w:rsidRDefault="000F2FF9" w:rsidP="000F2FF9">
      <w:pPr>
        <w:widowControl w:val="0"/>
        <w:spacing w:after="120" w:line="240" w:lineRule="auto"/>
        <w:rPr>
          <w:rFonts w:asciiTheme="minorHAnsi" w:hAnsiTheme="minorHAnsi" w:cs="Arial"/>
        </w:rPr>
      </w:pPr>
      <w:r w:rsidRPr="0005529C">
        <w:rPr>
          <w:rFonts w:asciiTheme="minorHAnsi" w:eastAsiaTheme="minorHAnsi" w:hAnsiTheme="minorHAnsi" w:cs="Arial"/>
          <w:szCs w:val="20"/>
        </w:rPr>
        <w:t>This report includes cancer statistics for all cancer sites combined (all-site cancer</w:t>
      </w:r>
      <w:r w:rsidR="0077199F" w:rsidRPr="0005529C">
        <w:rPr>
          <w:rFonts w:asciiTheme="minorHAnsi" w:eastAsiaTheme="minorHAnsi" w:hAnsiTheme="minorHAnsi" w:cs="Arial"/>
          <w:szCs w:val="20"/>
        </w:rPr>
        <w:t>)</w:t>
      </w:r>
      <w:r w:rsidR="00291063" w:rsidRPr="0005529C">
        <w:rPr>
          <w:rFonts w:asciiTheme="minorHAnsi" w:eastAsiaTheme="minorHAnsi" w:hAnsiTheme="minorHAnsi" w:cs="Arial"/>
          <w:szCs w:val="20"/>
        </w:rPr>
        <w:t xml:space="preserve"> and </w:t>
      </w:r>
      <w:r w:rsidR="00C22514" w:rsidRPr="0005529C">
        <w:rPr>
          <w:rFonts w:asciiTheme="minorHAnsi" w:eastAsiaTheme="minorHAnsi" w:hAnsiTheme="minorHAnsi" w:cs="Arial"/>
          <w:szCs w:val="20"/>
        </w:rPr>
        <w:t>the top 2</w:t>
      </w:r>
      <w:r w:rsidR="00824EEB" w:rsidRPr="0005529C">
        <w:rPr>
          <w:rFonts w:asciiTheme="minorHAnsi" w:eastAsiaTheme="minorHAnsi" w:hAnsiTheme="minorHAnsi" w:cs="Arial"/>
          <w:szCs w:val="20"/>
        </w:rPr>
        <w:t>3</w:t>
      </w:r>
      <w:r w:rsidR="00C22514" w:rsidRPr="0005529C">
        <w:rPr>
          <w:rFonts w:asciiTheme="minorHAnsi" w:eastAsiaTheme="minorHAnsi" w:hAnsiTheme="minorHAnsi" w:cs="Arial"/>
          <w:szCs w:val="20"/>
        </w:rPr>
        <w:t xml:space="preserve"> </w:t>
      </w:r>
      <w:r w:rsidR="00291063" w:rsidRPr="0005529C">
        <w:rPr>
          <w:rFonts w:asciiTheme="minorHAnsi" w:eastAsiaTheme="minorHAnsi" w:hAnsiTheme="minorHAnsi" w:cs="Arial"/>
          <w:szCs w:val="20"/>
        </w:rPr>
        <w:t>site-specific cancers</w:t>
      </w:r>
      <w:r w:rsidR="0077199F" w:rsidRPr="0005529C">
        <w:rPr>
          <w:rFonts w:asciiTheme="minorHAnsi" w:eastAsiaTheme="minorHAnsi" w:hAnsiTheme="minorHAnsi" w:cs="Arial"/>
          <w:szCs w:val="20"/>
        </w:rPr>
        <w:t>.</w:t>
      </w:r>
      <w:r w:rsidRPr="0005529C">
        <w:rPr>
          <w:rFonts w:asciiTheme="minorHAnsi" w:eastAsiaTheme="minorHAnsi" w:hAnsiTheme="minorHAnsi" w:cs="Arial"/>
          <w:szCs w:val="20"/>
        </w:rPr>
        <w:t xml:space="preserve">  </w:t>
      </w:r>
      <w:r w:rsidR="0077199F" w:rsidRPr="0005529C">
        <w:rPr>
          <w:rFonts w:asciiTheme="minorHAnsi" w:eastAsiaTheme="minorHAnsi" w:hAnsiTheme="minorHAnsi" w:cs="Arial"/>
          <w:szCs w:val="20"/>
        </w:rPr>
        <w:t>C</w:t>
      </w:r>
      <w:r w:rsidRPr="0005529C">
        <w:rPr>
          <w:rFonts w:asciiTheme="minorHAnsi" w:eastAsiaTheme="minorHAnsi" w:hAnsiTheme="minorHAnsi" w:cs="Arial"/>
          <w:szCs w:val="20"/>
        </w:rPr>
        <w:t xml:space="preserve">ancer statistics reflect incidence and mortality data for </w:t>
      </w:r>
      <w:r w:rsidR="00BE6E38">
        <w:rPr>
          <w:rFonts w:asciiTheme="minorHAnsi" w:eastAsiaTheme="minorHAnsi" w:hAnsiTheme="minorHAnsi" w:cs="Arial"/>
          <w:szCs w:val="20"/>
        </w:rPr>
        <w:t>2017-2021</w:t>
      </w:r>
      <w:r w:rsidRPr="0005529C">
        <w:rPr>
          <w:rFonts w:asciiTheme="minorHAnsi" w:eastAsiaTheme="minorHAnsi" w:hAnsiTheme="minorHAnsi" w:cs="Arial"/>
          <w:szCs w:val="20"/>
        </w:rPr>
        <w:t xml:space="preserve">.  Delaware’s cancer incidence and mortality </w:t>
      </w:r>
      <w:r w:rsidR="00B42F3A" w:rsidRPr="0005529C">
        <w:rPr>
          <w:rFonts w:asciiTheme="minorHAnsi" w:eastAsiaTheme="minorHAnsi" w:hAnsiTheme="minorHAnsi" w:cs="Arial"/>
          <w:szCs w:val="20"/>
        </w:rPr>
        <w:t xml:space="preserve">statistics </w:t>
      </w:r>
      <w:r w:rsidRPr="0005529C">
        <w:rPr>
          <w:rFonts w:asciiTheme="minorHAnsi" w:eastAsiaTheme="minorHAnsi" w:hAnsiTheme="minorHAnsi" w:cs="Arial"/>
          <w:szCs w:val="20"/>
        </w:rPr>
        <w:t xml:space="preserve">for </w:t>
      </w:r>
      <w:r w:rsidR="00BE6E38">
        <w:rPr>
          <w:rFonts w:asciiTheme="minorHAnsi" w:eastAsiaTheme="minorHAnsi" w:hAnsiTheme="minorHAnsi" w:cs="Arial"/>
          <w:szCs w:val="20"/>
        </w:rPr>
        <w:t>2017-2021</w:t>
      </w:r>
      <w:r w:rsidRPr="0005529C">
        <w:rPr>
          <w:rFonts w:asciiTheme="minorHAnsi" w:eastAsiaTheme="minorHAnsi" w:hAnsiTheme="minorHAnsi" w:cs="Arial"/>
          <w:szCs w:val="20"/>
        </w:rPr>
        <w:t xml:space="preserve"> </w:t>
      </w:r>
      <w:r w:rsidR="00291063" w:rsidRPr="0005529C">
        <w:rPr>
          <w:rFonts w:asciiTheme="minorHAnsi" w:eastAsiaTheme="minorHAnsi" w:hAnsiTheme="minorHAnsi" w:cs="Arial"/>
          <w:szCs w:val="20"/>
        </w:rPr>
        <w:t>are compared to the</w:t>
      </w:r>
      <w:r w:rsidRPr="0005529C">
        <w:rPr>
          <w:rFonts w:asciiTheme="minorHAnsi" w:eastAsiaTheme="minorHAnsi" w:hAnsiTheme="minorHAnsi" w:cs="Arial"/>
          <w:szCs w:val="20"/>
        </w:rPr>
        <w:t xml:space="preserve"> U.S. over the same time period.  </w:t>
      </w:r>
      <w:r w:rsidR="001634C1" w:rsidRPr="0005529C">
        <w:rPr>
          <w:rFonts w:asciiTheme="minorHAnsi" w:eastAsiaTheme="minorHAnsi" w:hAnsiTheme="minorHAnsi" w:cs="Arial"/>
          <w:szCs w:val="20"/>
        </w:rPr>
        <w:t>Changes i</w:t>
      </w:r>
      <w:r w:rsidR="00FE7F52" w:rsidRPr="0005529C">
        <w:rPr>
          <w:rFonts w:asciiTheme="minorHAnsi" w:eastAsiaTheme="minorHAnsi" w:hAnsiTheme="minorHAnsi" w:cs="Arial"/>
          <w:szCs w:val="20"/>
        </w:rPr>
        <w:t>n</w:t>
      </w:r>
      <w:r w:rsidRPr="0005529C">
        <w:rPr>
          <w:rFonts w:asciiTheme="minorHAnsi" w:eastAsiaTheme="minorHAnsi" w:hAnsiTheme="minorHAnsi" w:cs="Arial"/>
          <w:szCs w:val="20"/>
        </w:rPr>
        <w:t xml:space="preserve"> Delaware and U.S. cancer</w:t>
      </w:r>
      <w:r w:rsidR="00FE7F52" w:rsidRPr="0005529C">
        <w:rPr>
          <w:rFonts w:asciiTheme="minorHAnsi" w:eastAsiaTheme="minorHAnsi" w:hAnsiTheme="minorHAnsi" w:cs="Arial"/>
          <w:szCs w:val="20"/>
        </w:rPr>
        <w:t xml:space="preserve"> incidence and mortality</w:t>
      </w:r>
      <w:r w:rsidRPr="0005529C">
        <w:rPr>
          <w:rFonts w:asciiTheme="minorHAnsi" w:eastAsiaTheme="minorHAnsi" w:hAnsiTheme="minorHAnsi" w:cs="Arial"/>
          <w:szCs w:val="20"/>
        </w:rPr>
        <w:t xml:space="preserve"> rates </w:t>
      </w:r>
      <w:r w:rsidR="00FE7F52" w:rsidRPr="0005529C">
        <w:rPr>
          <w:rFonts w:asciiTheme="minorHAnsi" w:eastAsiaTheme="minorHAnsi" w:hAnsiTheme="minorHAnsi" w:cs="Arial"/>
          <w:szCs w:val="20"/>
        </w:rPr>
        <w:t>are shown from 200</w:t>
      </w:r>
      <w:r w:rsidR="00BE6E38">
        <w:rPr>
          <w:rFonts w:asciiTheme="minorHAnsi" w:eastAsiaTheme="minorHAnsi" w:hAnsiTheme="minorHAnsi" w:cs="Arial"/>
          <w:szCs w:val="20"/>
        </w:rPr>
        <w:t>7</w:t>
      </w:r>
      <w:r w:rsidR="00FE7F52" w:rsidRPr="0005529C">
        <w:rPr>
          <w:rFonts w:asciiTheme="minorHAnsi" w:eastAsiaTheme="minorHAnsi" w:hAnsiTheme="minorHAnsi" w:cs="Arial"/>
          <w:szCs w:val="20"/>
        </w:rPr>
        <w:t xml:space="preserve"> through 20</w:t>
      </w:r>
      <w:r w:rsidR="00BC7ADF">
        <w:rPr>
          <w:rFonts w:asciiTheme="minorHAnsi" w:eastAsiaTheme="minorHAnsi" w:hAnsiTheme="minorHAnsi" w:cs="Arial"/>
          <w:szCs w:val="20"/>
        </w:rPr>
        <w:t>2</w:t>
      </w:r>
      <w:r w:rsidR="00BE6E38">
        <w:rPr>
          <w:rFonts w:asciiTheme="minorHAnsi" w:eastAsiaTheme="minorHAnsi" w:hAnsiTheme="minorHAnsi" w:cs="Arial"/>
          <w:szCs w:val="20"/>
        </w:rPr>
        <w:t>1</w:t>
      </w:r>
      <w:r w:rsidR="00FE7F52" w:rsidRPr="0005529C">
        <w:rPr>
          <w:rFonts w:asciiTheme="minorHAnsi" w:eastAsiaTheme="minorHAnsi" w:hAnsiTheme="minorHAnsi" w:cs="Arial"/>
          <w:szCs w:val="20"/>
        </w:rPr>
        <w:t xml:space="preserve"> using </w:t>
      </w:r>
      <w:r w:rsidR="004C1046" w:rsidRPr="0005529C">
        <w:rPr>
          <w:rFonts w:asciiTheme="minorHAnsi" w:eastAsiaTheme="minorHAnsi" w:hAnsiTheme="minorHAnsi" w:cs="Arial"/>
          <w:szCs w:val="20"/>
        </w:rPr>
        <w:t>Joinpoint</w:t>
      </w:r>
      <w:r w:rsidR="00FE7F52" w:rsidRPr="0005529C">
        <w:rPr>
          <w:rFonts w:asciiTheme="minorHAnsi" w:eastAsiaTheme="minorHAnsi" w:hAnsiTheme="minorHAnsi" w:cs="Arial"/>
          <w:szCs w:val="20"/>
        </w:rPr>
        <w:t xml:space="preserve"> trend analysis</w:t>
      </w:r>
      <w:r w:rsidRPr="0005529C">
        <w:rPr>
          <w:rFonts w:asciiTheme="minorHAnsi" w:eastAsiaTheme="minorHAnsi" w:hAnsiTheme="minorHAnsi" w:cs="Arial"/>
          <w:szCs w:val="20"/>
        </w:rPr>
        <w:t>.</w:t>
      </w:r>
      <w:r w:rsidR="00F4279F">
        <w:rPr>
          <w:rFonts w:asciiTheme="minorHAnsi" w:eastAsiaTheme="minorHAnsi" w:hAnsiTheme="minorHAnsi" w:cs="Arial"/>
          <w:szCs w:val="20"/>
        </w:rPr>
        <w:t xml:space="preserve"> </w:t>
      </w:r>
      <w:r w:rsidR="000D2FF5">
        <w:rPr>
          <w:rFonts w:asciiTheme="minorHAnsi" w:eastAsiaTheme="minorHAnsi" w:hAnsiTheme="minorHAnsi" w:cs="Arial"/>
          <w:szCs w:val="20"/>
        </w:rPr>
        <w:t xml:space="preserve"> </w:t>
      </w:r>
      <w:r w:rsidR="00F4279F">
        <w:rPr>
          <w:rFonts w:asciiTheme="minorHAnsi" w:eastAsiaTheme="minorHAnsi" w:hAnsiTheme="minorHAnsi" w:cs="Arial"/>
          <w:szCs w:val="20"/>
        </w:rPr>
        <w:t>While</w:t>
      </w:r>
      <w:r w:rsidR="00FD219F">
        <w:rPr>
          <w:rFonts w:asciiTheme="minorHAnsi" w:eastAsiaTheme="minorHAnsi" w:hAnsiTheme="minorHAnsi" w:cs="Arial"/>
          <w:szCs w:val="20"/>
        </w:rPr>
        <w:t xml:space="preserve"> 2020 is included in the graphs, </w:t>
      </w:r>
      <w:r w:rsidR="00BE6E38">
        <w:rPr>
          <w:rFonts w:asciiTheme="minorHAnsi" w:eastAsiaTheme="minorHAnsi" w:hAnsiTheme="minorHAnsi" w:cs="Arial"/>
          <w:szCs w:val="20"/>
        </w:rPr>
        <w:t xml:space="preserve">2020 </w:t>
      </w:r>
      <w:r w:rsidR="00FD219F">
        <w:rPr>
          <w:rFonts w:asciiTheme="minorHAnsi" w:eastAsiaTheme="minorHAnsi" w:hAnsiTheme="minorHAnsi" w:cs="Arial"/>
          <w:szCs w:val="20"/>
        </w:rPr>
        <w:t xml:space="preserve">data </w:t>
      </w:r>
      <w:r w:rsidR="00926C9A">
        <w:rPr>
          <w:rFonts w:asciiTheme="minorHAnsi" w:eastAsiaTheme="minorHAnsi" w:hAnsiTheme="minorHAnsi" w:cs="Arial"/>
          <w:szCs w:val="20"/>
        </w:rPr>
        <w:t>are</w:t>
      </w:r>
      <w:r w:rsidR="00FD219F">
        <w:rPr>
          <w:rFonts w:asciiTheme="minorHAnsi" w:eastAsiaTheme="minorHAnsi" w:hAnsiTheme="minorHAnsi" w:cs="Arial"/>
          <w:szCs w:val="20"/>
        </w:rPr>
        <w:t xml:space="preserve"> not </w:t>
      </w:r>
      <w:r w:rsidR="00BE6E38">
        <w:rPr>
          <w:rFonts w:asciiTheme="minorHAnsi" w:eastAsiaTheme="minorHAnsi" w:hAnsiTheme="minorHAnsi" w:cs="Arial"/>
          <w:szCs w:val="20"/>
        </w:rPr>
        <w:t xml:space="preserve">utilized for trend analysis </w:t>
      </w:r>
      <w:r w:rsidR="00FD219F">
        <w:rPr>
          <w:rFonts w:asciiTheme="minorHAnsi" w:eastAsiaTheme="minorHAnsi" w:hAnsiTheme="minorHAnsi" w:cs="Arial"/>
          <w:szCs w:val="20"/>
        </w:rPr>
        <w:t xml:space="preserve">since this </w:t>
      </w:r>
      <w:r w:rsidR="00B16B7A">
        <w:rPr>
          <w:rFonts w:asciiTheme="minorHAnsi" w:eastAsiaTheme="minorHAnsi" w:hAnsiTheme="minorHAnsi" w:cs="Arial"/>
          <w:szCs w:val="20"/>
        </w:rPr>
        <w:t xml:space="preserve">year </w:t>
      </w:r>
      <w:r w:rsidR="00FD219F">
        <w:rPr>
          <w:rFonts w:asciiTheme="minorHAnsi" w:eastAsiaTheme="minorHAnsi" w:hAnsiTheme="minorHAnsi" w:cs="Arial"/>
          <w:szCs w:val="20"/>
        </w:rPr>
        <w:t>would bias estimates of trend</w:t>
      </w:r>
      <w:r w:rsidR="00493964">
        <w:rPr>
          <w:rFonts w:asciiTheme="minorHAnsi" w:eastAsiaTheme="minorHAnsi" w:hAnsiTheme="minorHAnsi" w:cs="Arial"/>
          <w:szCs w:val="20"/>
        </w:rPr>
        <w:t>s</w:t>
      </w:r>
      <w:r w:rsidR="00FD219F">
        <w:rPr>
          <w:rFonts w:asciiTheme="minorHAnsi" w:eastAsiaTheme="minorHAnsi" w:hAnsiTheme="minorHAnsi" w:cs="Arial"/>
          <w:szCs w:val="20"/>
        </w:rPr>
        <w:t xml:space="preserve"> over time. </w:t>
      </w:r>
      <w:r w:rsidRPr="0005529C">
        <w:rPr>
          <w:rFonts w:asciiTheme="minorHAnsi" w:eastAsiaTheme="minorHAnsi" w:hAnsiTheme="minorHAnsi" w:cs="Arial"/>
          <w:szCs w:val="20"/>
        </w:rPr>
        <w:t xml:space="preserve"> In addition to incidence and mortality, age-specific statistics are </w:t>
      </w:r>
      <w:r w:rsidR="00F84458" w:rsidRPr="0005529C">
        <w:rPr>
          <w:rFonts w:asciiTheme="minorHAnsi" w:hAnsiTheme="minorHAnsi" w:cs="Arial"/>
        </w:rPr>
        <w:t>presented</w:t>
      </w:r>
      <w:r w:rsidRPr="0005529C">
        <w:rPr>
          <w:rFonts w:asciiTheme="minorHAnsi" w:hAnsiTheme="minorHAnsi" w:cs="Arial"/>
        </w:rPr>
        <w:t>.  In many cases, these</w:t>
      </w:r>
      <w:r w:rsidR="00033A7E">
        <w:rPr>
          <w:rFonts w:asciiTheme="minorHAnsi" w:hAnsiTheme="minorHAnsi" w:cs="Arial"/>
        </w:rPr>
        <w:t xml:space="preserve"> </w:t>
      </w:r>
      <w:r w:rsidRPr="0005529C">
        <w:rPr>
          <w:rFonts w:asciiTheme="minorHAnsi" w:hAnsiTheme="minorHAnsi" w:cs="Arial"/>
        </w:rPr>
        <w:t xml:space="preserve">statistics are also </w:t>
      </w:r>
      <w:r w:rsidR="00303779">
        <w:rPr>
          <w:rFonts w:asciiTheme="minorHAnsi" w:hAnsiTheme="minorHAnsi" w:cs="Arial"/>
        </w:rPr>
        <w:t>often</w:t>
      </w:r>
      <w:r w:rsidRPr="0005529C">
        <w:rPr>
          <w:rFonts w:asciiTheme="minorHAnsi" w:hAnsiTheme="minorHAnsi" w:cs="Arial"/>
        </w:rPr>
        <w:t xml:space="preserve"> calculated separately by sex, race, county of residence, and age group. </w:t>
      </w:r>
    </w:p>
    <w:p w14:paraId="23D8CF87" w14:textId="133BB483" w:rsidR="000F2FF9" w:rsidRPr="0005529C" w:rsidRDefault="00FE7F52" w:rsidP="000F2FF9">
      <w:pPr>
        <w:widowControl w:val="0"/>
        <w:spacing w:after="120" w:line="240" w:lineRule="auto"/>
        <w:rPr>
          <w:rFonts w:asciiTheme="minorHAnsi" w:hAnsiTheme="minorHAnsi" w:cs="Arial"/>
        </w:rPr>
      </w:pPr>
      <w:r w:rsidRPr="0005529C">
        <w:rPr>
          <w:rFonts w:asciiTheme="minorHAnsi" w:hAnsiTheme="minorHAnsi" w:cs="Arial"/>
        </w:rPr>
        <w:t xml:space="preserve">Data regarding </w:t>
      </w:r>
      <w:r w:rsidR="006B1AA4" w:rsidRPr="0005529C">
        <w:rPr>
          <w:rFonts w:asciiTheme="minorHAnsi" w:hAnsiTheme="minorHAnsi" w:cs="Arial"/>
        </w:rPr>
        <w:t xml:space="preserve">cancer screening recommendations and compliance </w:t>
      </w:r>
      <w:r w:rsidR="00810975">
        <w:rPr>
          <w:rFonts w:asciiTheme="minorHAnsi" w:hAnsiTheme="minorHAnsi" w:cs="Arial"/>
        </w:rPr>
        <w:t>are</w:t>
      </w:r>
      <w:r w:rsidR="006B1AA4" w:rsidRPr="0005529C">
        <w:rPr>
          <w:rFonts w:asciiTheme="minorHAnsi" w:hAnsiTheme="minorHAnsi" w:cs="Arial"/>
        </w:rPr>
        <w:t xml:space="preserve"> presented in Appendix D. </w:t>
      </w:r>
      <w:r w:rsidR="00F514E7">
        <w:rPr>
          <w:rFonts w:asciiTheme="minorHAnsi" w:hAnsiTheme="minorHAnsi" w:cs="Arial"/>
        </w:rPr>
        <w:t xml:space="preserve"> </w:t>
      </w:r>
      <w:r w:rsidR="006B1AA4" w:rsidRPr="0005529C">
        <w:rPr>
          <w:rFonts w:asciiTheme="minorHAnsi" w:hAnsiTheme="minorHAnsi" w:cs="Arial"/>
        </w:rPr>
        <w:t>Behavioral</w:t>
      </w:r>
      <w:r w:rsidR="000F2FF9" w:rsidRPr="0005529C">
        <w:rPr>
          <w:rFonts w:asciiTheme="minorHAnsi" w:hAnsiTheme="minorHAnsi" w:cs="Arial"/>
        </w:rPr>
        <w:t xml:space="preserve"> risk factor data relevant to adult Delawareans are presented </w:t>
      </w:r>
      <w:r w:rsidR="006B1AA4" w:rsidRPr="0005529C">
        <w:rPr>
          <w:rFonts w:asciiTheme="minorHAnsi" w:hAnsiTheme="minorHAnsi" w:cs="Arial"/>
        </w:rPr>
        <w:t>in</w:t>
      </w:r>
      <w:r w:rsidR="005E3849" w:rsidRPr="0005529C">
        <w:rPr>
          <w:rFonts w:asciiTheme="minorHAnsi" w:hAnsiTheme="minorHAnsi" w:cs="Arial"/>
        </w:rPr>
        <w:t xml:space="preserve"> </w:t>
      </w:r>
      <w:r w:rsidR="000F2FF9" w:rsidRPr="0005529C">
        <w:rPr>
          <w:rFonts w:asciiTheme="minorHAnsi" w:hAnsiTheme="minorHAnsi" w:cs="Arial"/>
        </w:rPr>
        <w:t xml:space="preserve">Appendix </w:t>
      </w:r>
      <w:r w:rsidR="006B1AA4" w:rsidRPr="0005529C">
        <w:rPr>
          <w:rFonts w:asciiTheme="minorHAnsi" w:hAnsiTheme="minorHAnsi" w:cs="Arial"/>
        </w:rPr>
        <w:t>E</w:t>
      </w:r>
      <w:r w:rsidR="000F2FF9" w:rsidRPr="0005529C">
        <w:rPr>
          <w:rFonts w:asciiTheme="minorHAnsi" w:hAnsiTheme="minorHAnsi" w:cs="Arial"/>
        </w:rPr>
        <w:t xml:space="preserve">. </w:t>
      </w:r>
    </w:p>
    <w:p w14:paraId="5008A1E3" w14:textId="4C5028FB" w:rsidR="00DC2E57" w:rsidRDefault="000F2FF9" w:rsidP="000F2FF9">
      <w:pPr>
        <w:widowControl w:val="0"/>
        <w:spacing w:after="120" w:line="240" w:lineRule="auto"/>
        <w:rPr>
          <w:rFonts w:asciiTheme="minorHAnsi" w:hAnsiTheme="minorHAnsi" w:cs="Arial"/>
        </w:rPr>
      </w:pPr>
      <w:r w:rsidRPr="0005529C">
        <w:rPr>
          <w:rFonts w:asciiTheme="minorHAnsi" w:hAnsiTheme="minorHAnsi" w:cs="Arial"/>
        </w:rPr>
        <w:t xml:space="preserve">Delaware’s </w:t>
      </w:r>
      <w:r w:rsidR="00BE6E38">
        <w:rPr>
          <w:rFonts w:asciiTheme="minorHAnsi" w:eastAsiaTheme="minorHAnsi" w:hAnsiTheme="minorHAnsi" w:cs="Arial"/>
          <w:szCs w:val="20"/>
        </w:rPr>
        <w:t>2017-2021</w:t>
      </w:r>
      <w:r w:rsidRPr="0005529C">
        <w:rPr>
          <w:rFonts w:asciiTheme="minorHAnsi" w:eastAsiaTheme="minorHAnsi" w:hAnsiTheme="minorHAnsi" w:cs="Arial"/>
          <w:szCs w:val="20"/>
        </w:rPr>
        <w:t xml:space="preserve"> </w:t>
      </w:r>
      <w:r w:rsidRPr="0005529C">
        <w:rPr>
          <w:rFonts w:asciiTheme="minorHAnsi" w:hAnsiTheme="minorHAnsi" w:cs="Arial"/>
        </w:rPr>
        <w:t xml:space="preserve">cancer incidence and mortality rankings among all 50 U.S. states are provided for each cancer site included in the report.  State rankings for cancer incidence and mortality were obtained from the </w:t>
      </w:r>
      <w:r w:rsidR="00BE6E38">
        <w:rPr>
          <w:rFonts w:asciiTheme="minorHAnsi" w:hAnsiTheme="minorHAnsi" w:cs="Arial"/>
        </w:rPr>
        <w:t>National Cancer Institute’s CI*Rank</w:t>
      </w:r>
      <w:r w:rsidRPr="0005529C">
        <w:rPr>
          <w:rStyle w:val="FootnoteReference"/>
          <w:rFonts w:asciiTheme="minorHAnsi" w:hAnsiTheme="minorHAnsi" w:cs="Arial"/>
        </w:rPr>
        <w:footnoteReference w:id="8"/>
      </w:r>
      <w:r w:rsidRPr="0005529C">
        <w:rPr>
          <w:rFonts w:asciiTheme="minorHAnsi" w:hAnsiTheme="minorHAnsi" w:cs="Arial"/>
        </w:rPr>
        <w:t>.</w:t>
      </w:r>
    </w:p>
    <w:p w14:paraId="241BD954" w14:textId="77777777" w:rsidR="0024286E" w:rsidRDefault="0024286E" w:rsidP="000F2FF9">
      <w:pPr>
        <w:widowControl w:val="0"/>
        <w:spacing w:after="120" w:line="240" w:lineRule="auto"/>
        <w:rPr>
          <w:rFonts w:asciiTheme="minorHAnsi" w:hAnsiTheme="minorHAnsi" w:cs="Arial"/>
        </w:rPr>
      </w:pPr>
    </w:p>
    <w:p w14:paraId="02BA82FF" w14:textId="54CA6CC4" w:rsidR="000F2FF9" w:rsidRPr="0005529C" w:rsidRDefault="000F2FF9" w:rsidP="000F2FF9">
      <w:pPr>
        <w:pStyle w:val="Heading3"/>
        <w:spacing w:before="120" w:after="120"/>
        <w:rPr>
          <w:rFonts w:asciiTheme="minorHAnsi" w:hAnsiTheme="minorHAnsi"/>
          <w:b/>
        </w:rPr>
      </w:pPr>
      <w:r w:rsidRPr="0005529C">
        <w:rPr>
          <w:rFonts w:asciiTheme="minorHAnsi" w:hAnsiTheme="minorHAnsi"/>
          <w:b/>
        </w:rPr>
        <w:t>Delaware’s Population</w:t>
      </w:r>
    </w:p>
    <w:p w14:paraId="490D666D" w14:textId="460677FC" w:rsidR="00B10E72" w:rsidRDefault="00DC2E57" w:rsidP="004C7862">
      <w:pPr>
        <w:spacing w:after="120" w:line="240" w:lineRule="auto"/>
        <w:rPr>
          <w:rFonts w:asciiTheme="minorHAnsi" w:hAnsiTheme="minorHAnsi"/>
          <w:szCs w:val="20"/>
        </w:rPr>
      </w:pPr>
      <w:bookmarkStart w:id="18" w:name="_Toc307482351"/>
      <w:r w:rsidRPr="0005529C">
        <w:rPr>
          <w:rFonts w:asciiTheme="minorHAnsi" w:hAnsiTheme="minorHAnsi"/>
          <w:szCs w:val="20"/>
        </w:rPr>
        <w:t xml:space="preserve">In </w:t>
      </w:r>
      <w:r w:rsidR="009D5C28">
        <w:rPr>
          <w:rFonts w:asciiTheme="minorHAnsi" w:hAnsiTheme="minorHAnsi"/>
          <w:szCs w:val="20"/>
        </w:rPr>
        <w:t>2017-2021</w:t>
      </w:r>
      <w:r w:rsidRPr="0005529C">
        <w:rPr>
          <w:rFonts w:asciiTheme="minorHAnsi" w:hAnsiTheme="minorHAnsi"/>
          <w:szCs w:val="20"/>
        </w:rPr>
        <w:t>, census data estimated Delaware’s total</w:t>
      </w:r>
      <w:r w:rsidR="00547D6E" w:rsidRPr="0005529C">
        <w:rPr>
          <w:rFonts w:asciiTheme="minorHAnsi" w:hAnsiTheme="minorHAnsi"/>
          <w:szCs w:val="20"/>
        </w:rPr>
        <w:t xml:space="preserve"> average</w:t>
      </w:r>
      <w:r w:rsidRPr="0005529C">
        <w:rPr>
          <w:rFonts w:asciiTheme="minorHAnsi" w:hAnsiTheme="minorHAnsi"/>
          <w:szCs w:val="20"/>
        </w:rPr>
        <w:t xml:space="preserve"> population at </w:t>
      </w:r>
      <w:r w:rsidR="009D5C28">
        <w:rPr>
          <w:rFonts w:asciiTheme="minorHAnsi" w:hAnsiTheme="minorHAnsi"/>
          <w:szCs w:val="20"/>
        </w:rPr>
        <w:t>981,892</w:t>
      </w:r>
      <w:r w:rsidRPr="0005529C">
        <w:rPr>
          <w:rFonts w:asciiTheme="minorHAnsi" w:hAnsiTheme="minorHAnsi"/>
          <w:szCs w:val="20"/>
        </w:rPr>
        <w:t xml:space="preserve">.  </w:t>
      </w:r>
      <w:r w:rsidR="00BC7ADF">
        <w:rPr>
          <w:rFonts w:asciiTheme="minorHAnsi" w:hAnsiTheme="minorHAnsi"/>
          <w:szCs w:val="20"/>
        </w:rPr>
        <w:t xml:space="preserve">Approximately </w:t>
      </w:r>
      <w:r w:rsidR="000D2FF5">
        <w:rPr>
          <w:rFonts w:asciiTheme="minorHAnsi" w:hAnsiTheme="minorHAnsi"/>
          <w:szCs w:val="20"/>
        </w:rPr>
        <w:t>58%</w:t>
      </w:r>
      <w:r w:rsidR="00B142A6">
        <w:rPr>
          <w:rFonts w:asciiTheme="minorHAnsi" w:hAnsiTheme="minorHAnsi"/>
          <w:szCs w:val="20"/>
        </w:rPr>
        <w:t xml:space="preserve"> of</w:t>
      </w:r>
      <w:r w:rsidRPr="0005529C">
        <w:rPr>
          <w:rFonts w:asciiTheme="minorHAnsi" w:hAnsiTheme="minorHAnsi"/>
          <w:szCs w:val="20"/>
        </w:rPr>
        <w:t xml:space="preserve"> Delawareans </w:t>
      </w:r>
      <w:r w:rsidR="00B142A6">
        <w:rPr>
          <w:rFonts w:asciiTheme="minorHAnsi" w:hAnsiTheme="minorHAnsi"/>
          <w:szCs w:val="20"/>
        </w:rPr>
        <w:t>r</w:t>
      </w:r>
      <w:r w:rsidRPr="0005529C">
        <w:rPr>
          <w:rFonts w:asciiTheme="minorHAnsi" w:hAnsiTheme="minorHAnsi"/>
          <w:szCs w:val="20"/>
        </w:rPr>
        <w:t xml:space="preserve">eside in New Castle County.  Kent and Sussex </w:t>
      </w:r>
      <w:r w:rsidR="001506FD" w:rsidRPr="0005529C">
        <w:rPr>
          <w:rFonts w:asciiTheme="minorHAnsi" w:hAnsiTheme="minorHAnsi"/>
          <w:szCs w:val="20"/>
        </w:rPr>
        <w:t>c</w:t>
      </w:r>
      <w:r w:rsidRPr="0005529C">
        <w:rPr>
          <w:rFonts w:asciiTheme="minorHAnsi" w:hAnsiTheme="minorHAnsi"/>
          <w:szCs w:val="20"/>
        </w:rPr>
        <w:t>ounties are home to 1</w:t>
      </w:r>
      <w:r w:rsidR="00BC7ADF">
        <w:rPr>
          <w:rFonts w:asciiTheme="minorHAnsi" w:hAnsiTheme="minorHAnsi"/>
          <w:szCs w:val="20"/>
        </w:rPr>
        <w:t>8.</w:t>
      </w:r>
      <w:r w:rsidR="009D5C28">
        <w:rPr>
          <w:rFonts w:asciiTheme="minorHAnsi" w:hAnsiTheme="minorHAnsi"/>
          <w:szCs w:val="20"/>
        </w:rPr>
        <w:t>3</w:t>
      </w:r>
      <w:r w:rsidRPr="0005529C">
        <w:rPr>
          <w:rFonts w:asciiTheme="minorHAnsi" w:hAnsiTheme="minorHAnsi"/>
          <w:szCs w:val="20"/>
        </w:rPr>
        <w:t>% and 2</w:t>
      </w:r>
      <w:r w:rsidR="00BC7ADF">
        <w:rPr>
          <w:rFonts w:asciiTheme="minorHAnsi" w:hAnsiTheme="minorHAnsi"/>
          <w:szCs w:val="20"/>
        </w:rPr>
        <w:t>3.8</w:t>
      </w:r>
      <w:r w:rsidRPr="0005529C">
        <w:rPr>
          <w:rFonts w:asciiTheme="minorHAnsi" w:hAnsiTheme="minorHAnsi"/>
          <w:szCs w:val="20"/>
        </w:rPr>
        <w:t xml:space="preserve">% of Delawareans, respectively (Figure </w:t>
      </w:r>
      <w:r w:rsidR="00EE756F">
        <w:rPr>
          <w:rFonts w:asciiTheme="minorHAnsi" w:hAnsiTheme="minorHAnsi"/>
          <w:szCs w:val="20"/>
        </w:rPr>
        <w:t>1</w:t>
      </w:r>
      <w:r w:rsidRPr="0005529C">
        <w:rPr>
          <w:rFonts w:asciiTheme="minorHAnsi" w:hAnsiTheme="minorHAnsi"/>
          <w:szCs w:val="20"/>
        </w:rPr>
        <w:t>-1).</w:t>
      </w:r>
      <w:r w:rsidRPr="00AC5D00">
        <w:rPr>
          <w:rFonts w:asciiTheme="minorHAnsi" w:hAnsiTheme="minorHAnsi"/>
          <w:szCs w:val="20"/>
        </w:rPr>
        <w:t xml:space="preserve"> </w:t>
      </w:r>
    </w:p>
    <w:p w14:paraId="0D7ABA8D" w14:textId="77777777" w:rsidR="004C7862" w:rsidRPr="004C7862" w:rsidRDefault="004C7862" w:rsidP="004C7862">
      <w:pPr>
        <w:spacing w:after="120" w:line="240" w:lineRule="auto"/>
        <w:rPr>
          <w:rFonts w:asciiTheme="minorHAnsi" w:hAnsiTheme="minorHAnsi"/>
          <w:szCs w:val="20"/>
        </w:rPr>
      </w:pPr>
    </w:p>
    <w:p w14:paraId="0D83D454" w14:textId="4C7A051C" w:rsidR="00DC2E57" w:rsidRPr="0056164B" w:rsidRDefault="00DC2E57" w:rsidP="00DC2E57">
      <w:pPr>
        <w:pStyle w:val="Caption"/>
        <w:spacing w:after="120" w:line="240" w:lineRule="auto"/>
        <w:jc w:val="center"/>
        <w:rPr>
          <w:rFonts w:asciiTheme="minorHAnsi" w:hAnsiTheme="minorHAnsi" w:cs="Arial"/>
          <w:b/>
          <w:sz w:val="22"/>
          <w:szCs w:val="22"/>
        </w:rPr>
      </w:pPr>
      <w:r w:rsidRPr="00A64337">
        <w:rPr>
          <w:rFonts w:asciiTheme="minorHAnsi" w:hAnsiTheme="minorHAnsi"/>
          <w:b/>
          <w:sz w:val="22"/>
          <w:szCs w:val="22"/>
        </w:rPr>
        <w:t xml:space="preserve">Figure </w:t>
      </w:r>
      <w:r>
        <w:rPr>
          <w:rFonts w:asciiTheme="minorHAnsi" w:hAnsiTheme="minorHAnsi"/>
          <w:b/>
          <w:sz w:val="22"/>
          <w:szCs w:val="22"/>
        </w:rPr>
        <w:fldChar w:fldCharType="begin"/>
      </w:r>
      <w:r>
        <w:rPr>
          <w:rFonts w:asciiTheme="minorHAnsi" w:hAnsiTheme="minorHAnsi"/>
          <w:b/>
          <w:sz w:val="22"/>
          <w:szCs w:val="22"/>
        </w:rPr>
        <w:instrText xml:space="preserve"> STYLEREF 1 \s </w:instrText>
      </w:r>
      <w:r>
        <w:rPr>
          <w:rFonts w:asciiTheme="minorHAnsi" w:hAnsiTheme="minorHAnsi"/>
          <w:b/>
          <w:sz w:val="22"/>
          <w:szCs w:val="22"/>
        </w:rPr>
        <w:fldChar w:fldCharType="separate"/>
      </w:r>
      <w:r w:rsidR="006C24CC">
        <w:rPr>
          <w:rFonts w:asciiTheme="minorHAnsi" w:hAnsiTheme="minorHAnsi"/>
          <w:b/>
          <w:noProof/>
          <w:sz w:val="22"/>
          <w:szCs w:val="22"/>
        </w:rPr>
        <w:t>1</w:t>
      </w:r>
      <w:r>
        <w:rPr>
          <w:rFonts w:asciiTheme="minorHAnsi" w:hAnsiTheme="minorHAnsi"/>
          <w:b/>
          <w:sz w:val="22"/>
          <w:szCs w:val="22"/>
        </w:rPr>
        <w:fldChar w:fldCharType="end"/>
      </w:r>
      <w:r>
        <w:rPr>
          <w:rFonts w:asciiTheme="minorHAnsi" w:hAnsiTheme="minorHAnsi"/>
          <w:b/>
          <w:sz w:val="22"/>
          <w:szCs w:val="22"/>
        </w:rPr>
        <w:noBreakHyphen/>
      </w:r>
      <w:r>
        <w:rPr>
          <w:rFonts w:asciiTheme="minorHAnsi" w:hAnsiTheme="minorHAnsi"/>
          <w:b/>
          <w:sz w:val="22"/>
          <w:szCs w:val="22"/>
        </w:rPr>
        <w:fldChar w:fldCharType="begin"/>
      </w:r>
      <w:r>
        <w:rPr>
          <w:rFonts w:asciiTheme="minorHAnsi" w:hAnsiTheme="minorHAnsi"/>
          <w:b/>
          <w:sz w:val="22"/>
          <w:szCs w:val="22"/>
        </w:rPr>
        <w:instrText xml:space="preserve"> SEQ Figure \* ARABIC \s 1 </w:instrText>
      </w:r>
      <w:r>
        <w:rPr>
          <w:rFonts w:asciiTheme="minorHAnsi" w:hAnsiTheme="minorHAnsi"/>
          <w:b/>
          <w:sz w:val="22"/>
          <w:szCs w:val="22"/>
        </w:rPr>
        <w:fldChar w:fldCharType="separate"/>
      </w:r>
      <w:r w:rsidR="006C24CC">
        <w:rPr>
          <w:rFonts w:asciiTheme="minorHAnsi" w:hAnsiTheme="minorHAnsi"/>
          <w:b/>
          <w:noProof/>
          <w:sz w:val="22"/>
          <w:szCs w:val="22"/>
        </w:rPr>
        <w:t>1</w:t>
      </w:r>
      <w:r>
        <w:rPr>
          <w:rFonts w:asciiTheme="minorHAnsi" w:hAnsiTheme="minorHAnsi"/>
          <w:b/>
          <w:sz w:val="22"/>
          <w:szCs w:val="22"/>
        </w:rPr>
        <w:fldChar w:fldCharType="end"/>
      </w:r>
      <w:r w:rsidRPr="00A64337">
        <w:rPr>
          <w:rFonts w:asciiTheme="minorHAnsi" w:hAnsiTheme="minorHAnsi"/>
          <w:b/>
          <w:sz w:val="22"/>
          <w:szCs w:val="22"/>
        </w:rPr>
        <w:t xml:space="preserve">: </w:t>
      </w:r>
      <w:r w:rsidR="00E5225E">
        <w:rPr>
          <w:rFonts w:asciiTheme="minorHAnsi" w:hAnsiTheme="minorHAnsi" w:cs="Arial"/>
          <w:b/>
          <w:sz w:val="22"/>
          <w:szCs w:val="22"/>
        </w:rPr>
        <w:t>percentage of population by county</w:t>
      </w:r>
      <w:r w:rsidRPr="00A64337">
        <w:rPr>
          <w:rFonts w:asciiTheme="minorHAnsi" w:hAnsiTheme="minorHAnsi" w:cs="Arial"/>
          <w:b/>
          <w:sz w:val="22"/>
          <w:szCs w:val="22"/>
        </w:rPr>
        <w:t>,</w:t>
      </w:r>
      <w:r w:rsidR="00E5225E">
        <w:rPr>
          <w:rFonts w:asciiTheme="minorHAnsi" w:hAnsiTheme="minorHAnsi" w:cs="Arial"/>
          <w:b/>
          <w:sz w:val="22"/>
          <w:szCs w:val="22"/>
        </w:rPr>
        <w:t xml:space="preserve"> Delaware,</w:t>
      </w:r>
      <w:r w:rsidRPr="00A64337">
        <w:rPr>
          <w:rFonts w:asciiTheme="minorHAnsi" w:hAnsiTheme="minorHAnsi" w:cs="Arial"/>
          <w:b/>
          <w:sz w:val="22"/>
          <w:szCs w:val="22"/>
        </w:rPr>
        <w:t xml:space="preserve"> </w:t>
      </w:r>
      <w:bookmarkEnd w:id="18"/>
      <w:r w:rsidR="00D403E9">
        <w:rPr>
          <w:rFonts w:asciiTheme="minorHAnsi" w:hAnsiTheme="minorHAnsi" w:cs="Arial"/>
          <w:b/>
          <w:sz w:val="22"/>
          <w:szCs w:val="22"/>
        </w:rPr>
        <w:t>201</w:t>
      </w:r>
      <w:r w:rsidR="00FA696D">
        <w:rPr>
          <w:rFonts w:asciiTheme="minorHAnsi" w:hAnsiTheme="minorHAnsi" w:cs="Arial"/>
          <w:b/>
          <w:sz w:val="22"/>
          <w:szCs w:val="22"/>
        </w:rPr>
        <w:t>7</w:t>
      </w:r>
      <w:r w:rsidR="00D403E9">
        <w:rPr>
          <w:rFonts w:asciiTheme="minorHAnsi" w:hAnsiTheme="minorHAnsi" w:cs="Arial"/>
          <w:b/>
          <w:sz w:val="22"/>
          <w:szCs w:val="22"/>
        </w:rPr>
        <w:t>-20</w:t>
      </w:r>
      <w:r w:rsidR="00BC7ADF">
        <w:rPr>
          <w:rFonts w:asciiTheme="minorHAnsi" w:hAnsiTheme="minorHAnsi" w:cs="Arial"/>
          <w:b/>
          <w:sz w:val="22"/>
          <w:szCs w:val="22"/>
        </w:rPr>
        <w:t>2</w:t>
      </w:r>
      <w:r w:rsidR="00FA696D">
        <w:rPr>
          <w:rFonts w:asciiTheme="minorHAnsi" w:hAnsiTheme="minorHAnsi" w:cs="Arial"/>
          <w:b/>
          <w:sz w:val="22"/>
          <w:szCs w:val="22"/>
        </w:rPr>
        <w:t>1</w:t>
      </w:r>
    </w:p>
    <w:p w14:paraId="1575594F" w14:textId="2AA83DF9" w:rsidR="00DC2E57" w:rsidRPr="00217EF6" w:rsidRDefault="00FD6A20" w:rsidP="00217EF6">
      <w:pPr>
        <w:pStyle w:val="Caption"/>
        <w:spacing w:after="0"/>
        <w:jc w:val="center"/>
        <w:rPr>
          <w:rFonts w:cs="Arial"/>
        </w:rPr>
      </w:pPr>
      <w:r>
        <w:rPr>
          <w:rFonts w:cs="Arial"/>
          <w:noProof/>
        </w:rPr>
        <w:drawing>
          <wp:inline distT="0" distB="0" distL="0" distR="0" wp14:anchorId="135E54A6" wp14:editId="5281E168">
            <wp:extent cx="3305542" cy="2545307"/>
            <wp:effectExtent l="0" t="0" r="9525" b="7620"/>
            <wp:docPr id="1882943322" name="Picture 1" descr="A pie chart with a few different colored secti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43322" name="Picture 1" descr="A pie chart with a few different colored sections&#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17966" cy="2554874"/>
                    </a:xfrm>
                    <a:prstGeom prst="rect">
                      <a:avLst/>
                    </a:prstGeom>
                  </pic:spPr>
                </pic:pic>
              </a:graphicData>
            </a:graphic>
          </wp:inline>
        </w:drawing>
      </w:r>
      <w:r w:rsidR="00DC2E57">
        <w:rPr>
          <w:rFonts w:cs="Arial"/>
        </w:rPr>
        <w:t xml:space="preserve">     </w:t>
      </w:r>
    </w:p>
    <w:p w14:paraId="5EC38973" w14:textId="0AD41F52" w:rsidR="001506FD" w:rsidRDefault="00437EC1" w:rsidP="0024286E">
      <w:pPr>
        <w:widowControl w:val="0"/>
        <w:spacing w:after="120" w:line="240" w:lineRule="auto"/>
        <w:ind w:left="2340" w:right="2333"/>
        <w:contextualSpacing/>
        <w:rPr>
          <w:rFonts w:asciiTheme="minorHAnsi" w:hAnsiTheme="minorHAnsi" w:cs="Arial"/>
          <w:i/>
          <w:sz w:val="16"/>
          <w:szCs w:val="16"/>
        </w:rPr>
      </w:pPr>
      <w:r w:rsidRPr="00B142A6">
        <w:rPr>
          <w:rFonts w:asciiTheme="minorHAnsi" w:hAnsiTheme="minorHAnsi" w:cs="Arial"/>
          <w:i/>
          <w:sz w:val="16"/>
          <w:szCs w:val="16"/>
        </w:rPr>
        <w:t xml:space="preserve">Source: U.S. Census Bureau, </w:t>
      </w:r>
      <w:r w:rsidR="009D5C28">
        <w:rPr>
          <w:rFonts w:asciiTheme="minorHAnsi" w:hAnsiTheme="minorHAnsi" w:cs="Arial"/>
          <w:i/>
          <w:sz w:val="16"/>
          <w:szCs w:val="16"/>
        </w:rPr>
        <w:t>2017-2021</w:t>
      </w:r>
      <w:r w:rsidRPr="00B142A6">
        <w:rPr>
          <w:rFonts w:asciiTheme="minorHAnsi" w:hAnsiTheme="minorHAnsi" w:cs="Arial"/>
          <w:i/>
          <w:sz w:val="16"/>
          <w:szCs w:val="16"/>
        </w:rPr>
        <w:t xml:space="preserve"> American Community Survey 5-Year Estimates,  </w:t>
      </w:r>
      <w:hyperlink r:id="rId18" w:history="1">
        <w:r w:rsidRPr="00B142A6">
          <w:rPr>
            <w:rStyle w:val="Hyperlink"/>
            <w:rFonts w:asciiTheme="minorHAnsi" w:hAnsiTheme="minorHAnsi" w:cs="Arial"/>
            <w:i/>
            <w:sz w:val="16"/>
            <w:szCs w:val="16"/>
          </w:rPr>
          <w:t>https://data.census.gov/</w:t>
        </w:r>
      </w:hyperlink>
      <w:r w:rsidRPr="00B142A6">
        <w:rPr>
          <w:rFonts w:asciiTheme="minorHAnsi" w:hAnsiTheme="minorHAnsi" w:cs="Arial"/>
          <w:i/>
          <w:sz w:val="16"/>
          <w:szCs w:val="16"/>
        </w:rPr>
        <w:t xml:space="preserve"> </w:t>
      </w:r>
      <w:r w:rsidR="000F2FF9" w:rsidRPr="00B142A6">
        <w:rPr>
          <w:rFonts w:asciiTheme="minorHAnsi" w:hAnsiTheme="minorHAnsi" w:cs="Arial"/>
          <w:i/>
          <w:sz w:val="16"/>
          <w:szCs w:val="16"/>
        </w:rPr>
        <w:t xml:space="preserve"> </w:t>
      </w:r>
    </w:p>
    <w:p w14:paraId="78E2C4E0" w14:textId="77777777" w:rsidR="004C7862" w:rsidRPr="0024286E" w:rsidRDefault="004C7862" w:rsidP="0024286E">
      <w:pPr>
        <w:widowControl w:val="0"/>
        <w:spacing w:after="120" w:line="240" w:lineRule="auto"/>
        <w:ind w:left="2340" w:right="2333"/>
        <w:contextualSpacing/>
        <w:rPr>
          <w:rFonts w:asciiTheme="minorHAnsi" w:hAnsiTheme="minorHAnsi" w:cs="Arial"/>
          <w:i/>
          <w:sz w:val="16"/>
          <w:szCs w:val="16"/>
        </w:rPr>
      </w:pPr>
    </w:p>
    <w:p w14:paraId="71783FA1" w14:textId="06C250FA" w:rsidR="004C7862" w:rsidRPr="001E7E9C" w:rsidRDefault="000F2FF9" w:rsidP="000F2FF9">
      <w:pPr>
        <w:spacing w:after="120" w:line="240" w:lineRule="auto"/>
        <w:rPr>
          <w:rFonts w:asciiTheme="minorHAnsi" w:hAnsiTheme="minorHAnsi" w:cs="Arial"/>
          <w:szCs w:val="20"/>
        </w:rPr>
      </w:pPr>
      <w:r w:rsidRPr="0005529C">
        <w:rPr>
          <w:rFonts w:asciiTheme="minorHAnsi" w:hAnsiTheme="minorHAnsi" w:cs="Arial"/>
          <w:szCs w:val="20"/>
        </w:rPr>
        <w:t xml:space="preserve">Since </w:t>
      </w:r>
      <w:r w:rsidR="004D4B6F">
        <w:rPr>
          <w:rFonts w:asciiTheme="minorHAnsi" w:hAnsiTheme="minorHAnsi" w:cs="Arial"/>
          <w:szCs w:val="20"/>
        </w:rPr>
        <w:t>2000</w:t>
      </w:r>
      <w:r w:rsidRPr="0005529C">
        <w:rPr>
          <w:rFonts w:asciiTheme="minorHAnsi" w:hAnsiTheme="minorHAnsi" w:cs="Arial"/>
          <w:szCs w:val="20"/>
        </w:rPr>
        <w:t>, population growth rates have varied across Delaware counties</w:t>
      </w:r>
      <w:r w:rsidR="00184909" w:rsidRPr="0005529C">
        <w:rPr>
          <w:rFonts w:asciiTheme="minorHAnsi" w:hAnsiTheme="minorHAnsi" w:cs="Arial"/>
          <w:szCs w:val="20"/>
        </w:rPr>
        <w:t xml:space="preserve"> (Figure </w:t>
      </w:r>
      <w:r w:rsidR="00E7686F">
        <w:rPr>
          <w:rFonts w:asciiTheme="minorHAnsi" w:hAnsiTheme="minorHAnsi" w:cs="Arial"/>
          <w:szCs w:val="20"/>
        </w:rPr>
        <w:t>1</w:t>
      </w:r>
      <w:r w:rsidR="00184909" w:rsidRPr="0005529C">
        <w:rPr>
          <w:rFonts w:asciiTheme="minorHAnsi" w:hAnsiTheme="minorHAnsi" w:cs="Arial"/>
          <w:szCs w:val="20"/>
        </w:rPr>
        <w:t>-2)</w:t>
      </w:r>
      <w:r w:rsidRPr="0005529C">
        <w:rPr>
          <w:rFonts w:asciiTheme="minorHAnsi" w:hAnsiTheme="minorHAnsi" w:cs="Arial"/>
          <w:szCs w:val="20"/>
        </w:rPr>
        <w:t xml:space="preserve">. </w:t>
      </w:r>
      <w:r w:rsidR="00AF028F">
        <w:rPr>
          <w:rFonts w:asciiTheme="minorHAnsi" w:hAnsiTheme="minorHAnsi" w:cs="Arial"/>
          <w:szCs w:val="20"/>
        </w:rPr>
        <w:t xml:space="preserve"> </w:t>
      </w:r>
      <w:r w:rsidR="00E62DCB">
        <w:rPr>
          <w:rFonts w:asciiTheme="minorHAnsi" w:hAnsiTheme="minorHAnsi" w:cs="Arial"/>
          <w:szCs w:val="20"/>
        </w:rPr>
        <w:t xml:space="preserve">New Castle County is </w:t>
      </w:r>
      <w:r w:rsidR="00B142A6">
        <w:rPr>
          <w:rFonts w:asciiTheme="minorHAnsi" w:hAnsiTheme="minorHAnsi" w:cs="Arial"/>
          <w:szCs w:val="20"/>
        </w:rPr>
        <w:t xml:space="preserve">Delaware’s most populated county.  New Castle </w:t>
      </w:r>
      <w:r w:rsidR="00E62DCB">
        <w:rPr>
          <w:rFonts w:asciiTheme="minorHAnsi" w:hAnsiTheme="minorHAnsi" w:cs="Arial"/>
          <w:szCs w:val="20"/>
        </w:rPr>
        <w:t>C</w:t>
      </w:r>
      <w:r w:rsidR="00B142A6">
        <w:rPr>
          <w:rFonts w:asciiTheme="minorHAnsi" w:hAnsiTheme="minorHAnsi" w:cs="Arial"/>
          <w:szCs w:val="20"/>
        </w:rPr>
        <w:t xml:space="preserve">ounty experienced </w:t>
      </w:r>
      <w:r w:rsidRPr="0005529C">
        <w:rPr>
          <w:rFonts w:asciiTheme="minorHAnsi" w:hAnsiTheme="minorHAnsi" w:cs="Arial"/>
          <w:szCs w:val="20"/>
        </w:rPr>
        <w:t>the smallest population growth</w:t>
      </w:r>
      <w:r w:rsidR="00452C8B">
        <w:rPr>
          <w:rFonts w:asciiTheme="minorHAnsi" w:hAnsiTheme="minorHAnsi" w:cs="Arial"/>
          <w:szCs w:val="20"/>
        </w:rPr>
        <w:t xml:space="preserve"> from 2010 to 2020</w:t>
      </w:r>
      <w:r w:rsidRPr="0005529C">
        <w:rPr>
          <w:rFonts w:asciiTheme="minorHAnsi" w:hAnsiTheme="minorHAnsi" w:cs="Arial"/>
          <w:szCs w:val="20"/>
        </w:rPr>
        <w:t>,</w:t>
      </w:r>
      <w:r w:rsidR="00452C8B">
        <w:rPr>
          <w:rFonts w:asciiTheme="minorHAnsi" w:hAnsiTheme="minorHAnsi" w:cs="Arial"/>
          <w:szCs w:val="20"/>
        </w:rPr>
        <w:t xml:space="preserve"> while Sussex County experienced the largest population growth from 2010 to 2020.</w:t>
      </w:r>
      <w:r w:rsidRPr="0005529C">
        <w:rPr>
          <w:rFonts w:asciiTheme="minorHAnsi" w:hAnsiTheme="minorHAnsi" w:cs="Arial"/>
          <w:szCs w:val="20"/>
        </w:rPr>
        <w:t xml:space="preserve"> </w:t>
      </w:r>
    </w:p>
    <w:p w14:paraId="724D8DCD" w14:textId="77777777" w:rsidR="00FA696D" w:rsidRDefault="00FA696D">
      <w:pPr>
        <w:rPr>
          <w:rFonts w:asciiTheme="minorHAnsi" w:hAnsiTheme="minorHAnsi"/>
          <w:b/>
          <w:caps/>
          <w:spacing w:val="10"/>
        </w:rPr>
      </w:pPr>
      <w:bookmarkStart w:id="19" w:name="_Toc307482352"/>
      <w:r>
        <w:rPr>
          <w:rFonts w:asciiTheme="minorHAnsi" w:hAnsiTheme="minorHAnsi"/>
          <w:b/>
        </w:rPr>
        <w:br w:type="page"/>
      </w:r>
    </w:p>
    <w:p w14:paraId="7440414C" w14:textId="66267A36" w:rsidR="00861F98" w:rsidRPr="00B77EA4" w:rsidRDefault="000F2FF9" w:rsidP="000F2FF9">
      <w:pPr>
        <w:pStyle w:val="Caption"/>
        <w:spacing w:after="120" w:line="240" w:lineRule="auto"/>
        <w:contextualSpacing/>
        <w:jc w:val="center"/>
        <w:rPr>
          <w:rFonts w:asciiTheme="minorHAnsi" w:hAnsiTheme="minorHAnsi"/>
          <w:b/>
          <w:sz w:val="22"/>
          <w:szCs w:val="22"/>
        </w:rPr>
      </w:pPr>
      <w:r w:rsidRPr="00B77EA4">
        <w:rPr>
          <w:rFonts w:asciiTheme="minorHAnsi" w:hAnsiTheme="minorHAnsi"/>
          <w:b/>
          <w:sz w:val="22"/>
          <w:szCs w:val="22"/>
        </w:rPr>
        <w:lastRenderedPageBreak/>
        <w:t xml:space="preserve">Figure </w:t>
      </w:r>
      <w:r w:rsidRPr="00B77EA4">
        <w:rPr>
          <w:rFonts w:asciiTheme="minorHAnsi" w:hAnsiTheme="minorHAnsi"/>
          <w:b/>
          <w:sz w:val="22"/>
          <w:szCs w:val="22"/>
        </w:rPr>
        <w:fldChar w:fldCharType="begin"/>
      </w:r>
      <w:r w:rsidRPr="00B77EA4">
        <w:rPr>
          <w:rFonts w:asciiTheme="minorHAnsi" w:hAnsiTheme="minorHAnsi"/>
          <w:b/>
          <w:sz w:val="22"/>
          <w:szCs w:val="22"/>
        </w:rPr>
        <w:instrText xml:space="preserve"> STYLEREF 1 \s </w:instrText>
      </w:r>
      <w:r w:rsidRPr="00B77EA4">
        <w:rPr>
          <w:rFonts w:asciiTheme="minorHAnsi" w:hAnsiTheme="minorHAnsi"/>
          <w:b/>
          <w:sz w:val="22"/>
          <w:szCs w:val="22"/>
        </w:rPr>
        <w:fldChar w:fldCharType="separate"/>
      </w:r>
      <w:r w:rsidR="006C24CC">
        <w:rPr>
          <w:rFonts w:asciiTheme="minorHAnsi" w:hAnsiTheme="minorHAnsi"/>
          <w:b/>
          <w:noProof/>
          <w:sz w:val="22"/>
          <w:szCs w:val="22"/>
        </w:rPr>
        <w:t>1</w:t>
      </w:r>
      <w:r w:rsidRPr="00B77EA4">
        <w:rPr>
          <w:rFonts w:asciiTheme="minorHAnsi" w:hAnsiTheme="minorHAnsi"/>
          <w:b/>
          <w:sz w:val="22"/>
          <w:szCs w:val="22"/>
        </w:rPr>
        <w:fldChar w:fldCharType="end"/>
      </w:r>
      <w:r w:rsidRPr="00B77EA4">
        <w:rPr>
          <w:rFonts w:asciiTheme="minorHAnsi" w:hAnsiTheme="minorHAnsi"/>
          <w:b/>
          <w:sz w:val="22"/>
          <w:szCs w:val="22"/>
        </w:rPr>
        <w:noBreakHyphen/>
      </w:r>
      <w:r w:rsidRPr="00B77EA4">
        <w:rPr>
          <w:rFonts w:asciiTheme="minorHAnsi" w:hAnsiTheme="minorHAnsi"/>
          <w:b/>
          <w:sz w:val="22"/>
          <w:szCs w:val="22"/>
        </w:rPr>
        <w:fldChar w:fldCharType="begin"/>
      </w:r>
      <w:r w:rsidRPr="00B77EA4">
        <w:rPr>
          <w:rFonts w:asciiTheme="minorHAnsi" w:hAnsiTheme="minorHAnsi"/>
          <w:b/>
          <w:sz w:val="22"/>
          <w:szCs w:val="22"/>
        </w:rPr>
        <w:instrText xml:space="preserve"> SEQ Figure \* ARABIC \s 1 </w:instrText>
      </w:r>
      <w:r w:rsidRPr="00B77EA4">
        <w:rPr>
          <w:rFonts w:asciiTheme="minorHAnsi" w:hAnsiTheme="minorHAnsi"/>
          <w:b/>
          <w:sz w:val="22"/>
          <w:szCs w:val="22"/>
        </w:rPr>
        <w:fldChar w:fldCharType="separate"/>
      </w:r>
      <w:r w:rsidR="006C24CC">
        <w:rPr>
          <w:rFonts w:asciiTheme="minorHAnsi" w:hAnsiTheme="minorHAnsi"/>
          <w:b/>
          <w:noProof/>
          <w:sz w:val="22"/>
          <w:szCs w:val="22"/>
        </w:rPr>
        <w:t>2</w:t>
      </w:r>
      <w:r w:rsidRPr="00B77EA4">
        <w:rPr>
          <w:rFonts w:asciiTheme="minorHAnsi" w:hAnsiTheme="minorHAnsi"/>
          <w:b/>
          <w:sz w:val="22"/>
          <w:szCs w:val="22"/>
        </w:rPr>
        <w:fldChar w:fldCharType="end"/>
      </w:r>
      <w:r w:rsidRPr="00B77EA4">
        <w:rPr>
          <w:rFonts w:asciiTheme="minorHAnsi" w:hAnsiTheme="minorHAnsi"/>
          <w:b/>
          <w:sz w:val="22"/>
          <w:szCs w:val="22"/>
        </w:rPr>
        <w:t xml:space="preserve">: </w:t>
      </w:r>
      <w:r w:rsidR="00B50BC1" w:rsidRPr="00B77EA4">
        <w:rPr>
          <w:rFonts w:asciiTheme="minorHAnsi" w:hAnsiTheme="minorHAnsi"/>
          <w:b/>
          <w:sz w:val="22"/>
          <w:szCs w:val="22"/>
        </w:rPr>
        <w:t xml:space="preserve">PERCENTAGE OF POPULATION GROWTH BY COUNTY AND DECADE, DELAWARE, </w:t>
      </w:r>
    </w:p>
    <w:p w14:paraId="1DE87274" w14:textId="597E09D1" w:rsidR="000F2FF9" w:rsidRDefault="00B50BC1" w:rsidP="000F2FF9">
      <w:pPr>
        <w:pStyle w:val="Caption"/>
        <w:spacing w:after="120" w:line="240" w:lineRule="auto"/>
        <w:contextualSpacing/>
        <w:jc w:val="center"/>
        <w:rPr>
          <w:rFonts w:asciiTheme="minorHAnsi" w:hAnsiTheme="minorHAnsi"/>
          <w:b/>
          <w:sz w:val="22"/>
          <w:szCs w:val="22"/>
        </w:rPr>
      </w:pPr>
      <w:r w:rsidRPr="00B77EA4">
        <w:rPr>
          <w:rFonts w:asciiTheme="minorHAnsi" w:hAnsiTheme="minorHAnsi"/>
          <w:b/>
          <w:sz w:val="22"/>
          <w:szCs w:val="22"/>
        </w:rPr>
        <w:t>2000-2010</w:t>
      </w:r>
      <w:bookmarkEnd w:id="19"/>
      <w:r w:rsidR="004D4B6F">
        <w:rPr>
          <w:rFonts w:asciiTheme="minorHAnsi" w:hAnsiTheme="minorHAnsi"/>
          <w:b/>
          <w:sz w:val="22"/>
          <w:szCs w:val="22"/>
        </w:rPr>
        <w:t xml:space="preserve"> and 2010-2020</w:t>
      </w:r>
    </w:p>
    <w:p w14:paraId="797B9B09" w14:textId="38554CFE" w:rsidR="000F2FF9" w:rsidRPr="004D4B6F" w:rsidRDefault="00FC2E67" w:rsidP="004D4B6F">
      <w:pPr>
        <w:jc w:val="center"/>
      </w:pPr>
      <w:r w:rsidRPr="00E778EA">
        <w:rPr>
          <w:noProof/>
          <w:color w:val="000000"/>
        </w:rPr>
        <w:drawing>
          <wp:inline distT="0" distB="0" distL="0" distR="0" wp14:anchorId="3B777A59" wp14:editId="2E78588F">
            <wp:extent cx="5353050" cy="2143125"/>
            <wp:effectExtent l="0" t="0" r="0" b="9525"/>
            <wp:docPr id="517463096" name="Chart 1">
              <a:extLst xmlns:a="http://schemas.openxmlformats.org/drawingml/2006/main">
                <a:ext uri="{FF2B5EF4-FFF2-40B4-BE49-F238E27FC236}">
                  <a16:creationId xmlns:a16="http://schemas.microsoft.com/office/drawing/2014/main" id="{02385C0B-05A3-3694-A86F-BF3A456A1D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4DFB7EB" w14:textId="2445F520" w:rsidR="007E332E" w:rsidRDefault="00AA75FA" w:rsidP="00FA696D">
      <w:pPr>
        <w:widowControl w:val="0"/>
        <w:spacing w:after="120" w:line="240" w:lineRule="auto"/>
        <w:rPr>
          <w:rFonts w:asciiTheme="minorHAnsi" w:hAnsiTheme="minorHAnsi" w:cstheme="minorHAnsi"/>
          <w:i/>
          <w:sz w:val="16"/>
          <w:szCs w:val="16"/>
        </w:rPr>
      </w:pPr>
      <w:r w:rsidRPr="0065724C">
        <w:rPr>
          <w:rFonts w:asciiTheme="minorHAnsi" w:hAnsiTheme="minorHAnsi" w:cstheme="minorHAnsi"/>
          <w:i/>
          <w:sz w:val="14"/>
          <w:szCs w:val="14"/>
        </w:rPr>
        <w:t xml:space="preserve">                                         </w:t>
      </w:r>
      <w:r w:rsidR="00D93919" w:rsidRPr="0065724C">
        <w:rPr>
          <w:rFonts w:asciiTheme="minorHAnsi" w:hAnsiTheme="minorHAnsi" w:cstheme="minorHAnsi"/>
          <w:i/>
          <w:sz w:val="14"/>
          <w:szCs w:val="14"/>
        </w:rPr>
        <w:t xml:space="preserve"> </w:t>
      </w:r>
      <w:r w:rsidR="000F2FF9" w:rsidRPr="005F684C">
        <w:rPr>
          <w:rFonts w:asciiTheme="minorHAnsi" w:hAnsiTheme="minorHAnsi" w:cstheme="minorHAnsi"/>
          <w:i/>
          <w:sz w:val="16"/>
          <w:szCs w:val="16"/>
        </w:rPr>
        <w:t>Source: U.S. Census Bureau 20</w:t>
      </w:r>
      <w:r w:rsidR="004D4B6F">
        <w:rPr>
          <w:rFonts w:asciiTheme="minorHAnsi" w:hAnsiTheme="minorHAnsi" w:cstheme="minorHAnsi"/>
          <w:i/>
          <w:sz w:val="16"/>
          <w:szCs w:val="16"/>
        </w:rPr>
        <w:t>20</w:t>
      </w:r>
      <w:r w:rsidR="000F2FF9" w:rsidRPr="005F684C">
        <w:rPr>
          <w:rFonts w:asciiTheme="minorHAnsi" w:hAnsiTheme="minorHAnsi" w:cstheme="minorHAnsi"/>
          <w:i/>
          <w:sz w:val="16"/>
          <w:szCs w:val="16"/>
        </w:rPr>
        <w:t>,</w:t>
      </w:r>
      <w:r w:rsidR="00D16F25" w:rsidRPr="005F684C">
        <w:rPr>
          <w:rFonts w:asciiTheme="minorHAnsi" w:hAnsiTheme="minorHAnsi" w:cstheme="minorHAnsi"/>
          <w:i/>
          <w:sz w:val="16"/>
          <w:szCs w:val="16"/>
        </w:rPr>
        <w:t xml:space="preserve"> </w:t>
      </w:r>
      <w:hyperlink r:id="rId20" w:history="1">
        <w:r w:rsidR="00D16F25" w:rsidRPr="005F684C">
          <w:rPr>
            <w:rStyle w:val="Hyperlink"/>
            <w:rFonts w:asciiTheme="minorHAnsi" w:hAnsiTheme="minorHAnsi" w:cstheme="minorHAnsi"/>
            <w:i/>
            <w:sz w:val="16"/>
            <w:szCs w:val="16"/>
          </w:rPr>
          <w:t>https://data.census.gov/</w:t>
        </w:r>
      </w:hyperlink>
      <w:r w:rsidR="00D16F25" w:rsidRPr="005F684C">
        <w:rPr>
          <w:rFonts w:asciiTheme="minorHAnsi" w:hAnsiTheme="minorHAnsi" w:cstheme="minorHAnsi"/>
          <w:i/>
          <w:sz w:val="16"/>
          <w:szCs w:val="16"/>
        </w:rPr>
        <w:t xml:space="preserve"> </w:t>
      </w:r>
    </w:p>
    <w:p w14:paraId="75E8ED8B" w14:textId="77777777" w:rsidR="00FA696D" w:rsidRPr="00FA696D" w:rsidRDefault="00FA696D" w:rsidP="00FA696D">
      <w:pPr>
        <w:widowControl w:val="0"/>
        <w:spacing w:after="120" w:line="240" w:lineRule="auto"/>
        <w:rPr>
          <w:rFonts w:asciiTheme="minorHAnsi" w:hAnsiTheme="minorHAnsi" w:cstheme="minorHAnsi"/>
          <w:i/>
          <w:sz w:val="16"/>
          <w:szCs w:val="16"/>
        </w:rPr>
      </w:pPr>
    </w:p>
    <w:p w14:paraId="494FD6A4" w14:textId="03EDEF33" w:rsidR="00876155" w:rsidRDefault="0092189C" w:rsidP="00834D9E">
      <w:pPr>
        <w:spacing w:after="120" w:line="240" w:lineRule="auto"/>
        <w:rPr>
          <w:rFonts w:asciiTheme="minorHAnsi" w:hAnsiTheme="minorHAnsi" w:cs="Arial"/>
          <w:szCs w:val="20"/>
        </w:rPr>
      </w:pPr>
      <w:r w:rsidRPr="0005529C">
        <w:rPr>
          <w:rFonts w:asciiTheme="minorHAnsi" w:hAnsiTheme="minorHAnsi" w:cs="Arial"/>
          <w:szCs w:val="20"/>
        </w:rPr>
        <w:t xml:space="preserve">Census data from </w:t>
      </w:r>
      <w:r w:rsidR="00150562">
        <w:rPr>
          <w:rFonts w:asciiTheme="minorHAnsi" w:hAnsiTheme="minorHAnsi" w:cs="Arial"/>
          <w:szCs w:val="20"/>
        </w:rPr>
        <w:t>2017-2021</w:t>
      </w:r>
      <w:r w:rsidR="000F2FF9" w:rsidRPr="0005529C">
        <w:rPr>
          <w:rFonts w:asciiTheme="minorHAnsi" w:hAnsiTheme="minorHAnsi" w:cs="Arial"/>
          <w:szCs w:val="20"/>
        </w:rPr>
        <w:t xml:space="preserve"> show that </w:t>
      </w:r>
      <w:r w:rsidR="000B4BA4">
        <w:rPr>
          <w:rFonts w:asciiTheme="minorHAnsi" w:hAnsiTheme="minorHAnsi" w:cs="Arial"/>
          <w:szCs w:val="20"/>
        </w:rPr>
        <w:t>the majority of</w:t>
      </w:r>
      <w:r w:rsidR="000F2FF9" w:rsidRPr="0005529C">
        <w:rPr>
          <w:rFonts w:asciiTheme="minorHAnsi" w:hAnsiTheme="minorHAnsi" w:cs="Arial"/>
          <w:szCs w:val="20"/>
        </w:rPr>
        <w:t xml:space="preserve"> Delawareans are </w:t>
      </w:r>
      <w:r w:rsidR="00AC71E3">
        <w:rPr>
          <w:rFonts w:asciiTheme="minorHAnsi" w:hAnsiTheme="minorHAnsi" w:cs="Arial"/>
          <w:szCs w:val="20"/>
        </w:rPr>
        <w:t>non</w:t>
      </w:r>
      <w:r w:rsidR="00EF6231" w:rsidRPr="0005529C">
        <w:rPr>
          <w:rFonts w:asciiTheme="minorHAnsi" w:hAnsiTheme="minorHAnsi" w:cs="Arial"/>
          <w:szCs w:val="20"/>
        </w:rPr>
        <w:t xml:space="preserve">-Hispanic </w:t>
      </w:r>
      <w:r w:rsidR="00BB3D69" w:rsidRPr="0005529C">
        <w:rPr>
          <w:rFonts w:asciiTheme="minorHAnsi" w:hAnsiTheme="minorHAnsi" w:cs="Arial"/>
          <w:szCs w:val="20"/>
        </w:rPr>
        <w:t>White</w:t>
      </w:r>
      <w:r w:rsidR="007E332E">
        <w:rPr>
          <w:rFonts w:asciiTheme="minorHAnsi" w:hAnsiTheme="minorHAnsi" w:cs="Arial"/>
          <w:szCs w:val="20"/>
        </w:rPr>
        <w:t xml:space="preserve"> (60.8%)</w:t>
      </w:r>
      <w:r w:rsidR="000B4BA4">
        <w:rPr>
          <w:rFonts w:asciiTheme="minorHAnsi" w:hAnsiTheme="minorHAnsi" w:cs="Arial"/>
          <w:szCs w:val="20"/>
        </w:rPr>
        <w:t xml:space="preserve">, followed by </w:t>
      </w:r>
      <w:r w:rsidR="00AC71E3">
        <w:rPr>
          <w:rFonts w:asciiTheme="minorHAnsi" w:hAnsiTheme="minorHAnsi" w:cs="Arial"/>
          <w:szCs w:val="20"/>
        </w:rPr>
        <w:t>non</w:t>
      </w:r>
      <w:r w:rsidR="000B4BA4">
        <w:rPr>
          <w:rFonts w:asciiTheme="minorHAnsi" w:hAnsiTheme="minorHAnsi" w:cs="Arial"/>
          <w:szCs w:val="20"/>
        </w:rPr>
        <w:t>-Hispanic Black</w:t>
      </w:r>
      <w:r w:rsidR="007E332E">
        <w:rPr>
          <w:rFonts w:asciiTheme="minorHAnsi" w:hAnsiTheme="minorHAnsi" w:cs="Arial"/>
          <w:szCs w:val="20"/>
        </w:rPr>
        <w:t xml:space="preserve"> (</w:t>
      </w:r>
      <w:r w:rsidR="00E46D50">
        <w:rPr>
          <w:rFonts w:asciiTheme="minorHAnsi" w:hAnsiTheme="minorHAnsi" w:cs="Arial"/>
          <w:szCs w:val="20"/>
        </w:rPr>
        <w:t>21.5%)</w:t>
      </w:r>
      <w:r w:rsidR="002C47F3">
        <w:rPr>
          <w:rFonts w:asciiTheme="minorHAnsi" w:hAnsiTheme="minorHAnsi" w:cs="Arial"/>
          <w:szCs w:val="20"/>
        </w:rPr>
        <w:t>,</w:t>
      </w:r>
      <w:r w:rsidR="000B4BA4">
        <w:rPr>
          <w:rFonts w:asciiTheme="minorHAnsi" w:hAnsiTheme="minorHAnsi" w:cs="Arial"/>
          <w:szCs w:val="20"/>
        </w:rPr>
        <w:t xml:space="preserve"> then Hispanic</w:t>
      </w:r>
      <w:bookmarkStart w:id="20" w:name="_Toc307482456"/>
      <w:r w:rsidR="00E46D50">
        <w:rPr>
          <w:rFonts w:asciiTheme="minorHAnsi" w:hAnsiTheme="minorHAnsi" w:cs="Arial"/>
          <w:szCs w:val="20"/>
        </w:rPr>
        <w:t xml:space="preserve"> (9.7%)</w:t>
      </w:r>
      <w:r w:rsidR="00673B9A">
        <w:rPr>
          <w:rFonts w:asciiTheme="minorHAnsi" w:hAnsiTheme="minorHAnsi" w:cs="Arial"/>
          <w:szCs w:val="20"/>
        </w:rPr>
        <w:t xml:space="preserve"> (Table 1-1).</w:t>
      </w:r>
    </w:p>
    <w:p w14:paraId="22AB18D2" w14:textId="77777777" w:rsidR="00876155" w:rsidRPr="0024286E" w:rsidRDefault="00876155" w:rsidP="00834D9E">
      <w:pPr>
        <w:spacing w:after="120" w:line="240" w:lineRule="auto"/>
        <w:rPr>
          <w:rFonts w:asciiTheme="minorHAnsi" w:hAnsiTheme="minorHAnsi" w:cs="Arial"/>
          <w:szCs w:val="20"/>
        </w:rPr>
      </w:pPr>
    </w:p>
    <w:p w14:paraId="7F9ED3E5" w14:textId="1345F475" w:rsidR="000F2FF9" w:rsidRPr="0056164B" w:rsidRDefault="000F2FF9" w:rsidP="00B94D18">
      <w:pPr>
        <w:pStyle w:val="Caption"/>
        <w:spacing w:after="120"/>
        <w:jc w:val="center"/>
        <w:rPr>
          <w:rFonts w:asciiTheme="minorHAnsi" w:hAnsiTheme="minorHAnsi" w:cs="Arial"/>
          <w:b/>
          <w:sz w:val="22"/>
          <w:szCs w:val="22"/>
        </w:rPr>
      </w:pPr>
      <w:r w:rsidRPr="00A64337">
        <w:rPr>
          <w:rFonts w:asciiTheme="minorHAnsi" w:hAnsiTheme="minorHAnsi"/>
          <w:b/>
          <w:sz w:val="22"/>
          <w:szCs w:val="22"/>
        </w:rPr>
        <w:t xml:space="preserve">Table </w:t>
      </w:r>
      <w:r>
        <w:rPr>
          <w:rFonts w:asciiTheme="minorHAnsi" w:hAnsiTheme="minorHAnsi"/>
          <w:b/>
          <w:sz w:val="22"/>
          <w:szCs w:val="22"/>
        </w:rPr>
        <w:fldChar w:fldCharType="begin"/>
      </w:r>
      <w:r>
        <w:rPr>
          <w:rFonts w:asciiTheme="minorHAnsi" w:hAnsiTheme="minorHAnsi"/>
          <w:b/>
          <w:sz w:val="22"/>
          <w:szCs w:val="22"/>
        </w:rPr>
        <w:instrText xml:space="preserve"> STYLEREF 1 \s </w:instrText>
      </w:r>
      <w:r>
        <w:rPr>
          <w:rFonts w:asciiTheme="minorHAnsi" w:hAnsiTheme="minorHAnsi"/>
          <w:b/>
          <w:sz w:val="22"/>
          <w:szCs w:val="22"/>
        </w:rPr>
        <w:fldChar w:fldCharType="separate"/>
      </w:r>
      <w:r w:rsidR="006C24CC">
        <w:rPr>
          <w:rFonts w:asciiTheme="minorHAnsi" w:hAnsiTheme="minorHAnsi"/>
          <w:b/>
          <w:noProof/>
          <w:sz w:val="22"/>
          <w:szCs w:val="22"/>
        </w:rPr>
        <w:t>1</w:t>
      </w:r>
      <w:r>
        <w:rPr>
          <w:rFonts w:asciiTheme="minorHAnsi" w:hAnsiTheme="minorHAnsi"/>
          <w:b/>
          <w:sz w:val="22"/>
          <w:szCs w:val="22"/>
        </w:rPr>
        <w:fldChar w:fldCharType="end"/>
      </w:r>
      <w:r>
        <w:rPr>
          <w:rFonts w:asciiTheme="minorHAnsi" w:hAnsiTheme="minorHAnsi"/>
          <w:b/>
          <w:sz w:val="22"/>
          <w:szCs w:val="22"/>
        </w:rPr>
        <w:noBreakHyphen/>
      </w:r>
      <w:r>
        <w:rPr>
          <w:rFonts w:asciiTheme="minorHAnsi" w:hAnsiTheme="minorHAnsi"/>
          <w:b/>
          <w:sz w:val="22"/>
          <w:szCs w:val="22"/>
        </w:rPr>
        <w:fldChar w:fldCharType="begin"/>
      </w:r>
      <w:r>
        <w:rPr>
          <w:rFonts w:asciiTheme="minorHAnsi" w:hAnsiTheme="minorHAnsi"/>
          <w:b/>
          <w:sz w:val="22"/>
          <w:szCs w:val="22"/>
        </w:rPr>
        <w:instrText xml:space="preserve"> SEQ Table \* ARABIC \s 1 </w:instrText>
      </w:r>
      <w:r>
        <w:rPr>
          <w:rFonts w:asciiTheme="minorHAnsi" w:hAnsiTheme="minorHAnsi"/>
          <w:b/>
          <w:sz w:val="22"/>
          <w:szCs w:val="22"/>
        </w:rPr>
        <w:fldChar w:fldCharType="separate"/>
      </w:r>
      <w:r w:rsidR="006C24CC">
        <w:rPr>
          <w:rFonts w:asciiTheme="minorHAnsi" w:hAnsiTheme="minorHAnsi"/>
          <w:b/>
          <w:noProof/>
          <w:sz w:val="22"/>
          <w:szCs w:val="22"/>
        </w:rPr>
        <w:t>1</w:t>
      </w:r>
      <w:r>
        <w:rPr>
          <w:rFonts w:asciiTheme="minorHAnsi" w:hAnsiTheme="minorHAnsi"/>
          <w:b/>
          <w:sz w:val="22"/>
          <w:szCs w:val="22"/>
        </w:rPr>
        <w:fldChar w:fldCharType="end"/>
      </w:r>
      <w:r w:rsidRPr="00A64337">
        <w:rPr>
          <w:rFonts w:asciiTheme="minorHAnsi" w:hAnsiTheme="minorHAnsi"/>
          <w:b/>
          <w:sz w:val="22"/>
          <w:szCs w:val="22"/>
        </w:rPr>
        <w:t xml:space="preserve">: </w:t>
      </w:r>
      <w:r w:rsidR="00DB6C0F" w:rsidRPr="00DB6C0F">
        <w:rPr>
          <w:rFonts w:asciiTheme="minorHAnsi" w:hAnsiTheme="minorHAnsi" w:cs="Arial"/>
          <w:b/>
          <w:sz w:val="22"/>
          <w:szCs w:val="22"/>
        </w:rPr>
        <w:t xml:space="preserve">PERCENTAGE OF POPULATION BY RACE/ETHNICITY AND </w:t>
      </w:r>
      <w:proofErr w:type="gramStart"/>
      <w:r w:rsidR="00DB6C0F" w:rsidRPr="00DB6C0F">
        <w:rPr>
          <w:rFonts w:asciiTheme="minorHAnsi" w:hAnsiTheme="minorHAnsi" w:cs="Arial"/>
          <w:b/>
          <w:sz w:val="22"/>
          <w:szCs w:val="22"/>
        </w:rPr>
        <w:t xml:space="preserve">COUNTY, </w:t>
      </w:r>
      <w:r w:rsidR="00071680">
        <w:rPr>
          <w:rFonts w:asciiTheme="minorHAnsi" w:hAnsiTheme="minorHAnsi" w:cs="Arial"/>
          <w:b/>
          <w:sz w:val="22"/>
          <w:szCs w:val="22"/>
        </w:rPr>
        <w:t xml:space="preserve">  </w:t>
      </w:r>
      <w:proofErr w:type="gramEnd"/>
      <w:r w:rsidR="00071680">
        <w:rPr>
          <w:rFonts w:asciiTheme="minorHAnsi" w:hAnsiTheme="minorHAnsi" w:cs="Arial"/>
          <w:b/>
          <w:sz w:val="22"/>
          <w:szCs w:val="22"/>
        </w:rPr>
        <w:t xml:space="preserve">                 </w:t>
      </w:r>
      <w:r w:rsidR="00DB6C0F" w:rsidRPr="00DB6C0F">
        <w:rPr>
          <w:rFonts w:asciiTheme="minorHAnsi" w:hAnsiTheme="minorHAnsi" w:cs="Arial"/>
          <w:b/>
          <w:sz w:val="22"/>
          <w:szCs w:val="22"/>
        </w:rPr>
        <w:t xml:space="preserve">DELAWARE, </w:t>
      </w:r>
      <w:bookmarkEnd w:id="20"/>
      <w:r w:rsidR="000A19F6">
        <w:rPr>
          <w:rFonts w:asciiTheme="minorHAnsi" w:hAnsiTheme="minorHAnsi" w:cs="Arial"/>
          <w:b/>
          <w:sz w:val="22"/>
          <w:szCs w:val="22"/>
        </w:rPr>
        <w:t>201</w:t>
      </w:r>
      <w:r w:rsidR="00FA696D">
        <w:rPr>
          <w:rFonts w:asciiTheme="minorHAnsi" w:hAnsiTheme="minorHAnsi" w:cs="Arial"/>
          <w:b/>
          <w:sz w:val="22"/>
          <w:szCs w:val="22"/>
        </w:rPr>
        <w:t>7</w:t>
      </w:r>
      <w:r w:rsidR="000A19F6">
        <w:rPr>
          <w:rFonts w:asciiTheme="minorHAnsi" w:hAnsiTheme="minorHAnsi" w:cs="Arial"/>
          <w:b/>
          <w:sz w:val="22"/>
          <w:szCs w:val="22"/>
        </w:rPr>
        <w:t>-202</w:t>
      </w:r>
      <w:r w:rsidR="00FA696D">
        <w:rPr>
          <w:rFonts w:asciiTheme="minorHAnsi" w:hAnsiTheme="minorHAnsi" w:cs="Arial"/>
          <w:b/>
          <w:sz w:val="22"/>
          <w:szCs w:val="22"/>
        </w:rPr>
        <w:t>1</w:t>
      </w:r>
    </w:p>
    <w:tbl>
      <w:tblPr>
        <w:tblStyle w:val="MediumGrid1-Accent2"/>
        <w:tblW w:w="8650" w:type="dxa"/>
        <w:jc w:val="center"/>
        <w:tblBorders>
          <w:insideH w:val="none" w:sz="0" w:space="0" w:color="auto"/>
        </w:tblBorders>
        <w:tblLayout w:type="fixed"/>
        <w:tblLook w:val="04A0" w:firstRow="1" w:lastRow="0" w:firstColumn="1" w:lastColumn="0" w:noHBand="0" w:noVBand="1"/>
      </w:tblPr>
      <w:tblGrid>
        <w:gridCol w:w="4308"/>
        <w:gridCol w:w="1102"/>
        <w:gridCol w:w="1024"/>
        <w:gridCol w:w="1316"/>
        <w:gridCol w:w="900"/>
      </w:tblGrid>
      <w:tr w:rsidR="000F2FF9" w:rsidRPr="00303072" w14:paraId="7E5AA231" w14:textId="77777777" w:rsidTr="00FA696D">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308" w:type="dxa"/>
          </w:tcPr>
          <w:p w14:paraId="0B33F9BF" w14:textId="679FE0AA" w:rsidR="000F2FF9" w:rsidRPr="00D670F9" w:rsidRDefault="000F2FF9" w:rsidP="009A3483">
            <w:pPr>
              <w:jc w:val="center"/>
              <w:rPr>
                <w:rFonts w:asciiTheme="minorHAnsi" w:hAnsiTheme="minorHAnsi"/>
              </w:rPr>
            </w:pPr>
            <w:r>
              <w:rPr>
                <w:rFonts w:asciiTheme="minorHAnsi" w:hAnsiTheme="minorHAnsi"/>
              </w:rPr>
              <w:t>Race</w:t>
            </w:r>
            <w:r w:rsidR="009A3483">
              <w:rPr>
                <w:rFonts w:asciiTheme="minorHAnsi" w:hAnsiTheme="minorHAnsi"/>
              </w:rPr>
              <w:t>/Ethnicity</w:t>
            </w:r>
          </w:p>
        </w:tc>
        <w:tc>
          <w:tcPr>
            <w:tcW w:w="1102" w:type="dxa"/>
          </w:tcPr>
          <w:p w14:paraId="6400CA1C" w14:textId="77777777" w:rsidR="000F2FF9" w:rsidRPr="00303072" w:rsidRDefault="000F2FF9" w:rsidP="009A348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Pr>
                <w:rFonts w:asciiTheme="minorHAnsi" w:hAnsiTheme="minorHAnsi"/>
              </w:rPr>
              <w:t>Delaware</w:t>
            </w:r>
          </w:p>
        </w:tc>
        <w:tc>
          <w:tcPr>
            <w:tcW w:w="1024" w:type="dxa"/>
          </w:tcPr>
          <w:p w14:paraId="5E32DD2D" w14:textId="77777777" w:rsidR="000F2FF9" w:rsidRDefault="000F2FF9" w:rsidP="009A348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Pr>
                <w:rFonts w:asciiTheme="minorHAnsi" w:hAnsiTheme="minorHAnsi"/>
              </w:rPr>
              <w:t>Kent</w:t>
            </w:r>
          </w:p>
          <w:p w14:paraId="0D567715" w14:textId="3D72EB33" w:rsidR="00673B9A" w:rsidRPr="00303072" w:rsidRDefault="00673B9A" w:rsidP="009A348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Pr>
                <w:rFonts w:asciiTheme="minorHAnsi" w:hAnsiTheme="minorHAnsi"/>
              </w:rPr>
              <w:t>County</w:t>
            </w:r>
          </w:p>
        </w:tc>
        <w:tc>
          <w:tcPr>
            <w:tcW w:w="1316" w:type="dxa"/>
          </w:tcPr>
          <w:p w14:paraId="08AB2D75" w14:textId="77777777" w:rsidR="000F2FF9" w:rsidRDefault="000F2FF9" w:rsidP="009A348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Pr>
                <w:rFonts w:asciiTheme="minorHAnsi" w:hAnsiTheme="minorHAnsi"/>
              </w:rPr>
              <w:t>New Castle</w:t>
            </w:r>
          </w:p>
          <w:p w14:paraId="49230B1D" w14:textId="20C2194E" w:rsidR="00673B9A" w:rsidRPr="00303072" w:rsidRDefault="00673B9A" w:rsidP="009A348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Pr>
                <w:rFonts w:asciiTheme="minorHAnsi" w:hAnsiTheme="minorHAnsi"/>
              </w:rPr>
              <w:t>County</w:t>
            </w:r>
          </w:p>
        </w:tc>
        <w:tc>
          <w:tcPr>
            <w:tcW w:w="900" w:type="dxa"/>
          </w:tcPr>
          <w:p w14:paraId="66DD79BE" w14:textId="77777777" w:rsidR="000F2FF9" w:rsidRDefault="000F2FF9" w:rsidP="009A348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Pr>
                <w:rFonts w:asciiTheme="minorHAnsi" w:hAnsiTheme="minorHAnsi"/>
              </w:rPr>
              <w:t>Sussex</w:t>
            </w:r>
          </w:p>
          <w:p w14:paraId="606E30FF" w14:textId="4DAD1D7C" w:rsidR="00673B9A" w:rsidRPr="00303072" w:rsidRDefault="00673B9A" w:rsidP="009A348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County</w:t>
            </w:r>
          </w:p>
        </w:tc>
      </w:tr>
      <w:tr w:rsidR="00706C9D" w:rsidRPr="00303072" w14:paraId="3C8293D5" w14:textId="77777777" w:rsidTr="00FA696D">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308" w:type="dxa"/>
            <w:vAlign w:val="bottom"/>
          </w:tcPr>
          <w:p w14:paraId="3FAD54C0" w14:textId="270A3844" w:rsidR="00706C9D" w:rsidRPr="00C908EC" w:rsidRDefault="00706C9D" w:rsidP="00706C9D">
            <w:pPr>
              <w:rPr>
                <w:rFonts w:asciiTheme="minorHAnsi" w:hAnsiTheme="minorHAnsi"/>
              </w:rPr>
            </w:pPr>
            <w:r w:rsidRPr="00C908EC">
              <w:rPr>
                <w:rFonts w:ascii="Calibri" w:hAnsi="Calibri" w:cs="Calibri"/>
                <w:color w:val="000000"/>
              </w:rPr>
              <w:t>Not Hispanic or Latino</w:t>
            </w:r>
          </w:p>
        </w:tc>
        <w:tc>
          <w:tcPr>
            <w:tcW w:w="1102" w:type="dxa"/>
            <w:vAlign w:val="bottom"/>
          </w:tcPr>
          <w:p w14:paraId="77991F51" w14:textId="04A2584F" w:rsidR="00706C9D" w:rsidRPr="00B73A1A" w:rsidRDefault="00706C9D" w:rsidP="00706C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024" w:type="dxa"/>
            <w:vAlign w:val="bottom"/>
          </w:tcPr>
          <w:p w14:paraId="485350E6" w14:textId="0E232976" w:rsidR="00706C9D" w:rsidRPr="00B73A1A" w:rsidRDefault="00706C9D" w:rsidP="00706C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316" w:type="dxa"/>
            <w:vAlign w:val="bottom"/>
          </w:tcPr>
          <w:p w14:paraId="3F5365BD" w14:textId="64D5D380" w:rsidR="00706C9D" w:rsidRPr="00B73A1A" w:rsidRDefault="00706C9D" w:rsidP="00706C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900" w:type="dxa"/>
            <w:vAlign w:val="bottom"/>
          </w:tcPr>
          <w:p w14:paraId="7D72E9DC" w14:textId="6D8E791D" w:rsidR="00706C9D" w:rsidRPr="00B73A1A" w:rsidRDefault="00706C9D" w:rsidP="00706C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150562" w:rsidRPr="00303072" w14:paraId="4440315D" w14:textId="77777777" w:rsidTr="00FA696D">
        <w:trPr>
          <w:trHeight w:val="240"/>
          <w:jc w:val="center"/>
        </w:trPr>
        <w:tc>
          <w:tcPr>
            <w:cnfStyle w:val="001000000000" w:firstRow="0" w:lastRow="0" w:firstColumn="1" w:lastColumn="0" w:oddVBand="0" w:evenVBand="0" w:oddHBand="0" w:evenHBand="0" w:firstRowFirstColumn="0" w:firstRowLastColumn="0" w:lastRowFirstColumn="0" w:lastRowLastColumn="0"/>
            <w:tcW w:w="4308" w:type="dxa"/>
            <w:shd w:val="clear" w:color="auto" w:fill="D9E6F6" w:themeFill="accent2" w:themeFillTint="33"/>
            <w:vAlign w:val="bottom"/>
          </w:tcPr>
          <w:p w14:paraId="55D14384" w14:textId="4E1D5D4C" w:rsidR="00150562" w:rsidRPr="00C908EC" w:rsidRDefault="00150562" w:rsidP="00150562">
            <w:pPr>
              <w:jc w:val="right"/>
              <w:rPr>
                <w:rFonts w:asciiTheme="minorHAnsi" w:hAnsiTheme="minorHAnsi"/>
              </w:rPr>
            </w:pPr>
            <w:r w:rsidRPr="00C908EC">
              <w:rPr>
                <w:rFonts w:ascii="Calibri" w:hAnsi="Calibri" w:cs="Calibri"/>
                <w:color w:val="000000"/>
              </w:rPr>
              <w:t>White</w:t>
            </w:r>
          </w:p>
        </w:tc>
        <w:tc>
          <w:tcPr>
            <w:tcW w:w="1102" w:type="dxa"/>
            <w:shd w:val="clear" w:color="auto" w:fill="D9E6F6" w:themeFill="accent2" w:themeFillTint="33"/>
            <w:vAlign w:val="bottom"/>
          </w:tcPr>
          <w:p w14:paraId="5817F040" w14:textId="18A45511" w:rsidR="00150562" w:rsidRPr="000A19F6" w:rsidRDefault="00150562" w:rsidP="001505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60.8%</w:t>
            </w:r>
          </w:p>
        </w:tc>
        <w:tc>
          <w:tcPr>
            <w:tcW w:w="1024" w:type="dxa"/>
            <w:shd w:val="clear" w:color="auto" w:fill="D9E6F6" w:themeFill="accent2" w:themeFillTint="33"/>
            <w:vAlign w:val="bottom"/>
          </w:tcPr>
          <w:p w14:paraId="2968A42A" w14:textId="4CBF2FCB" w:rsidR="00150562" w:rsidRPr="000A19F6" w:rsidRDefault="00150562" w:rsidP="001505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59.6%</w:t>
            </w:r>
          </w:p>
        </w:tc>
        <w:tc>
          <w:tcPr>
            <w:tcW w:w="1316" w:type="dxa"/>
            <w:shd w:val="clear" w:color="auto" w:fill="D9E6F6" w:themeFill="accent2" w:themeFillTint="33"/>
            <w:vAlign w:val="bottom"/>
          </w:tcPr>
          <w:p w14:paraId="2E6E9BBA" w14:textId="61C0D091" w:rsidR="00150562" w:rsidRPr="000A19F6" w:rsidRDefault="00150562" w:rsidP="001505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55.5%</w:t>
            </w:r>
          </w:p>
        </w:tc>
        <w:tc>
          <w:tcPr>
            <w:tcW w:w="900" w:type="dxa"/>
            <w:shd w:val="clear" w:color="auto" w:fill="D9E6F6" w:themeFill="accent2" w:themeFillTint="33"/>
            <w:vAlign w:val="bottom"/>
          </w:tcPr>
          <w:p w14:paraId="6458F873" w14:textId="4B708A43" w:rsidR="00150562" w:rsidRPr="000A19F6" w:rsidRDefault="00150562" w:rsidP="001505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74.6%</w:t>
            </w:r>
          </w:p>
        </w:tc>
      </w:tr>
      <w:tr w:rsidR="00150562" w:rsidRPr="00303072" w14:paraId="4AEDF9ED" w14:textId="77777777" w:rsidTr="00FA696D">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308" w:type="dxa"/>
            <w:shd w:val="clear" w:color="auto" w:fill="D9E6F6" w:themeFill="accent2" w:themeFillTint="33"/>
            <w:vAlign w:val="bottom"/>
          </w:tcPr>
          <w:p w14:paraId="11E0FE5E" w14:textId="3C77B7FB" w:rsidR="00150562" w:rsidRPr="00C908EC" w:rsidRDefault="00150562" w:rsidP="00150562">
            <w:pPr>
              <w:jc w:val="right"/>
              <w:rPr>
                <w:rFonts w:asciiTheme="minorHAnsi" w:hAnsiTheme="minorHAnsi"/>
              </w:rPr>
            </w:pPr>
            <w:r w:rsidRPr="00C908EC">
              <w:rPr>
                <w:rFonts w:ascii="Calibri" w:hAnsi="Calibri" w:cs="Calibri"/>
                <w:color w:val="000000"/>
              </w:rPr>
              <w:t>Black</w:t>
            </w:r>
          </w:p>
        </w:tc>
        <w:tc>
          <w:tcPr>
            <w:tcW w:w="1102" w:type="dxa"/>
            <w:shd w:val="clear" w:color="auto" w:fill="D9E6F6" w:themeFill="accent2" w:themeFillTint="33"/>
            <w:vAlign w:val="bottom"/>
          </w:tcPr>
          <w:p w14:paraId="7F8B04FB" w14:textId="4C2FFD0D" w:rsidR="00150562" w:rsidRPr="000A19F6" w:rsidRDefault="00150562" w:rsidP="001505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21.5%</w:t>
            </w:r>
          </w:p>
        </w:tc>
        <w:tc>
          <w:tcPr>
            <w:tcW w:w="1024" w:type="dxa"/>
            <w:shd w:val="clear" w:color="auto" w:fill="D9E6F6" w:themeFill="accent2" w:themeFillTint="33"/>
            <w:vAlign w:val="bottom"/>
          </w:tcPr>
          <w:p w14:paraId="134B112A" w14:textId="5E1C2D58" w:rsidR="00150562" w:rsidRPr="000A19F6" w:rsidRDefault="00150562" w:rsidP="001505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25.2%</w:t>
            </w:r>
          </w:p>
        </w:tc>
        <w:tc>
          <w:tcPr>
            <w:tcW w:w="1316" w:type="dxa"/>
            <w:shd w:val="clear" w:color="auto" w:fill="D9E6F6" w:themeFill="accent2" w:themeFillTint="33"/>
            <w:vAlign w:val="bottom"/>
          </w:tcPr>
          <w:p w14:paraId="41DE3506" w14:textId="62B2AC97" w:rsidR="00150562" w:rsidRPr="000A19F6" w:rsidRDefault="00150562" w:rsidP="001505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24.7%</w:t>
            </w:r>
          </w:p>
        </w:tc>
        <w:tc>
          <w:tcPr>
            <w:tcW w:w="900" w:type="dxa"/>
            <w:shd w:val="clear" w:color="auto" w:fill="D9E6F6" w:themeFill="accent2" w:themeFillTint="33"/>
            <w:vAlign w:val="bottom"/>
          </w:tcPr>
          <w:p w14:paraId="04A50CF0" w14:textId="1E9D8E58" w:rsidR="00150562" w:rsidRPr="000A19F6" w:rsidRDefault="00150562" w:rsidP="001505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11.0%</w:t>
            </w:r>
          </w:p>
        </w:tc>
      </w:tr>
      <w:tr w:rsidR="00150562" w:rsidRPr="00303072" w14:paraId="6726A1E8" w14:textId="77777777" w:rsidTr="00FA696D">
        <w:trPr>
          <w:trHeight w:val="240"/>
          <w:jc w:val="center"/>
        </w:trPr>
        <w:tc>
          <w:tcPr>
            <w:cnfStyle w:val="001000000000" w:firstRow="0" w:lastRow="0" w:firstColumn="1" w:lastColumn="0" w:oddVBand="0" w:evenVBand="0" w:oddHBand="0" w:evenHBand="0" w:firstRowFirstColumn="0" w:firstRowLastColumn="0" w:lastRowFirstColumn="0" w:lastRowLastColumn="0"/>
            <w:tcW w:w="4308" w:type="dxa"/>
            <w:shd w:val="clear" w:color="auto" w:fill="D9E6F6" w:themeFill="accent2" w:themeFillTint="33"/>
            <w:vAlign w:val="bottom"/>
          </w:tcPr>
          <w:p w14:paraId="7193085E" w14:textId="6882CF9F" w:rsidR="00150562" w:rsidRPr="00C908EC" w:rsidRDefault="00150562" w:rsidP="00150562">
            <w:pPr>
              <w:jc w:val="right"/>
              <w:rPr>
                <w:rFonts w:asciiTheme="minorHAnsi" w:hAnsiTheme="minorHAnsi"/>
              </w:rPr>
            </w:pPr>
            <w:r w:rsidRPr="00C908EC">
              <w:rPr>
                <w:rFonts w:ascii="Calibri" w:hAnsi="Calibri" w:cs="Calibri"/>
                <w:color w:val="000000"/>
              </w:rPr>
              <w:t xml:space="preserve">American Indian and </w:t>
            </w:r>
            <w:r w:rsidR="00FA696D" w:rsidRPr="00FA696D">
              <w:rPr>
                <w:rFonts w:ascii="Calibri" w:hAnsi="Calibri" w:cs="Calibri"/>
                <w:color w:val="000000"/>
              </w:rPr>
              <w:t>Alaska Native</w:t>
            </w:r>
          </w:p>
        </w:tc>
        <w:tc>
          <w:tcPr>
            <w:tcW w:w="1102" w:type="dxa"/>
            <w:shd w:val="clear" w:color="auto" w:fill="D9E6F6" w:themeFill="accent2" w:themeFillTint="33"/>
            <w:vAlign w:val="bottom"/>
          </w:tcPr>
          <w:p w14:paraId="30B4FAD5" w14:textId="261E5185" w:rsidR="00150562" w:rsidRPr="000A19F6" w:rsidRDefault="00150562" w:rsidP="001505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0.2%</w:t>
            </w:r>
          </w:p>
        </w:tc>
        <w:tc>
          <w:tcPr>
            <w:tcW w:w="1024" w:type="dxa"/>
            <w:shd w:val="clear" w:color="auto" w:fill="D9E6F6" w:themeFill="accent2" w:themeFillTint="33"/>
            <w:vAlign w:val="bottom"/>
          </w:tcPr>
          <w:p w14:paraId="2A077A72" w14:textId="18D8E823" w:rsidR="00150562" w:rsidRPr="000A19F6" w:rsidRDefault="00150562" w:rsidP="001505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0.4%</w:t>
            </w:r>
          </w:p>
        </w:tc>
        <w:tc>
          <w:tcPr>
            <w:tcW w:w="1316" w:type="dxa"/>
            <w:shd w:val="clear" w:color="auto" w:fill="D9E6F6" w:themeFill="accent2" w:themeFillTint="33"/>
            <w:vAlign w:val="bottom"/>
          </w:tcPr>
          <w:p w14:paraId="7BF142AC" w14:textId="772993CC" w:rsidR="00150562" w:rsidRPr="000A19F6" w:rsidRDefault="00150562" w:rsidP="001505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0.1%</w:t>
            </w:r>
          </w:p>
        </w:tc>
        <w:tc>
          <w:tcPr>
            <w:tcW w:w="900" w:type="dxa"/>
            <w:shd w:val="clear" w:color="auto" w:fill="D9E6F6" w:themeFill="accent2" w:themeFillTint="33"/>
            <w:vAlign w:val="bottom"/>
          </w:tcPr>
          <w:p w14:paraId="7197C9D3" w14:textId="1A402AE3" w:rsidR="00150562" w:rsidRPr="000A19F6" w:rsidRDefault="00150562" w:rsidP="001505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0.3%</w:t>
            </w:r>
          </w:p>
        </w:tc>
      </w:tr>
      <w:tr w:rsidR="00150562" w:rsidRPr="00303072" w14:paraId="10D27744" w14:textId="77777777" w:rsidTr="00FA696D">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308" w:type="dxa"/>
            <w:shd w:val="clear" w:color="auto" w:fill="D9E6F6" w:themeFill="accent2" w:themeFillTint="33"/>
            <w:vAlign w:val="bottom"/>
          </w:tcPr>
          <w:p w14:paraId="501E1DAB" w14:textId="04855C44" w:rsidR="00150562" w:rsidRPr="00C908EC" w:rsidRDefault="00150562" w:rsidP="00150562">
            <w:pPr>
              <w:jc w:val="right"/>
              <w:rPr>
                <w:rFonts w:asciiTheme="minorHAnsi" w:hAnsiTheme="minorHAnsi"/>
              </w:rPr>
            </w:pPr>
            <w:r w:rsidRPr="00C908EC">
              <w:rPr>
                <w:rFonts w:ascii="Calibri" w:hAnsi="Calibri" w:cs="Calibri"/>
                <w:color w:val="000000"/>
              </w:rPr>
              <w:t>Asian</w:t>
            </w:r>
          </w:p>
        </w:tc>
        <w:tc>
          <w:tcPr>
            <w:tcW w:w="1102" w:type="dxa"/>
            <w:shd w:val="clear" w:color="auto" w:fill="D9E6F6" w:themeFill="accent2" w:themeFillTint="33"/>
            <w:vAlign w:val="bottom"/>
          </w:tcPr>
          <w:p w14:paraId="2E65018A" w14:textId="0D6C4913" w:rsidR="00150562" w:rsidRPr="000A19F6" w:rsidRDefault="00150562" w:rsidP="001505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4.0%</w:t>
            </w:r>
          </w:p>
        </w:tc>
        <w:tc>
          <w:tcPr>
            <w:tcW w:w="1024" w:type="dxa"/>
            <w:shd w:val="clear" w:color="auto" w:fill="D9E6F6" w:themeFill="accent2" w:themeFillTint="33"/>
            <w:vAlign w:val="bottom"/>
          </w:tcPr>
          <w:p w14:paraId="73F8CB7E" w14:textId="58FB7162" w:rsidR="00150562" w:rsidRPr="000A19F6" w:rsidRDefault="00150562" w:rsidP="001505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2.1%</w:t>
            </w:r>
          </w:p>
        </w:tc>
        <w:tc>
          <w:tcPr>
            <w:tcW w:w="1316" w:type="dxa"/>
            <w:shd w:val="clear" w:color="auto" w:fill="D9E6F6" w:themeFill="accent2" w:themeFillTint="33"/>
            <w:vAlign w:val="bottom"/>
          </w:tcPr>
          <w:p w14:paraId="2AA3A21A" w14:textId="5F2ECA88" w:rsidR="00150562" w:rsidRPr="000A19F6" w:rsidRDefault="00150562" w:rsidP="001505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5.7%</w:t>
            </w:r>
          </w:p>
        </w:tc>
        <w:tc>
          <w:tcPr>
            <w:tcW w:w="900" w:type="dxa"/>
            <w:shd w:val="clear" w:color="auto" w:fill="D9E6F6" w:themeFill="accent2" w:themeFillTint="33"/>
            <w:vAlign w:val="bottom"/>
          </w:tcPr>
          <w:p w14:paraId="628E86B3" w14:textId="3FBE55CC" w:rsidR="00150562" w:rsidRPr="000A19F6" w:rsidRDefault="00150562" w:rsidP="001505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1.3%</w:t>
            </w:r>
          </w:p>
        </w:tc>
      </w:tr>
      <w:tr w:rsidR="00150562" w:rsidRPr="00303072" w14:paraId="0F40C278" w14:textId="77777777" w:rsidTr="00FA696D">
        <w:trPr>
          <w:trHeight w:val="240"/>
          <w:jc w:val="center"/>
        </w:trPr>
        <w:tc>
          <w:tcPr>
            <w:cnfStyle w:val="001000000000" w:firstRow="0" w:lastRow="0" w:firstColumn="1" w:lastColumn="0" w:oddVBand="0" w:evenVBand="0" w:oddHBand="0" w:evenHBand="0" w:firstRowFirstColumn="0" w:firstRowLastColumn="0" w:lastRowFirstColumn="0" w:lastRowLastColumn="0"/>
            <w:tcW w:w="4308" w:type="dxa"/>
            <w:shd w:val="clear" w:color="auto" w:fill="D9E6F6" w:themeFill="accent2" w:themeFillTint="33"/>
            <w:vAlign w:val="bottom"/>
          </w:tcPr>
          <w:p w14:paraId="7536374E" w14:textId="7D63E34B" w:rsidR="00150562" w:rsidRPr="00C908EC" w:rsidRDefault="00150562" w:rsidP="00150562">
            <w:pPr>
              <w:jc w:val="right"/>
              <w:rPr>
                <w:rFonts w:asciiTheme="minorHAnsi" w:hAnsiTheme="minorHAnsi"/>
              </w:rPr>
            </w:pPr>
            <w:r w:rsidRPr="00C908EC">
              <w:rPr>
                <w:rFonts w:ascii="Calibri" w:hAnsi="Calibri" w:cs="Calibri"/>
                <w:color w:val="000000"/>
              </w:rPr>
              <w:t>Native Hawaiian and Other Pacific Islander</w:t>
            </w:r>
          </w:p>
        </w:tc>
        <w:tc>
          <w:tcPr>
            <w:tcW w:w="1102" w:type="dxa"/>
            <w:shd w:val="clear" w:color="auto" w:fill="D9E6F6" w:themeFill="accent2" w:themeFillTint="33"/>
            <w:vAlign w:val="bottom"/>
          </w:tcPr>
          <w:p w14:paraId="3BF48FBE" w14:textId="33BDED87" w:rsidR="00150562" w:rsidRPr="000A19F6" w:rsidRDefault="00150562" w:rsidP="001505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0.0%</w:t>
            </w:r>
          </w:p>
        </w:tc>
        <w:tc>
          <w:tcPr>
            <w:tcW w:w="1024" w:type="dxa"/>
            <w:shd w:val="clear" w:color="auto" w:fill="D9E6F6" w:themeFill="accent2" w:themeFillTint="33"/>
            <w:vAlign w:val="bottom"/>
          </w:tcPr>
          <w:p w14:paraId="303B2EC9" w14:textId="5CCE165F" w:rsidR="00150562" w:rsidRPr="000A19F6" w:rsidRDefault="00150562" w:rsidP="001505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0.0%</w:t>
            </w:r>
          </w:p>
        </w:tc>
        <w:tc>
          <w:tcPr>
            <w:tcW w:w="1316" w:type="dxa"/>
            <w:shd w:val="clear" w:color="auto" w:fill="D9E6F6" w:themeFill="accent2" w:themeFillTint="33"/>
            <w:vAlign w:val="bottom"/>
          </w:tcPr>
          <w:p w14:paraId="697EA8CA" w14:textId="6621B982" w:rsidR="00150562" w:rsidRPr="000A19F6" w:rsidRDefault="00150562" w:rsidP="001505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0.0%</w:t>
            </w:r>
          </w:p>
        </w:tc>
        <w:tc>
          <w:tcPr>
            <w:tcW w:w="900" w:type="dxa"/>
            <w:shd w:val="clear" w:color="auto" w:fill="D9E6F6" w:themeFill="accent2" w:themeFillTint="33"/>
            <w:vAlign w:val="bottom"/>
          </w:tcPr>
          <w:p w14:paraId="3B1E2A12" w14:textId="64BADE19" w:rsidR="00150562" w:rsidRPr="000A19F6" w:rsidRDefault="00150562" w:rsidP="001505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0.0%</w:t>
            </w:r>
          </w:p>
        </w:tc>
      </w:tr>
      <w:tr w:rsidR="00150562" w:rsidRPr="00303072" w14:paraId="629CB72C" w14:textId="77777777" w:rsidTr="00FA696D">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308" w:type="dxa"/>
            <w:shd w:val="clear" w:color="auto" w:fill="D9E6F6" w:themeFill="accent2" w:themeFillTint="33"/>
            <w:vAlign w:val="bottom"/>
          </w:tcPr>
          <w:p w14:paraId="6357A728" w14:textId="763D735B" w:rsidR="00150562" w:rsidRPr="00C908EC" w:rsidRDefault="00150562" w:rsidP="00150562">
            <w:pPr>
              <w:jc w:val="right"/>
              <w:rPr>
                <w:rFonts w:asciiTheme="minorHAnsi" w:hAnsiTheme="minorHAnsi"/>
              </w:rPr>
            </w:pPr>
            <w:r w:rsidRPr="00C908EC">
              <w:rPr>
                <w:rFonts w:ascii="Calibri" w:hAnsi="Calibri" w:cs="Calibri"/>
                <w:color w:val="000000"/>
              </w:rPr>
              <w:t>Other race</w:t>
            </w:r>
          </w:p>
        </w:tc>
        <w:tc>
          <w:tcPr>
            <w:tcW w:w="1102" w:type="dxa"/>
            <w:shd w:val="clear" w:color="auto" w:fill="D9E6F6" w:themeFill="accent2" w:themeFillTint="33"/>
            <w:vAlign w:val="bottom"/>
          </w:tcPr>
          <w:p w14:paraId="34B4A398" w14:textId="0AB043DD" w:rsidR="00150562" w:rsidRPr="000A19F6" w:rsidRDefault="00150562" w:rsidP="001505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0.4%</w:t>
            </w:r>
          </w:p>
        </w:tc>
        <w:tc>
          <w:tcPr>
            <w:tcW w:w="1024" w:type="dxa"/>
            <w:shd w:val="clear" w:color="auto" w:fill="D9E6F6" w:themeFill="accent2" w:themeFillTint="33"/>
            <w:vAlign w:val="bottom"/>
          </w:tcPr>
          <w:p w14:paraId="10F4C494" w14:textId="69FA3311" w:rsidR="00150562" w:rsidRPr="000A19F6" w:rsidRDefault="00150562" w:rsidP="001505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0.4%</w:t>
            </w:r>
          </w:p>
        </w:tc>
        <w:tc>
          <w:tcPr>
            <w:tcW w:w="1316" w:type="dxa"/>
            <w:shd w:val="clear" w:color="auto" w:fill="D9E6F6" w:themeFill="accent2" w:themeFillTint="33"/>
            <w:vAlign w:val="bottom"/>
          </w:tcPr>
          <w:p w14:paraId="19262AC0" w14:textId="61DFC44D" w:rsidR="00150562" w:rsidRPr="000A19F6" w:rsidRDefault="00150562" w:rsidP="001505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0.3%</w:t>
            </w:r>
          </w:p>
        </w:tc>
        <w:tc>
          <w:tcPr>
            <w:tcW w:w="900" w:type="dxa"/>
            <w:shd w:val="clear" w:color="auto" w:fill="D9E6F6" w:themeFill="accent2" w:themeFillTint="33"/>
            <w:vAlign w:val="bottom"/>
          </w:tcPr>
          <w:p w14:paraId="6842B814" w14:textId="194B2888" w:rsidR="00150562" w:rsidRPr="000A19F6" w:rsidRDefault="00150562" w:rsidP="001505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0.4%</w:t>
            </w:r>
          </w:p>
        </w:tc>
      </w:tr>
      <w:tr w:rsidR="00150562" w:rsidRPr="00303072" w14:paraId="17AEF8AD" w14:textId="77777777" w:rsidTr="00FA696D">
        <w:trPr>
          <w:trHeight w:val="240"/>
          <w:jc w:val="center"/>
        </w:trPr>
        <w:tc>
          <w:tcPr>
            <w:cnfStyle w:val="001000000000" w:firstRow="0" w:lastRow="0" w:firstColumn="1" w:lastColumn="0" w:oddVBand="0" w:evenVBand="0" w:oddHBand="0" w:evenHBand="0" w:firstRowFirstColumn="0" w:firstRowLastColumn="0" w:lastRowFirstColumn="0" w:lastRowLastColumn="0"/>
            <w:tcW w:w="4308" w:type="dxa"/>
            <w:shd w:val="clear" w:color="auto" w:fill="D9E6F6" w:themeFill="accent2" w:themeFillTint="33"/>
            <w:vAlign w:val="bottom"/>
          </w:tcPr>
          <w:p w14:paraId="312C0002" w14:textId="094E0907" w:rsidR="00150562" w:rsidRPr="00C908EC" w:rsidRDefault="00150562" w:rsidP="00150562">
            <w:pPr>
              <w:jc w:val="right"/>
              <w:rPr>
                <w:rFonts w:asciiTheme="minorHAnsi" w:hAnsiTheme="minorHAnsi"/>
              </w:rPr>
            </w:pPr>
            <w:r w:rsidRPr="00C908EC">
              <w:rPr>
                <w:rFonts w:ascii="Calibri" w:hAnsi="Calibri" w:cs="Calibri"/>
                <w:color w:val="000000"/>
              </w:rPr>
              <w:t>Two or more races</w:t>
            </w:r>
          </w:p>
        </w:tc>
        <w:tc>
          <w:tcPr>
            <w:tcW w:w="1102" w:type="dxa"/>
            <w:shd w:val="clear" w:color="auto" w:fill="D9E6F6" w:themeFill="accent2" w:themeFillTint="33"/>
            <w:vAlign w:val="bottom"/>
          </w:tcPr>
          <w:p w14:paraId="00090B39" w14:textId="4A2698B8" w:rsidR="00150562" w:rsidRPr="000A19F6" w:rsidRDefault="00150562" w:rsidP="001505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3.3%</w:t>
            </w:r>
          </w:p>
        </w:tc>
        <w:tc>
          <w:tcPr>
            <w:tcW w:w="1024" w:type="dxa"/>
            <w:shd w:val="clear" w:color="auto" w:fill="D9E6F6" w:themeFill="accent2" w:themeFillTint="33"/>
            <w:vAlign w:val="bottom"/>
          </w:tcPr>
          <w:p w14:paraId="7600298C" w14:textId="3896C26E" w:rsidR="00150562" w:rsidRPr="000A19F6" w:rsidRDefault="00150562" w:rsidP="001505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4.7%</w:t>
            </w:r>
          </w:p>
        </w:tc>
        <w:tc>
          <w:tcPr>
            <w:tcW w:w="1316" w:type="dxa"/>
            <w:shd w:val="clear" w:color="auto" w:fill="D9E6F6" w:themeFill="accent2" w:themeFillTint="33"/>
            <w:vAlign w:val="bottom"/>
          </w:tcPr>
          <w:p w14:paraId="7F46E7A1" w14:textId="5ABCF11F" w:rsidR="00150562" w:rsidRPr="000A19F6" w:rsidRDefault="00150562" w:rsidP="001505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3.0%</w:t>
            </w:r>
          </w:p>
        </w:tc>
        <w:tc>
          <w:tcPr>
            <w:tcW w:w="900" w:type="dxa"/>
            <w:shd w:val="clear" w:color="auto" w:fill="D9E6F6" w:themeFill="accent2" w:themeFillTint="33"/>
            <w:vAlign w:val="bottom"/>
          </w:tcPr>
          <w:p w14:paraId="5E30F835" w14:textId="13D16C71" w:rsidR="00150562" w:rsidRPr="000A19F6" w:rsidRDefault="00150562" w:rsidP="001505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3.0%</w:t>
            </w:r>
          </w:p>
        </w:tc>
      </w:tr>
      <w:tr w:rsidR="00150562" w:rsidRPr="00303072" w14:paraId="261B5467" w14:textId="77777777" w:rsidTr="00FA696D">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308" w:type="dxa"/>
            <w:vAlign w:val="bottom"/>
          </w:tcPr>
          <w:p w14:paraId="52D645AD" w14:textId="3442BB20" w:rsidR="00150562" w:rsidRPr="00C908EC" w:rsidRDefault="00150562" w:rsidP="00150562">
            <w:pPr>
              <w:rPr>
                <w:rFonts w:asciiTheme="minorHAnsi" w:hAnsiTheme="minorHAnsi"/>
              </w:rPr>
            </w:pPr>
            <w:r w:rsidRPr="00C908EC">
              <w:rPr>
                <w:rFonts w:ascii="Calibri" w:hAnsi="Calibri" w:cs="Calibri"/>
                <w:color w:val="000000"/>
              </w:rPr>
              <w:t>Hispanic or Latino</w:t>
            </w:r>
          </w:p>
        </w:tc>
        <w:tc>
          <w:tcPr>
            <w:tcW w:w="1102" w:type="dxa"/>
            <w:vAlign w:val="bottom"/>
          </w:tcPr>
          <w:p w14:paraId="013BE687" w14:textId="183855AE" w:rsidR="00150562" w:rsidRPr="000A19F6" w:rsidRDefault="00150562" w:rsidP="001505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9.7%</w:t>
            </w:r>
          </w:p>
        </w:tc>
        <w:tc>
          <w:tcPr>
            <w:tcW w:w="1024" w:type="dxa"/>
            <w:vAlign w:val="bottom"/>
          </w:tcPr>
          <w:p w14:paraId="72077300" w14:textId="45B123AF" w:rsidR="00150562" w:rsidRPr="000A19F6" w:rsidRDefault="00150562" w:rsidP="001505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Calibri" w:hAnsi="Calibri" w:cs="Calibri"/>
                <w:color w:val="000000"/>
              </w:rPr>
              <w:t>7.5%</w:t>
            </w:r>
          </w:p>
        </w:tc>
        <w:tc>
          <w:tcPr>
            <w:tcW w:w="1316" w:type="dxa"/>
          </w:tcPr>
          <w:p w14:paraId="22D3BC6A" w14:textId="2CF8D1FD" w:rsidR="00150562" w:rsidRPr="000A19F6" w:rsidRDefault="00150562" w:rsidP="001505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0A19F6">
              <w:rPr>
                <w:rFonts w:asciiTheme="minorHAnsi" w:hAnsiTheme="minorHAnsi" w:cstheme="minorHAnsi"/>
              </w:rPr>
              <w:t>10.</w:t>
            </w:r>
            <w:r>
              <w:rPr>
                <w:rFonts w:asciiTheme="minorHAnsi" w:hAnsiTheme="minorHAnsi" w:cstheme="minorHAnsi"/>
              </w:rPr>
              <w:t>5</w:t>
            </w:r>
            <w:r w:rsidRPr="000A19F6">
              <w:rPr>
                <w:rFonts w:asciiTheme="minorHAnsi" w:hAnsiTheme="minorHAnsi" w:cstheme="minorHAnsi"/>
              </w:rPr>
              <w:t>%</w:t>
            </w:r>
          </w:p>
        </w:tc>
        <w:tc>
          <w:tcPr>
            <w:tcW w:w="900" w:type="dxa"/>
            <w:vAlign w:val="bottom"/>
          </w:tcPr>
          <w:p w14:paraId="2FF005CD" w14:textId="1EF7863B" w:rsidR="00150562" w:rsidRPr="000A19F6" w:rsidRDefault="00150562" w:rsidP="0015056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Calibri" w:hAnsi="Calibri" w:cs="Calibri"/>
                <w:color w:val="000000"/>
              </w:rPr>
              <w:t>9.4%</w:t>
            </w:r>
          </w:p>
        </w:tc>
      </w:tr>
    </w:tbl>
    <w:p w14:paraId="650161A7" w14:textId="63090F18" w:rsidR="0024286E" w:rsidRPr="0024286E" w:rsidRDefault="00AA75FA" w:rsidP="009A3483">
      <w:pPr>
        <w:spacing w:after="120" w:line="240" w:lineRule="auto"/>
        <w:rPr>
          <w:rFonts w:asciiTheme="minorHAnsi" w:hAnsiTheme="minorHAnsi" w:cs="Arial"/>
          <w:i/>
          <w:sz w:val="16"/>
          <w:szCs w:val="16"/>
        </w:rPr>
      </w:pPr>
      <w:r w:rsidRPr="004B3EC6">
        <w:rPr>
          <w:rFonts w:asciiTheme="minorHAnsi" w:hAnsiTheme="minorHAnsi" w:cs="Arial"/>
          <w:i/>
          <w:sz w:val="14"/>
          <w:szCs w:val="14"/>
        </w:rPr>
        <w:t xml:space="preserve">             </w:t>
      </w:r>
      <w:r w:rsidR="00D93919" w:rsidRPr="004B3EC6">
        <w:rPr>
          <w:rFonts w:asciiTheme="minorHAnsi" w:hAnsiTheme="minorHAnsi" w:cs="Arial"/>
          <w:i/>
          <w:sz w:val="14"/>
          <w:szCs w:val="14"/>
        </w:rPr>
        <w:t xml:space="preserve">         </w:t>
      </w:r>
      <w:r w:rsidR="000F2FF9" w:rsidRPr="005F684C">
        <w:rPr>
          <w:rFonts w:asciiTheme="minorHAnsi" w:hAnsiTheme="minorHAnsi" w:cs="Arial"/>
          <w:i/>
          <w:sz w:val="16"/>
          <w:szCs w:val="16"/>
        </w:rPr>
        <w:t>Source: U.S. Census Bureau</w:t>
      </w:r>
      <w:r w:rsidR="00DB33C1" w:rsidRPr="005F684C">
        <w:rPr>
          <w:rFonts w:asciiTheme="minorHAnsi" w:hAnsiTheme="minorHAnsi" w:cs="Arial"/>
          <w:i/>
          <w:sz w:val="16"/>
          <w:szCs w:val="16"/>
        </w:rPr>
        <w:t xml:space="preserve">, </w:t>
      </w:r>
      <w:r w:rsidR="00A136A9">
        <w:rPr>
          <w:rFonts w:asciiTheme="minorHAnsi" w:hAnsiTheme="minorHAnsi" w:cs="Arial"/>
          <w:i/>
          <w:sz w:val="16"/>
          <w:szCs w:val="16"/>
        </w:rPr>
        <w:t>2017-2021</w:t>
      </w:r>
      <w:r w:rsidR="00DB33C1" w:rsidRPr="005F684C">
        <w:rPr>
          <w:rFonts w:asciiTheme="minorHAnsi" w:hAnsiTheme="minorHAnsi" w:cs="Arial"/>
          <w:i/>
          <w:sz w:val="16"/>
          <w:szCs w:val="16"/>
        </w:rPr>
        <w:t xml:space="preserve"> American Community Survey 5-Year Estimates</w:t>
      </w:r>
      <w:r w:rsidR="000F2FF9" w:rsidRPr="005F684C">
        <w:rPr>
          <w:rFonts w:asciiTheme="minorHAnsi" w:hAnsiTheme="minorHAnsi" w:cs="Arial"/>
          <w:i/>
          <w:sz w:val="16"/>
          <w:szCs w:val="16"/>
        </w:rPr>
        <w:t xml:space="preserve">, </w:t>
      </w:r>
      <w:hyperlink r:id="rId21" w:history="1">
        <w:r w:rsidR="00437EC1" w:rsidRPr="005F684C">
          <w:rPr>
            <w:rStyle w:val="Hyperlink"/>
            <w:rFonts w:asciiTheme="minorHAnsi" w:hAnsiTheme="minorHAnsi" w:cs="Arial"/>
            <w:i/>
            <w:sz w:val="16"/>
            <w:szCs w:val="16"/>
          </w:rPr>
          <w:t>https://data.census.gov/</w:t>
        </w:r>
      </w:hyperlink>
    </w:p>
    <w:p w14:paraId="00FF63B3" w14:textId="77777777" w:rsidR="008D5C8E" w:rsidRDefault="008D5C8E" w:rsidP="00047806">
      <w:pPr>
        <w:rPr>
          <w:rFonts w:asciiTheme="minorHAnsi" w:hAnsiTheme="minorHAnsi"/>
        </w:rPr>
      </w:pPr>
    </w:p>
    <w:p w14:paraId="753ADEEB" w14:textId="76BC4FF6" w:rsidR="00882CAB" w:rsidRDefault="000F2FF9" w:rsidP="00047806">
      <w:pPr>
        <w:rPr>
          <w:rFonts w:asciiTheme="minorHAnsi" w:hAnsiTheme="minorHAnsi"/>
        </w:rPr>
      </w:pPr>
      <w:r w:rsidRPr="00B77EA4">
        <w:rPr>
          <w:rFonts w:asciiTheme="minorHAnsi" w:hAnsiTheme="minorHAnsi"/>
        </w:rPr>
        <w:t xml:space="preserve">Since </w:t>
      </w:r>
      <w:r w:rsidR="00600B26" w:rsidRPr="00B77EA4">
        <w:rPr>
          <w:rFonts w:asciiTheme="minorHAnsi" w:hAnsiTheme="minorHAnsi"/>
        </w:rPr>
        <w:t>20</w:t>
      </w:r>
      <w:r w:rsidR="000A19F6">
        <w:rPr>
          <w:rFonts w:asciiTheme="minorHAnsi" w:hAnsiTheme="minorHAnsi"/>
        </w:rPr>
        <w:t>10</w:t>
      </w:r>
      <w:r w:rsidRPr="00B77EA4">
        <w:rPr>
          <w:rFonts w:asciiTheme="minorHAnsi" w:hAnsiTheme="minorHAnsi"/>
        </w:rPr>
        <w:t xml:space="preserve">, racial diversity has expanded at different rates across Delaware’s counties. </w:t>
      </w:r>
      <w:r w:rsidR="00B94D18" w:rsidRPr="00B77EA4">
        <w:rPr>
          <w:rFonts w:asciiTheme="minorHAnsi" w:hAnsiTheme="minorHAnsi"/>
        </w:rPr>
        <w:t xml:space="preserve"> </w:t>
      </w:r>
      <w:r w:rsidRPr="00B77EA4">
        <w:rPr>
          <w:rFonts w:asciiTheme="minorHAnsi" w:hAnsiTheme="minorHAnsi"/>
          <w:szCs w:val="20"/>
        </w:rPr>
        <w:t xml:space="preserve">Both Kent and New Castle </w:t>
      </w:r>
      <w:r w:rsidR="00B60231" w:rsidRPr="00B77EA4">
        <w:rPr>
          <w:rFonts w:asciiTheme="minorHAnsi" w:hAnsiTheme="minorHAnsi"/>
          <w:szCs w:val="20"/>
        </w:rPr>
        <w:t>c</w:t>
      </w:r>
      <w:r w:rsidRPr="00B77EA4">
        <w:rPr>
          <w:rFonts w:asciiTheme="minorHAnsi" w:hAnsiTheme="minorHAnsi"/>
          <w:szCs w:val="20"/>
        </w:rPr>
        <w:t xml:space="preserve">ounties experienced increases in the proportion of </w:t>
      </w:r>
      <w:r w:rsidR="006D4E78">
        <w:rPr>
          <w:rFonts w:asciiTheme="minorHAnsi" w:hAnsiTheme="minorHAnsi"/>
          <w:szCs w:val="20"/>
        </w:rPr>
        <w:t>n</w:t>
      </w:r>
      <w:r w:rsidR="00600B26" w:rsidRPr="00B77EA4">
        <w:rPr>
          <w:rFonts w:asciiTheme="minorHAnsi" w:hAnsiTheme="minorHAnsi"/>
          <w:szCs w:val="20"/>
        </w:rPr>
        <w:t xml:space="preserve">on-Hispanic </w:t>
      </w:r>
      <w:r w:rsidR="00BB3D69" w:rsidRPr="00B77EA4">
        <w:rPr>
          <w:rFonts w:asciiTheme="minorHAnsi" w:hAnsiTheme="minorHAnsi"/>
          <w:szCs w:val="20"/>
        </w:rPr>
        <w:t>Black</w:t>
      </w:r>
      <w:r w:rsidRPr="00B77EA4">
        <w:rPr>
          <w:rFonts w:asciiTheme="minorHAnsi" w:hAnsiTheme="minorHAnsi"/>
          <w:szCs w:val="20"/>
        </w:rPr>
        <w:t xml:space="preserve"> </w:t>
      </w:r>
      <w:r w:rsidR="00600B26" w:rsidRPr="00B77EA4">
        <w:rPr>
          <w:rFonts w:asciiTheme="minorHAnsi" w:hAnsiTheme="minorHAnsi"/>
          <w:szCs w:val="20"/>
        </w:rPr>
        <w:t xml:space="preserve">and Hispanic </w:t>
      </w:r>
      <w:r w:rsidRPr="00B77EA4">
        <w:rPr>
          <w:rFonts w:asciiTheme="minorHAnsi" w:hAnsiTheme="minorHAnsi"/>
          <w:szCs w:val="20"/>
        </w:rPr>
        <w:t>residents (and concurrent decreases in the proportion of</w:t>
      </w:r>
      <w:r w:rsidR="00205879" w:rsidRPr="00B77EA4">
        <w:rPr>
          <w:rFonts w:asciiTheme="minorHAnsi" w:hAnsiTheme="minorHAnsi"/>
          <w:szCs w:val="20"/>
        </w:rPr>
        <w:t xml:space="preserve"> </w:t>
      </w:r>
      <w:r w:rsidR="00AC71E3">
        <w:rPr>
          <w:rFonts w:asciiTheme="minorHAnsi" w:hAnsiTheme="minorHAnsi"/>
          <w:szCs w:val="20"/>
        </w:rPr>
        <w:t>non</w:t>
      </w:r>
      <w:r w:rsidR="00205879" w:rsidRPr="00B77EA4">
        <w:rPr>
          <w:rFonts w:asciiTheme="minorHAnsi" w:hAnsiTheme="minorHAnsi"/>
          <w:szCs w:val="20"/>
        </w:rPr>
        <w:t>-Hispanic</w:t>
      </w:r>
      <w:r w:rsidRPr="00B77EA4">
        <w:rPr>
          <w:rFonts w:asciiTheme="minorHAnsi" w:hAnsiTheme="minorHAnsi"/>
          <w:szCs w:val="20"/>
        </w:rPr>
        <w:t xml:space="preserve"> </w:t>
      </w:r>
      <w:r w:rsidR="00BB3D69" w:rsidRPr="00B77EA4">
        <w:rPr>
          <w:rFonts w:asciiTheme="minorHAnsi" w:hAnsiTheme="minorHAnsi"/>
          <w:szCs w:val="20"/>
        </w:rPr>
        <w:t>White</w:t>
      </w:r>
      <w:r w:rsidRPr="00B77EA4">
        <w:rPr>
          <w:rFonts w:asciiTheme="minorHAnsi" w:hAnsiTheme="minorHAnsi"/>
          <w:szCs w:val="20"/>
        </w:rPr>
        <w:t xml:space="preserve"> residents)</w:t>
      </w:r>
      <w:r w:rsidRPr="00B77EA4">
        <w:rPr>
          <w:rFonts w:asciiTheme="minorHAnsi" w:hAnsiTheme="minorHAnsi"/>
        </w:rPr>
        <w:t xml:space="preserve"> from </w:t>
      </w:r>
      <w:r w:rsidR="00205879" w:rsidRPr="00B77EA4">
        <w:rPr>
          <w:rFonts w:asciiTheme="minorHAnsi" w:hAnsiTheme="minorHAnsi"/>
        </w:rPr>
        <w:t>20</w:t>
      </w:r>
      <w:r w:rsidR="000A19F6">
        <w:rPr>
          <w:rFonts w:asciiTheme="minorHAnsi" w:hAnsiTheme="minorHAnsi"/>
        </w:rPr>
        <w:t>10</w:t>
      </w:r>
      <w:r w:rsidRPr="00B77EA4">
        <w:rPr>
          <w:rFonts w:asciiTheme="minorHAnsi" w:hAnsiTheme="minorHAnsi"/>
        </w:rPr>
        <w:t xml:space="preserve"> to 20</w:t>
      </w:r>
      <w:r w:rsidR="000A19F6">
        <w:rPr>
          <w:rFonts w:asciiTheme="minorHAnsi" w:hAnsiTheme="minorHAnsi"/>
        </w:rPr>
        <w:t>2</w:t>
      </w:r>
      <w:r w:rsidRPr="00B77EA4">
        <w:rPr>
          <w:rFonts w:asciiTheme="minorHAnsi" w:hAnsiTheme="minorHAnsi"/>
        </w:rPr>
        <w:t xml:space="preserve">0 (Figure </w:t>
      </w:r>
      <w:r w:rsidR="00F24B98">
        <w:rPr>
          <w:rFonts w:asciiTheme="minorHAnsi" w:hAnsiTheme="minorHAnsi"/>
        </w:rPr>
        <w:t>1</w:t>
      </w:r>
      <w:r w:rsidRPr="00B77EA4">
        <w:rPr>
          <w:rFonts w:asciiTheme="minorHAnsi" w:hAnsiTheme="minorHAnsi"/>
        </w:rPr>
        <w:t xml:space="preserve">-3). </w:t>
      </w:r>
      <w:r w:rsidR="00B94D18" w:rsidRPr="00B77EA4">
        <w:rPr>
          <w:rFonts w:asciiTheme="minorHAnsi" w:hAnsiTheme="minorHAnsi"/>
        </w:rPr>
        <w:t xml:space="preserve"> </w:t>
      </w:r>
      <w:r w:rsidR="00D77938" w:rsidRPr="00B77EA4">
        <w:rPr>
          <w:rFonts w:asciiTheme="minorHAnsi" w:hAnsiTheme="minorHAnsi"/>
        </w:rPr>
        <w:t>A different</w:t>
      </w:r>
      <w:r w:rsidRPr="00B77EA4">
        <w:rPr>
          <w:rFonts w:asciiTheme="minorHAnsi" w:hAnsiTheme="minorHAnsi"/>
        </w:rPr>
        <w:t xml:space="preserve"> trend was observed in Sussex County, where the </w:t>
      </w:r>
      <w:r w:rsidR="006D4E78">
        <w:rPr>
          <w:rFonts w:asciiTheme="minorHAnsi" w:hAnsiTheme="minorHAnsi"/>
        </w:rPr>
        <w:t>n</w:t>
      </w:r>
      <w:r w:rsidR="00205879" w:rsidRPr="00B77EA4">
        <w:rPr>
          <w:rFonts w:asciiTheme="minorHAnsi" w:hAnsiTheme="minorHAnsi"/>
        </w:rPr>
        <w:t xml:space="preserve">on-Hispanic </w:t>
      </w:r>
      <w:r w:rsidR="00BB3D69" w:rsidRPr="00B77EA4">
        <w:rPr>
          <w:rFonts w:asciiTheme="minorHAnsi" w:hAnsiTheme="minorHAnsi"/>
        </w:rPr>
        <w:t>Black</w:t>
      </w:r>
      <w:r w:rsidRPr="00B77EA4">
        <w:rPr>
          <w:rFonts w:asciiTheme="minorHAnsi" w:hAnsiTheme="minorHAnsi"/>
        </w:rPr>
        <w:t xml:space="preserve"> population decreased from </w:t>
      </w:r>
      <w:r w:rsidR="00882CAB">
        <w:rPr>
          <w:rFonts w:asciiTheme="minorHAnsi" w:hAnsiTheme="minorHAnsi"/>
        </w:rPr>
        <w:t>2010 to 2020</w:t>
      </w:r>
      <w:r w:rsidR="00B60231" w:rsidRPr="00B77EA4">
        <w:rPr>
          <w:rFonts w:asciiTheme="minorHAnsi" w:hAnsiTheme="minorHAnsi"/>
        </w:rPr>
        <w:t>.  H</w:t>
      </w:r>
      <w:r w:rsidR="00D77938" w:rsidRPr="00B77EA4">
        <w:rPr>
          <w:rFonts w:asciiTheme="minorHAnsi" w:hAnsiTheme="minorHAnsi"/>
        </w:rPr>
        <w:t xml:space="preserve">owever, </w:t>
      </w:r>
      <w:proofErr w:type="gramStart"/>
      <w:r w:rsidR="00D77938" w:rsidRPr="00B77EA4">
        <w:rPr>
          <w:rFonts w:asciiTheme="minorHAnsi" w:hAnsiTheme="minorHAnsi"/>
        </w:rPr>
        <w:t>similar to</w:t>
      </w:r>
      <w:proofErr w:type="gramEnd"/>
      <w:r w:rsidR="00D77938" w:rsidRPr="00B77EA4">
        <w:rPr>
          <w:rFonts w:asciiTheme="minorHAnsi" w:hAnsiTheme="minorHAnsi"/>
        </w:rPr>
        <w:t xml:space="preserve"> the trends in the other counties,</w:t>
      </w:r>
      <w:r w:rsidR="00205879" w:rsidRPr="00B77EA4">
        <w:rPr>
          <w:rFonts w:asciiTheme="minorHAnsi" w:hAnsiTheme="minorHAnsi"/>
        </w:rPr>
        <w:t xml:space="preserve"> </w:t>
      </w:r>
      <w:r w:rsidRPr="00B77EA4">
        <w:rPr>
          <w:rFonts w:asciiTheme="minorHAnsi" w:hAnsiTheme="minorHAnsi"/>
        </w:rPr>
        <w:t>the</w:t>
      </w:r>
      <w:r w:rsidR="00205879" w:rsidRPr="00B77EA4">
        <w:rPr>
          <w:rFonts w:asciiTheme="minorHAnsi" w:hAnsiTheme="minorHAnsi"/>
        </w:rPr>
        <w:t xml:space="preserve"> </w:t>
      </w:r>
      <w:r w:rsidR="006D4E78">
        <w:rPr>
          <w:rFonts w:asciiTheme="minorHAnsi" w:hAnsiTheme="minorHAnsi"/>
        </w:rPr>
        <w:t>n</w:t>
      </w:r>
      <w:r w:rsidR="00205879" w:rsidRPr="00B77EA4">
        <w:rPr>
          <w:rFonts w:asciiTheme="minorHAnsi" w:hAnsiTheme="minorHAnsi"/>
        </w:rPr>
        <w:t>on-Hispanic</w:t>
      </w:r>
      <w:r w:rsidRPr="00B77EA4">
        <w:rPr>
          <w:rFonts w:asciiTheme="minorHAnsi" w:hAnsiTheme="minorHAnsi"/>
        </w:rPr>
        <w:t xml:space="preserve"> </w:t>
      </w:r>
      <w:r w:rsidR="00BB3D69" w:rsidRPr="00B77EA4">
        <w:rPr>
          <w:rFonts w:asciiTheme="minorHAnsi" w:hAnsiTheme="minorHAnsi"/>
        </w:rPr>
        <w:t>White</w:t>
      </w:r>
      <w:r w:rsidRPr="00B77EA4">
        <w:rPr>
          <w:rFonts w:asciiTheme="minorHAnsi" w:hAnsiTheme="minorHAnsi"/>
        </w:rPr>
        <w:t xml:space="preserve"> </w:t>
      </w:r>
      <w:r w:rsidR="00972BE8" w:rsidRPr="00B77EA4">
        <w:rPr>
          <w:rFonts w:asciiTheme="minorHAnsi" w:hAnsiTheme="minorHAnsi"/>
        </w:rPr>
        <w:t xml:space="preserve">population </w:t>
      </w:r>
      <w:r w:rsidRPr="00B77EA4">
        <w:rPr>
          <w:rFonts w:asciiTheme="minorHAnsi" w:hAnsiTheme="minorHAnsi"/>
        </w:rPr>
        <w:t xml:space="preserve">declined </w:t>
      </w:r>
      <w:r w:rsidR="00882CAB">
        <w:rPr>
          <w:rFonts w:asciiTheme="minorHAnsi" w:hAnsiTheme="minorHAnsi"/>
        </w:rPr>
        <w:t>while</w:t>
      </w:r>
      <w:r w:rsidR="00184909" w:rsidRPr="00B77EA4">
        <w:rPr>
          <w:rFonts w:asciiTheme="minorHAnsi" w:hAnsiTheme="minorHAnsi"/>
        </w:rPr>
        <w:t xml:space="preserve"> </w:t>
      </w:r>
      <w:r w:rsidR="00205879" w:rsidRPr="00B77EA4">
        <w:rPr>
          <w:rFonts w:asciiTheme="minorHAnsi" w:hAnsiTheme="minorHAnsi"/>
        </w:rPr>
        <w:t>the Hispanic population increased</w:t>
      </w:r>
      <w:r w:rsidR="00882CAB">
        <w:rPr>
          <w:rFonts w:asciiTheme="minorHAnsi" w:hAnsiTheme="minorHAnsi"/>
        </w:rPr>
        <w:t>.</w:t>
      </w:r>
      <w:bookmarkStart w:id="21" w:name="_Toc307482353"/>
    </w:p>
    <w:p w14:paraId="14F9A063" w14:textId="77777777" w:rsidR="008E4F3F" w:rsidRDefault="008E4F3F" w:rsidP="00E778EA">
      <w:pPr>
        <w:widowControl w:val="0"/>
        <w:spacing w:after="120" w:line="240" w:lineRule="auto"/>
        <w:rPr>
          <w:rFonts w:asciiTheme="minorHAnsi" w:hAnsiTheme="minorHAnsi" w:cs="Arial"/>
          <w:b/>
          <w:caps/>
          <w:spacing w:val="10"/>
          <w:szCs w:val="18"/>
        </w:rPr>
      </w:pPr>
    </w:p>
    <w:p w14:paraId="7F5978A3" w14:textId="77777777" w:rsidR="00047806" w:rsidRDefault="00047806">
      <w:pPr>
        <w:rPr>
          <w:rFonts w:asciiTheme="minorHAnsi" w:hAnsiTheme="minorHAnsi" w:cs="Arial"/>
          <w:b/>
          <w:caps/>
          <w:spacing w:val="10"/>
          <w:szCs w:val="18"/>
        </w:rPr>
      </w:pPr>
      <w:r>
        <w:rPr>
          <w:rFonts w:asciiTheme="minorHAnsi" w:hAnsiTheme="minorHAnsi" w:cs="Arial"/>
          <w:b/>
        </w:rPr>
        <w:br w:type="page"/>
      </w:r>
    </w:p>
    <w:p w14:paraId="31F8D294" w14:textId="5D0631A4" w:rsidR="00114D91" w:rsidRDefault="000F2FF9" w:rsidP="00B94D18">
      <w:pPr>
        <w:pStyle w:val="Caption"/>
        <w:spacing w:after="120" w:line="240" w:lineRule="auto"/>
        <w:contextualSpacing/>
        <w:jc w:val="center"/>
        <w:rPr>
          <w:rFonts w:asciiTheme="minorHAnsi" w:hAnsiTheme="minorHAnsi" w:cs="Arial"/>
          <w:b/>
          <w:sz w:val="22"/>
        </w:rPr>
      </w:pPr>
      <w:r w:rsidRPr="00B77EA4">
        <w:rPr>
          <w:rFonts w:asciiTheme="minorHAnsi" w:hAnsiTheme="minorHAnsi" w:cs="Arial"/>
          <w:b/>
          <w:sz w:val="22"/>
        </w:rPr>
        <w:lastRenderedPageBreak/>
        <w:t xml:space="preserve">Figure </w:t>
      </w:r>
      <w:r w:rsidRPr="00B77EA4">
        <w:rPr>
          <w:rFonts w:asciiTheme="minorHAnsi" w:hAnsiTheme="minorHAnsi" w:cs="Arial"/>
          <w:b/>
          <w:sz w:val="22"/>
        </w:rPr>
        <w:fldChar w:fldCharType="begin"/>
      </w:r>
      <w:r w:rsidRPr="00B77EA4">
        <w:rPr>
          <w:rFonts w:asciiTheme="minorHAnsi" w:hAnsiTheme="minorHAnsi" w:cs="Arial"/>
          <w:b/>
          <w:sz w:val="22"/>
        </w:rPr>
        <w:instrText xml:space="preserve"> STYLEREF 1 \s </w:instrText>
      </w:r>
      <w:r w:rsidRPr="00B77EA4">
        <w:rPr>
          <w:rFonts w:asciiTheme="minorHAnsi" w:hAnsiTheme="minorHAnsi" w:cs="Arial"/>
          <w:b/>
          <w:sz w:val="22"/>
        </w:rPr>
        <w:fldChar w:fldCharType="separate"/>
      </w:r>
      <w:r w:rsidR="006C24CC">
        <w:rPr>
          <w:rFonts w:asciiTheme="minorHAnsi" w:hAnsiTheme="minorHAnsi" w:cs="Arial"/>
          <w:b/>
          <w:noProof/>
          <w:sz w:val="22"/>
        </w:rPr>
        <w:t>1</w:t>
      </w:r>
      <w:r w:rsidRPr="00B77EA4">
        <w:rPr>
          <w:rFonts w:asciiTheme="minorHAnsi" w:hAnsiTheme="minorHAnsi" w:cs="Arial"/>
          <w:b/>
          <w:sz w:val="22"/>
        </w:rPr>
        <w:fldChar w:fldCharType="end"/>
      </w:r>
      <w:r w:rsidRPr="00B77EA4">
        <w:rPr>
          <w:rFonts w:asciiTheme="minorHAnsi" w:hAnsiTheme="minorHAnsi" w:cs="Arial"/>
          <w:b/>
          <w:sz w:val="22"/>
        </w:rPr>
        <w:noBreakHyphen/>
      </w:r>
      <w:r w:rsidRPr="00B77EA4">
        <w:rPr>
          <w:rFonts w:asciiTheme="minorHAnsi" w:hAnsiTheme="minorHAnsi" w:cs="Arial"/>
          <w:b/>
          <w:sz w:val="22"/>
        </w:rPr>
        <w:fldChar w:fldCharType="begin"/>
      </w:r>
      <w:r w:rsidRPr="00B77EA4">
        <w:rPr>
          <w:rFonts w:asciiTheme="minorHAnsi" w:hAnsiTheme="minorHAnsi" w:cs="Arial"/>
          <w:b/>
          <w:sz w:val="22"/>
        </w:rPr>
        <w:instrText xml:space="preserve"> SEQ Figure \* ARABIC \s 1 </w:instrText>
      </w:r>
      <w:r w:rsidRPr="00B77EA4">
        <w:rPr>
          <w:rFonts w:asciiTheme="minorHAnsi" w:hAnsiTheme="minorHAnsi" w:cs="Arial"/>
          <w:b/>
          <w:sz w:val="22"/>
        </w:rPr>
        <w:fldChar w:fldCharType="separate"/>
      </w:r>
      <w:r w:rsidR="006C24CC">
        <w:rPr>
          <w:rFonts w:asciiTheme="minorHAnsi" w:hAnsiTheme="minorHAnsi" w:cs="Arial"/>
          <w:b/>
          <w:noProof/>
          <w:sz w:val="22"/>
        </w:rPr>
        <w:t>3</w:t>
      </w:r>
      <w:r w:rsidRPr="00B77EA4">
        <w:rPr>
          <w:rFonts w:asciiTheme="minorHAnsi" w:hAnsiTheme="minorHAnsi" w:cs="Arial"/>
          <w:b/>
          <w:sz w:val="22"/>
        </w:rPr>
        <w:fldChar w:fldCharType="end"/>
      </w:r>
      <w:r w:rsidRPr="00B77EA4">
        <w:rPr>
          <w:rFonts w:asciiTheme="minorHAnsi" w:hAnsiTheme="minorHAnsi" w:cs="Arial"/>
          <w:b/>
          <w:sz w:val="22"/>
        </w:rPr>
        <w:t xml:space="preserve">: </w:t>
      </w:r>
      <w:r w:rsidR="00D77938" w:rsidRPr="00B77EA4">
        <w:rPr>
          <w:rFonts w:asciiTheme="minorHAnsi" w:hAnsiTheme="minorHAnsi" w:cs="Arial"/>
          <w:b/>
          <w:sz w:val="22"/>
        </w:rPr>
        <w:t xml:space="preserve">PERCENTAGE OF RESIDENTS BY RACE/ETHNICITY, </w:t>
      </w:r>
    </w:p>
    <w:p w14:paraId="05F1D355" w14:textId="5C8C317A" w:rsidR="009E7917" w:rsidRPr="00B636E9" w:rsidRDefault="00D77938" w:rsidP="00B636E9">
      <w:pPr>
        <w:pStyle w:val="Caption"/>
        <w:spacing w:after="120" w:line="240" w:lineRule="auto"/>
        <w:contextualSpacing/>
        <w:jc w:val="center"/>
        <w:rPr>
          <w:rFonts w:asciiTheme="minorHAnsi" w:hAnsiTheme="minorHAnsi" w:cs="Arial"/>
          <w:b/>
          <w:sz w:val="22"/>
        </w:rPr>
      </w:pPr>
      <w:r w:rsidRPr="00B77EA4">
        <w:rPr>
          <w:rFonts w:asciiTheme="minorHAnsi" w:hAnsiTheme="minorHAnsi" w:cs="Arial"/>
          <w:b/>
          <w:sz w:val="22"/>
        </w:rPr>
        <w:t xml:space="preserve">DELAWARE COUNTIES, </w:t>
      </w:r>
      <w:bookmarkEnd w:id="21"/>
      <w:r w:rsidR="000A19F6">
        <w:rPr>
          <w:rFonts w:asciiTheme="minorHAnsi" w:hAnsiTheme="minorHAnsi" w:cs="Arial"/>
          <w:b/>
          <w:sz w:val="22"/>
        </w:rPr>
        <w:t>2010 and 2020</w:t>
      </w:r>
    </w:p>
    <w:p w14:paraId="4C3F6FE6" w14:textId="349CDBAC" w:rsidR="000F2FF9" w:rsidRPr="00B636E9" w:rsidRDefault="00882CAB" w:rsidP="00B636E9">
      <w:pPr>
        <w:spacing w:after="0"/>
        <w:jc w:val="center"/>
      </w:pPr>
      <w:r>
        <w:rPr>
          <w:noProof/>
        </w:rPr>
        <w:drawing>
          <wp:inline distT="0" distB="0" distL="0" distR="0" wp14:anchorId="6E6B3544" wp14:editId="107541C4">
            <wp:extent cx="6601460" cy="3047833"/>
            <wp:effectExtent l="0" t="0" r="0" b="635"/>
            <wp:docPr id="7506720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620653" cy="3056694"/>
                    </a:xfrm>
                    <a:prstGeom prst="rect">
                      <a:avLst/>
                    </a:prstGeom>
                    <a:noFill/>
                    <a:ln>
                      <a:noFill/>
                    </a:ln>
                  </pic:spPr>
                </pic:pic>
              </a:graphicData>
            </a:graphic>
          </wp:inline>
        </w:drawing>
      </w:r>
    </w:p>
    <w:p w14:paraId="2542AF14" w14:textId="3AA4084A" w:rsidR="00834D9E" w:rsidRPr="005F684C" w:rsidRDefault="00600B26" w:rsidP="00B636E9">
      <w:pPr>
        <w:widowControl w:val="0"/>
        <w:spacing w:after="0" w:line="240" w:lineRule="auto"/>
        <w:ind w:left="576"/>
        <w:rPr>
          <w:rFonts w:asciiTheme="minorHAnsi" w:hAnsiTheme="minorHAnsi" w:cs="Arial"/>
          <w:i/>
          <w:sz w:val="16"/>
          <w:szCs w:val="16"/>
        </w:rPr>
      </w:pPr>
      <w:r w:rsidRPr="004B3EC6">
        <w:rPr>
          <w:rFonts w:asciiTheme="minorHAnsi" w:hAnsiTheme="minorHAnsi" w:cs="Arial"/>
          <w:i/>
          <w:sz w:val="14"/>
          <w:szCs w:val="14"/>
        </w:rPr>
        <w:t xml:space="preserve">   </w:t>
      </w:r>
      <w:r w:rsidR="000F2FF9" w:rsidRPr="005F684C">
        <w:rPr>
          <w:rFonts w:asciiTheme="minorHAnsi" w:hAnsiTheme="minorHAnsi" w:cs="Arial"/>
          <w:i/>
          <w:sz w:val="16"/>
          <w:szCs w:val="16"/>
        </w:rPr>
        <w:t>Source: U.S. Census Bureau 20</w:t>
      </w:r>
      <w:r w:rsidR="0073042A">
        <w:rPr>
          <w:rFonts w:asciiTheme="minorHAnsi" w:hAnsiTheme="minorHAnsi" w:cs="Arial"/>
          <w:i/>
          <w:sz w:val="16"/>
          <w:szCs w:val="16"/>
        </w:rPr>
        <w:t>2</w:t>
      </w:r>
      <w:r w:rsidR="000F2FF9" w:rsidRPr="005F684C">
        <w:rPr>
          <w:rFonts w:asciiTheme="minorHAnsi" w:hAnsiTheme="minorHAnsi" w:cs="Arial"/>
          <w:i/>
          <w:sz w:val="16"/>
          <w:szCs w:val="16"/>
        </w:rPr>
        <w:t>0,</w:t>
      </w:r>
      <w:r w:rsidR="00D16F25" w:rsidRPr="005F684C">
        <w:rPr>
          <w:rFonts w:asciiTheme="minorHAnsi" w:hAnsiTheme="minorHAnsi" w:cs="Arial"/>
          <w:i/>
          <w:sz w:val="16"/>
          <w:szCs w:val="16"/>
        </w:rPr>
        <w:t xml:space="preserve"> </w:t>
      </w:r>
      <w:hyperlink r:id="rId23" w:history="1">
        <w:r w:rsidR="00D16F25" w:rsidRPr="005F684C">
          <w:rPr>
            <w:rStyle w:val="Hyperlink"/>
            <w:rFonts w:asciiTheme="minorHAnsi" w:hAnsiTheme="minorHAnsi" w:cs="Arial"/>
            <w:i/>
            <w:sz w:val="16"/>
            <w:szCs w:val="16"/>
          </w:rPr>
          <w:t>https://data.census.gov/</w:t>
        </w:r>
      </w:hyperlink>
      <w:r w:rsidR="00D16F25" w:rsidRPr="005F684C">
        <w:rPr>
          <w:rFonts w:asciiTheme="minorHAnsi" w:hAnsiTheme="minorHAnsi" w:cs="Arial"/>
          <w:i/>
          <w:sz w:val="16"/>
          <w:szCs w:val="16"/>
        </w:rPr>
        <w:t xml:space="preserve"> </w:t>
      </w:r>
    </w:p>
    <w:p w14:paraId="0872180D" w14:textId="77777777" w:rsidR="00B636E9" w:rsidRDefault="00B636E9" w:rsidP="00B636E9">
      <w:pPr>
        <w:widowControl w:val="0"/>
        <w:spacing w:after="0" w:line="240" w:lineRule="auto"/>
        <w:ind w:left="576"/>
        <w:rPr>
          <w:rFonts w:asciiTheme="minorHAnsi" w:hAnsiTheme="minorHAnsi" w:cs="Arial"/>
          <w:i/>
          <w:sz w:val="14"/>
          <w:szCs w:val="14"/>
        </w:rPr>
      </w:pPr>
    </w:p>
    <w:p w14:paraId="66C066CA" w14:textId="77777777" w:rsidR="00512159" w:rsidRDefault="00512159" w:rsidP="00512159">
      <w:pPr>
        <w:widowControl w:val="0"/>
        <w:spacing w:after="0" w:line="240" w:lineRule="auto"/>
        <w:rPr>
          <w:rFonts w:asciiTheme="minorHAnsi" w:hAnsiTheme="minorHAnsi" w:cs="Arial"/>
          <w:i/>
          <w:sz w:val="14"/>
          <w:szCs w:val="14"/>
        </w:rPr>
      </w:pPr>
    </w:p>
    <w:p w14:paraId="629B495D" w14:textId="6C194961" w:rsidR="00882CAB" w:rsidRDefault="00882CAB">
      <w:pPr>
        <w:rPr>
          <w:rFonts w:asciiTheme="minorHAnsi" w:hAnsiTheme="minorHAnsi" w:cs="Arial"/>
          <w:i/>
          <w:sz w:val="14"/>
          <w:szCs w:val="14"/>
        </w:rPr>
      </w:pPr>
      <w:r>
        <w:rPr>
          <w:rFonts w:asciiTheme="minorHAnsi" w:hAnsiTheme="minorHAnsi" w:cs="Arial"/>
          <w:i/>
          <w:sz w:val="14"/>
          <w:szCs w:val="14"/>
        </w:rPr>
        <w:br w:type="page"/>
      </w:r>
    </w:p>
    <w:p w14:paraId="212109A6" w14:textId="77777777" w:rsidR="0024286E" w:rsidRPr="002B382F" w:rsidRDefault="0024286E" w:rsidP="00B636E9">
      <w:pPr>
        <w:widowControl w:val="0"/>
        <w:spacing w:after="0" w:line="240" w:lineRule="auto"/>
        <w:ind w:left="576"/>
        <w:rPr>
          <w:rFonts w:asciiTheme="minorHAnsi" w:hAnsiTheme="minorHAnsi" w:cs="Arial"/>
          <w:i/>
          <w:sz w:val="14"/>
          <w:szCs w:val="14"/>
        </w:rPr>
      </w:pPr>
    </w:p>
    <w:p w14:paraId="0541864C" w14:textId="67E7089F" w:rsidR="000F2FF9" w:rsidRPr="000F2FF9" w:rsidRDefault="000F2FF9" w:rsidP="000F2FF9">
      <w:pPr>
        <w:pStyle w:val="Heading3"/>
        <w:spacing w:before="120" w:after="120"/>
        <w:rPr>
          <w:rFonts w:asciiTheme="minorHAnsi" w:hAnsiTheme="minorHAnsi"/>
          <w:b/>
        </w:rPr>
      </w:pPr>
      <w:r w:rsidRPr="000F2FF9">
        <w:rPr>
          <w:rFonts w:asciiTheme="minorHAnsi" w:hAnsiTheme="minorHAnsi"/>
          <w:b/>
        </w:rPr>
        <w:t>Guidelines for Interpretation of Incidence and Mortality Rates</w:t>
      </w:r>
    </w:p>
    <w:p w14:paraId="3DC9CF6D" w14:textId="35D4D9CF" w:rsidR="000F2FF9" w:rsidRPr="00A0319D" w:rsidRDefault="000F2FF9" w:rsidP="00C36209">
      <w:pPr>
        <w:widowControl w:val="0"/>
        <w:spacing w:after="120" w:line="240" w:lineRule="auto"/>
        <w:rPr>
          <w:rFonts w:asciiTheme="minorHAnsi" w:hAnsiTheme="minorHAnsi" w:cs="Arial"/>
          <w:bCs/>
        </w:rPr>
      </w:pPr>
      <w:r w:rsidRPr="00A0319D">
        <w:rPr>
          <w:rFonts w:asciiTheme="minorHAnsi" w:hAnsiTheme="minorHAnsi" w:cs="Arial"/>
          <w:bCs/>
        </w:rPr>
        <w:t>Incidence and mortality rates for Delaware are expressed per 100,000 Delawareans and rates for the U.S. are expressed per 100,000 U.S. residents.</w:t>
      </w:r>
      <w:r w:rsidR="00B94D18">
        <w:rPr>
          <w:rFonts w:asciiTheme="minorHAnsi" w:hAnsiTheme="minorHAnsi" w:cs="Arial"/>
          <w:bCs/>
        </w:rPr>
        <w:t xml:space="preserve"> </w:t>
      </w:r>
      <w:r w:rsidRPr="00A0319D">
        <w:rPr>
          <w:rFonts w:asciiTheme="minorHAnsi" w:hAnsiTheme="minorHAnsi" w:cs="Arial"/>
          <w:bCs/>
        </w:rPr>
        <w:t xml:space="preserve"> Due to Delaware’s small population base, cancer rates were calculated using five-year calendar year groupings for both cancer incidence and mortality.</w:t>
      </w:r>
    </w:p>
    <w:p w14:paraId="02275CD2" w14:textId="4A40EE44" w:rsidR="000F2FF9" w:rsidRPr="00A0319D" w:rsidRDefault="000F2FF9" w:rsidP="000F2FF9">
      <w:pPr>
        <w:widowControl w:val="0"/>
        <w:spacing w:after="120" w:line="240" w:lineRule="auto"/>
        <w:rPr>
          <w:rFonts w:asciiTheme="minorHAnsi" w:hAnsiTheme="minorHAnsi" w:cs="Arial"/>
          <w:bCs/>
        </w:rPr>
      </w:pPr>
      <w:r w:rsidRPr="00A0319D">
        <w:rPr>
          <w:rFonts w:asciiTheme="minorHAnsi" w:hAnsiTheme="minorHAnsi" w:cs="Arial"/>
          <w:bCs/>
        </w:rPr>
        <w:t xml:space="preserve">Cancer incidence and mortality rates were adjusted by age to enable comparisons between populations that may have different age distributions (e.g., Delaware vs. the U.S.). </w:t>
      </w:r>
      <w:r w:rsidR="00B94D18">
        <w:rPr>
          <w:rFonts w:asciiTheme="minorHAnsi" w:hAnsiTheme="minorHAnsi" w:cs="Arial"/>
          <w:bCs/>
        </w:rPr>
        <w:t xml:space="preserve"> </w:t>
      </w:r>
      <w:r w:rsidRPr="00A0319D">
        <w:rPr>
          <w:rFonts w:asciiTheme="minorHAnsi" w:hAnsiTheme="minorHAnsi" w:cs="Arial"/>
          <w:bCs/>
        </w:rPr>
        <w:t>Thus, age-adjusted cancer rates can be compared without any concern about how differences in age distribution of the populations would affect cancer rates.</w:t>
      </w:r>
      <w:r w:rsidR="00B94D18">
        <w:rPr>
          <w:rFonts w:asciiTheme="minorHAnsi" w:hAnsiTheme="minorHAnsi" w:cs="Arial"/>
          <w:bCs/>
        </w:rPr>
        <w:t xml:space="preserve"> </w:t>
      </w:r>
      <w:r w:rsidRPr="00A0319D">
        <w:rPr>
          <w:rFonts w:asciiTheme="minorHAnsi" w:hAnsiTheme="minorHAnsi" w:cs="Arial"/>
          <w:bCs/>
        </w:rPr>
        <w:t xml:space="preserve"> The standard population used to adjust for age is the 2000 U.S. population.</w:t>
      </w:r>
    </w:p>
    <w:p w14:paraId="3B209E0F" w14:textId="531D1086" w:rsidR="000F2FF9" w:rsidRPr="00A0319D" w:rsidRDefault="000F2FF9" w:rsidP="000F2FF9">
      <w:pPr>
        <w:widowControl w:val="0"/>
        <w:spacing w:after="120" w:line="240" w:lineRule="auto"/>
        <w:rPr>
          <w:rFonts w:asciiTheme="minorHAnsi" w:hAnsiTheme="minorHAnsi" w:cs="Arial"/>
          <w:bCs/>
          <w:szCs w:val="20"/>
        </w:rPr>
      </w:pPr>
      <w:r w:rsidRPr="00A0319D">
        <w:rPr>
          <w:rFonts w:asciiTheme="minorHAnsi" w:hAnsiTheme="minorHAnsi" w:cs="Arial"/>
          <w:bCs/>
        </w:rPr>
        <w:t>Ninety-five percent confidence intervals were computed for each cancer rate.</w:t>
      </w:r>
      <w:r w:rsidR="00B94D18">
        <w:rPr>
          <w:rFonts w:asciiTheme="minorHAnsi" w:hAnsiTheme="minorHAnsi" w:cs="Arial"/>
          <w:bCs/>
        </w:rPr>
        <w:t xml:space="preserve"> </w:t>
      </w:r>
      <w:r w:rsidR="00393388">
        <w:rPr>
          <w:rFonts w:asciiTheme="minorHAnsi" w:hAnsiTheme="minorHAnsi" w:cs="Arial"/>
          <w:bCs/>
        </w:rPr>
        <w:t xml:space="preserve"> </w:t>
      </w:r>
      <w:r w:rsidR="009F68E9">
        <w:rPr>
          <w:rFonts w:asciiTheme="minorHAnsi" w:hAnsiTheme="minorHAnsi" w:cs="Arial"/>
          <w:bCs/>
          <w:szCs w:val="20"/>
        </w:rPr>
        <w:t>R</w:t>
      </w:r>
      <w:r w:rsidR="009F68E9" w:rsidRPr="00B77EA4">
        <w:rPr>
          <w:rFonts w:asciiTheme="minorHAnsi" w:hAnsiTheme="minorHAnsi" w:cs="Arial"/>
          <w:bCs/>
          <w:szCs w:val="20"/>
        </w:rPr>
        <w:t>ates based on fewer cases will have a</w:t>
      </w:r>
      <w:r w:rsidR="009F68E9">
        <w:rPr>
          <w:rFonts w:asciiTheme="minorHAnsi" w:hAnsiTheme="minorHAnsi" w:cs="Arial"/>
          <w:bCs/>
          <w:szCs w:val="20"/>
        </w:rPr>
        <w:t xml:space="preserve"> wider</w:t>
      </w:r>
      <w:r w:rsidR="009F68E9" w:rsidRPr="00B77EA4">
        <w:rPr>
          <w:rFonts w:asciiTheme="minorHAnsi" w:hAnsiTheme="minorHAnsi" w:cs="Arial"/>
          <w:bCs/>
          <w:szCs w:val="20"/>
        </w:rPr>
        <w:t xml:space="preserve"> confidence interval</w:t>
      </w:r>
      <w:r w:rsidR="009F68E9">
        <w:rPr>
          <w:rFonts w:asciiTheme="minorHAnsi" w:hAnsiTheme="minorHAnsi" w:cs="Arial"/>
          <w:bCs/>
          <w:szCs w:val="20"/>
        </w:rPr>
        <w:t xml:space="preserve">, while </w:t>
      </w:r>
      <w:r w:rsidR="009F68E9" w:rsidRPr="00B77EA4">
        <w:rPr>
          <w:rFonts w:asciiTheme="minorHAnsi" w:hAnsiTheme="minorHAnsi" w:cs="Arial"/>
          <w:bCs/>
          <w:szCs w:val="20"/>
        </w:rPr>
        <w:t xml:space="preserve">rates based on many cases will have a </w:t>
      </w:r>
      <w:r w:rsidR="009F68E9">
        <w:rPr>
          <w:rFonts w:asciiTheme="minorHAnsi" w:hAnsiTheme="minorHAnsi" w:cs="Arial"/>
          <w:bCs/>
          <w:szCs w:val="20"/>
        </w:rPr>
        <w:t xml:space="preserve">narrower </w:t>
      </w:r>
      <w:r w:rsidR="009F68E9" w:rsidRPr="00B77EA4">
        <w:rPr>
          <w:rFonts w:asciiTheme="minorHAnsi" w:hAnsiTheme="minorHAnsi" w:cs="Arial"/>
          <w:bCs/>
          <w:szCs w:val="20"/>
        </w:rPr>
        <w:t xml:space="preserve">confidence interval. </w:t>
      </w:r>
      <w:r w:rsidR="009F68E9">
        <w:rPr>
          <w:rFonts w:asciiTheme="minorHAnsi" w:hAnsiTheme="minorHAnsi" w:cs="Arial"/>
          <w:bCs/>
          <w:szCs w:val="20"/>
        </w:rPr>
        <w:t xml:space="preserve"> </w:t>
      </w:r>
      <w:r w:rsidRPr="00A0319D">
        <w:rPr>
          <w:rFonts w:asciiTheme="minorHAnsi" w:hAnsiTheme="minorHAnsi" w:cs="Arial"/>
          <w:bCs/>
        </w:rPr>
        <w:t>Confidence intervals represent the range of values in which the cancer rate could reasonably fall 95</w:t>
      </w:r>
      <w:r w:rsidR="009E7832">
        <w:rPr>
          <w:rFonts w:asciiTheme="minorHAnsi" w:hAnsiTheme="minorHAnsi" w:cs="Arial"/>
          <w:bCs/>
        </w:rPr>
        <w:t>%</w:t>
      </w:r>
      <w:r w:rsidRPr="00A0319D">
        <w:rPr>
          <w:rFonts w:asciiTheme="minorHAnsi" w:hAnsiTheme="minorHAnsi" w:cs="Arial"/>
          <w:bCs/>
        </w:rPr>
        <w:t xml:space="preserve"> of the time.</w:t>
      </w:r>
      <w:r w:rsidR="00B94D18">
        <w:rPr>
          <w:rFonts w:asciiTheme="minorHAnsi" w:hAnsiTheme="minorHAnsi" w:cs="Arial"/>
          <w:bCs/>
        </w:rPr>
        <w:t xml:space="preserve"> </w:t>
      </w:r>
      <w:r w:rsidR="00393388">
        <w:rPr>
          <w:rFonts w:asciiTheme="minorHAnsi" w:hAnsiTheme="minorHAnsi" w:cs="Arial"/>
          <w:bCs/>
        </w:rPr>
        <w:t xml:space="preserve"> </w:t>
      </w:r>
      <w:r w:rsidR="009C7198" w:rsidRPr="009C7198">
        <w:rPr>
          <w:rFonts w:asciiTheme="minorHAnsi" w:hAnsiTheme="minorHAnsi" w:cs="Arial"/>
          <w:bCs/>
        </w:rPr>
        <w:t>While confidence intervals can be helpful to explore potential differences between populations, identifying statistically significant differences by overlapping confidence intervals alone is subject to Type I and Type II errors more often than standard hypothesis testing.</w:t>
      </w:r>
      <w:r w:rsidR="009C7198">
        <w:rPr>
          <w:rFonts w:asciiTheme="minorHAnsi" w:hAnsiTheme="minorHAnsi" w:cs="Arial"/>
          <w:bCs/>
        </w:rPr>
        <w:t xml:space="preserve"> </w:t>
      </w:r>
      <w:r w:rsidR="001C1DCE" w:rsidRPr="00B77EA4">
        <w:rPr>
          <w:rFonts w:asciiTheme="minorHAnsi" w:hAnsiTheme="minorHAnsi" w:cs="Arial"/>
          <w:bCs/>
          <w:szCs w:val="20"/>
        </w:rPr>
        <w:t>Therefore, in this report rates between two or more populations with confidence intervals that do not overlap have an incidence rate ratio calculated.  If both the confidence interval method and the incidence rate ratio prove to be statistically significant at the p &lt;0.05 level, these differences are determined to be confirmed and written as such in the body of the document.</w:t>
      </w:r>
    </w:p>
    <w:p w14:paraId="6D5C8103" w14:textId="562A8D04" w:rsidR="000F2FF9" w:rsidRPr="000E2549" w:rsidRDefault="000F2FF9" w:rsidP="000F2FF9">
      <w:pPr>
        <w:widowControl w:val="0"/>
        <w:spacing w:after="120" w:line="240" w:lineRule="auto"/>
        <w:rPr>
          <w:rFonts w:asciiTheme="minorHAnsi" w:hAnsiTheme="minorHAnsi" w:cs="Arial"/>
        </w:rPr>
      </w:pPr>
      <w:r w:rsidRPr="000E2549">
        <w:rPr>
          <w:rFonts w:asciiTheme="minorHAnsi" w:hAnsiTheme="minorHAnsi" w:cs="Arial"/>
        </w:rPr>
        <w:t xml:space="preserve">For this report, cancer frequencies and rates were suppressed according to the </w:t>
      </w:r>
      <w:r w:rsidR="00B77EA4" w:rsidRPr="000E2549">
        <w:rPr>
          <w:rFonts w:asciiTheme="minorHAnsi" w:hAnsiTheme="minorHAnsi" w:cs="Arial"/>
        </w:rPr>
        <w:t>C</w:t>
      </w:r>
      <w:r w:rsidR="00170277">
        <w:rPr>
          <w:rFonts w:asciiTheme="minorHAnsi" w:hAnsiTheme="minorHAnsi" w:cs="Arial"/>
        </w:rPr>
        <w:t xml:space="preserve">DC’s </w:t>
      </w:r>
      <w:r w:rsidR="00B77EA4" w:rsidRPr="000E2549">
        <w:rPr>
          <w:rFonts w:asciiTheme="minorHAnsi" w:hAnsiTheme="minorHAnsi" w:cs="Arial"/>
        </w:rPr>
        <w:t>United States Cancer Statistics Suppression of Rates</w:t>
      </w:r>
      <w:r w:rsidR="000E2549" w:rsidRPr="000E2549">
        <w:rPr>
          <w:rStyle w:val="FootnoteReference"/>
          <w:rFonts w:asciiTheme="minorHAnsi" w:hAnsiTheme="minorHAnsi" w:cs="Arial"/>
        </w:rPr>
        <w:footnoteReference w:id="9"/>
      </w:r>
      <w:r w:rsidR="00B77EA4" w:rsidRPr="000E2549">
        <w:rPr>
          <w:rFonts w:asciiTheme="minorHAnsi" w:hAnsiTheme="minorHAnsi" w:cs="Arial"/>
        </w:rPr>
        <w:t xml:space="preserve"> and</w:t>
      </w:r>
      <w:r w:rsidRPr="000E2549">
        <w:rPr>
          <w:rFonts w:asciiTheme="minorHAnsi" w:hAnsiTheme="minorHAnsi" w:cs="Arial"/>
        </w:rPr>
        <w:t xml:space="preserve">: </w:t>
      </w:r>
    </w:p>
    <w:p w14:paraId="10CE3F96" w14:textId="55D85656" w:rsidR="000F2FF9" w:rsidRPr="000E2549" w:rsidRDefault="000F2FF9" w:rsidP="00B21C83">
      <w:pPr>
        <w:pStyle w:val="Bullet"/>
        <w:numPr>
          <w:ilvl w:val="0"/>
          <w:numId w:val="13"/>
        </w:numPr>
        <w:spacing w:before="0" w:after="120"/>
        <w:ind w:left="360"/>
        <w:rPr>
          <w:rFonts w:asciiTheme="minorHAnsi" w:hAnsiTheme="minorHAnsi" w:cs="Arial"/>
          <w:sz w:val="22"/>
          <w:szCs w:val="22"/>
        </w:rPr>
      </w:pPr>
      <w:r w:rsidRPr="000E2549">
        <w:rPr>
          <w:rFonts w:asciiTheme="minorHAnsi" w:hAnsiTheme="minorHAnsi" w:cs="Arial"/>
          <w:sz w:val="22"/>
          <w:szCs w:val="22"/>
        </w:rPr>
        <w:t xml:space="preserve">Incidence and mortality frequencies of fewer </w:t>
      </w:r>
      <w:r w:rsidRPr="000E2549">
        <w:rPr>
          <w:rFonts w:asciiTheme="minorHAnsi" w:hAnsiTheme="minorHAnsi"/>
          <w:sz w:val="22"/>
          <w:szCs w:val="22"/>
        </w:rPr>
        <w:t xml:space="preserve">than </w:t>
      </w:r>
      <w:r w:rsidR="00C30F06" w:rsidRPr="000E2549">
        <w:rPr>
          <w:rFonts w:asciiTheme="minorHAnsi" w:hAnsiTheme="minorHAnsi"/>
          <w:sz w:val="22"/>
          <w:szCs w:val="22"/>
        </w:rPr>
        <w:t>1</w:t>
      </w:r>
      <w:r w:rsidR="00C22514" w:rsidRPr="000E2549">
        <w:rPr>
          <w:rFonts w:asciiTheme="minorHAnsi" w:hAnsiTheme="minorHAnsi"/>
          <w:sz w:val="22"/>
          <w:szCs w:val="22"/>
        </w:rPr>
        <w:t>6</w:t>
      </w:r>
      <w:r w:rsidR="00256AFD" w:rsidRPr="000E2549">
        <w:rPr>
          <w:rFonts w:asciiTheme="minorHAnsi" w:hAnsiTheme="minorHAnsi"/>
          <w:sz w:val="22"/>
          <w:szCs w:val="22"/>
        </w:rPr>
        <w:t xml:space="preserve"> </w:t>
      </w:r>
      <w:r w:rsidRPr="000E2549">
        <w:rPr>
          <w:rFonts w:asciiTheme="minorHAnsi" w:hAnsiTheme="minorHAnsi"/>
          <w:sz w:val="22"/>
          <w:szCs w:val="22"/>
        </w:rPr>
        <w:t xml:space="preserve">were not shown to protect patient privacy and confidentiality. </w:t>
      </w:r>
      <w:r w:rsidR="00B94D18" w:rsidRPr="000E2549">
        <w:rPr>
          <w:rFonts w:asciiTheme="minorHAnsi" w:hAnsiTheme="minorHAnsi"/>
          <w:sz w:val="22"/>
          <w:szCs w:val="22"/>
        </w:rPr>
        <w:t xml:space="preserve"> </w:t>
      </w:r>
      <w:r w:rsidRPr="000E2549">
        <w:rPr>
          <w:rFonts w:asciiTheme="minorHAnsi" w:hAnsiTheme="minorHAnsi"/>
          <w:sz w:val="22"/>
          <w:szCs w:val="22"/>
        </w:rPr>
        <w:t>In some instances, additional cells were suppressed so that one cannot deduce the actual count in the initially</w:t>
      </w:r>
      <w:r w:rsidR="00DE6A42" w:rsidRPr="000E2549">
        <w:rPr>
          <w:rFonts w:asciiTheme="minorHAnsi" w:hAnsiTheme="minorHAnsi"/>
          <w:sz w:val="22"/>
          <w:szCs w:val="22"/>
        </w:rPr>
        <w:t xml:space="preserve"> </w:t>
      </w:r>
      <w:r w:rsidRPr="000E2549">
        <w:rPr>
          <w:rFonts w:asciiTheme="minorHAnsi" w:hAnsiTheme="minorHAnsi"/>
          <w:sz w:val="22"/>
          <w:szCs w:val="22"/>
        </w:rPr>
        <w:t xml:space="preserve">suppressed cell. </w:t>
      </w:r>
      <w:r w:rsidR="00B94D18" w:rsidRPr="000E2549">
        <w:rPr>
          <w:rFonts w:asciiTheme="minorHAnsi" w:hAnsiTheme="minorHAnsi"/>
          <w:sz w:val="22"/>
          <w:szCs w:val="22"/>
        </w:rPr>
        <w:t xml:space="preserve"> </w:t>
      </w:r>
      <w:r w:rsidRPr="000E2549">
        <w:rPr>
          <w:rFonts w:asciiTheme="minorHAnsi" w:hAnsiTheme="minorHAnsi" w:cs="Arial"/>
          <w:sz w:val="22"/>
          <w:szCs w:val="22"/>
        </w:rPr>
        <w:t>Suppressing incidence and mortality statistics based on a small number of cancer cases or deaths helps protect patient privacy and confidentiality</w:t>
      </w:r>
      <w:r w:rsidR="005D6D6A" w:rsidRPr="000E2549">
        <w:rPr>
          <w:rFonts w:asciiTheme="minorHAnsi" w:hAnsiTheme="minorHAnsi" w:cs="Arial"/>
          <w:sz w:val="22"/>
          <w:szCs w:val="22"/>
        </w:rPr>
        <w:t>.</w:t>
      </w:r>
      <w:r w:rsidRPr="000E2549">
        <w:rPr>
          <w:rStyle w:val="FootnoteReference"/>
          <w:rFonts w:asciiTheme="minorHAnsi" w:hAnsiTheme="minorHAnsi" w:cs="Arial"/>
          <w:sz w:val="22"/>
          <w:szCs w:val="22"/>
        </w:rPr>
        <w:footnoteReference w:id="10"/>
      </w:r>
      <w:r w:rsidRPr="000E2549">
        <w:rPr>
          <w:rFonts w:asciiTheme="minorHAnsi" w:hAnsiTheme="minorHAnsi" w:cs="Arial"/>
          <w:sz w:val="22"/>
          <w:szCs w:val="22"/>
          <w:vertAlign w:val="superscript"/>
        </w:rPr>
        <w:t>,</w:t>
      </w:r>
      <w:r w:rsidRPr="000E2549">
        <w:rPr>
          <w:rStyle w:val="FootnoteReference"/>
          <w:rFonts w:asciiTheme="minorHAnsi" w:hAnsiTheme="minorHAnsi" w:cs="Arial"/>
          <w:sz w:val="22"/>
          <w:szCs w:val="22"/>
        </w:rPr>
        <w:footnoteReference w:id="11"/>
      </w:r>
      <w:r w:rsidRPr="000E2549">
        <w:rPr>
          <w:rFonts w:asciiTheme="minorHAnsi" w:hAnsiTheme="minorHAnsi" w:cs="Arial"/>
          <w:sz w:val="22"/>
          <w:szCs w:val="22"/>
          <w:vertAlign w:val="superscript"/>
        </w:rPr>
        <w:t xml:space="preserve">  </w:t>
      </w:r>
    </w:p>
    <w:p w14:paraId="536A1BC2" w14:textId="2A45C994" w:rsidR="000F2FF9" w:rsidRPr="000E2549" w:rsidRDefault="000F2FF9" w:rsidP="00B21C83">
      <w:pPr>
        <w:pStyle w:val="Bullet"/>
        <w:numPr>
          <w:ilvl w:val="0"/>
          <w:numId w:val="13"/>
        </w:numPr>
        <w:spacing w:before="0" w:after="0"/>
        <w:ind w:left="360"/>
        <w:rPr>
          <w:rFonts w:asciiTheme="minorHAnsi" w:hAnsiTheme="minorHAnsi" w:cs="Arial"/>
          <w:sz w:val="22"/>
          <w:szCs w:val="22"/>
        </w:rPr>
      </w:pPr>
      <w:r w:rsidRPr="000E2549">
        <w:rPr>
          <w:rFonts w:asciiTheme="minorHAnsi" w:hAnsiTheme="minorHAnsi"/>
          <w:sz w:val="22"/>
          <w:szCs w:val="22"/>
        </w:rPr>
        <w:t xml:space="preserve">Age-adjusted incidence and mortality rates based on fewer than </w:t>
      </w:r>
      <w:r w:rsidR="00C22514" w:rsidRPr="000E2549">
        <w:rPr>
          <w:rFonts w:asciiTheme="minorHAnsi" w:hAnsiTheme="minorHAnsi"/>
          <w:sz w:val="22"/>
          <w:szCs w:val="22"/>
        </w:rPr>
        <w:t>16</w:t>
      </w:r>
      <w:r w:rsidRPr="000E2549">
        <w:rPr>
          <w:rFonts w:asciiTheme="minorHAnsi" w:hAnsiTheme="minorHAnsi"/>
          <w:sz w:val="22"/>
          <w:szCs w:val="22"/>
        </w:rPr>
        <w:t xml:space="preserve"> cases or deaths were suppressed as they are inherently unstable and cannot be reliably interpreted.</w:t>
      </w:r>
    </w:p>
    <w:p w14:paraId="28B7B925" w14:textId="77777777" w:rsidR="000F2FF9" w:rsidRDefault="000F2FF9" w:rsidP="000F2FF9">
      <w:pPr>
        <w:spacing w:line="240" w:lineRule="auto"/>
        <w:rPr>
          <w:rFonts w:asciiTheme="minorHAnsi" w:hAnsiTheme="minorHAnsi"/>
          <w:sz w:val="20"/>
        </w:rPr>
      </w:pPr>
    </w:p>
    <w:p w14:paraId="4BD66DA4" w14:textId="77777777" w:rsidR="000F2FF9" w:rsidRDefault="000F2FF9" w:rsidP="000F2FF9">
      <w:pPr>
        <w:rPr>
          <w:rFonts w:asciiTheme="minorHAnsi" w:hAnsiTheme="minorHAnsi"/>
          <w:sz w:val="20"/>
        </w:rPr>
      </w:pPr>
    </w:p>
    <w:p w14:paraId="2B7C46DC" w14:textId="77777777" w:rsidR="000F2FF9" w:rsidRDefault="000F2FF9" w:rsidP="000F2FF9">
      <w:pPr>
        <w:rPr>
          <w:rFonts w:asciiTheme="minorHAnsi" w:hAnsiTheme="minorHAnsi"/>
          <w:sz w:val="20"/>
        </w:rPr>
      </w:pPr>
    </w:p>
    <w:p w14:paraId="59B71E6B" w14:textId="77777777" w:rsidR="000F2FF9" w:rsidRDefault="000F2FF9" w:rsidP="000F2FF9">
      <w:pPr>
        <w:rPr>
          <w:rFonts w:asciiTheme="minorHAnsi" w:hAnsiTheme="minorHAnsi"/>
          <w:sz w:val="20"/>
        </w:rPr>
      </w:pPr>
    </w:p>
    <w:p w14:paraId="77AD96C4" w14:textId="77777777" w:rsidR="004B6EA0" w:rsidRPr="00CE3F54" w:rsidRDefault="003E5C0A" w:rsidP="00B21C83">
      <w:pPr>
        <w:pStyle w:val="Heading1"/>
        <w:numPr>
          <w:ilvl w:val="0"/>
          <w:numId w:val="29"/>
        </w:numPr>
        <w:spacing w:line="240" w:lineRule="auto"/>
        <w:rPr>
          <w:rFonts w:asciiTheme="minorHAnsi" w:hAnsiTheme="minorHAnsi"/>
        </w:rPr>
      </w:pPr>
      <w:bookmarkStart w:id="22" w:name="_Toc84256557"/>
      <w:bookmarkStart w:id="23" w:name="_Toc179276351"/>
      <w:r w:rsidRPr="00CE3F54">
        <w:rPr>
          <w:rFonts w:asciiTheme="minorHAnsi" w:hAnsiTheme="minorHAnsi"/>
        </w:rPr>
        <w:lastRenderedPageBreak/>
        <w:t>All-Site Cancer</w:t>
      </w:r>
      <w:bookmarkEnd w:id="22"/>
      <w:bookmarkEnd w:id="23"/>
    </w:p>
    <w:p w14:paraId="597DDC5B" w14:textId="77777777" w:rsidR="003E5C0A" w:rsidRPr="00CE3F54" w:rsidRDefault="003E5C0A" w:rsidP="00E01C9E">
      <w:pPr>
        <w:pStyle w:val="Heading2"/>
      </w:pPr>
      <w:r w:rsidRPr="000E2549">
        <w:t>Incidence</w:t>
      </w:r>
    </w:p>
    <w:tbl>
      <w:tblPr>
        <w:tblStyle w:val="ColorfulList-Accent2"/>
        <w:tblW w:w="0" w:type="auto"/>
        <w:jc w:val="center"/>
        <w:tblLook w:val="04A0" w:firstRow="1" w:lastRow="0" w:firstColumn="1" w:lastColumn="0" w:noHBand="0" w:noVBand="1"/>
      </w:tblPr>
      <w:tblGrid>
        <w:gridCol w:w="8820"/>
      </w:tblGrid>
      <w:tr w:rsidR="003E5C0A" w:rsidRPr="00CE3F54" w14:paraId="36DE40EF" w14:textId="77777777" w:rsidTr="004B6EA0">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8820" w:type="dxa"/>
          </w:tcPr>
          <w:p w14:paraId="4C7B7257" w14:textId="4CD9782A" w:rsidR="003E5C0A" w:rsidRPr="00CE3F54" w:rsidRDefault="00BA2491" w:rsidP="002E35B2">
            <w:pPr>
              <w:jc w:val="center"/>
              <w:rPr>
                <w:rFonts w:asciiTheme="minorHAnsi" w:hAnsiTheme="minorHAnsi"/>
              </w:rPr>
            </w:pPr>
            <w:r w:rsidRPr="0004480E">
              <w:rPr>
                <w:rFonts w:asciiTheme="minorHAnsi" w:hAnsiTheme="minorHAnsi"/>
              </w:rPr>
              <w:t>For 201</w:t>
            </w:r>
            <w:r w:rsidR="007561E8">
              <w:rPr>
                <w:rFonts w:asciiTheme="minorHAnsi" w:hAnsiTheme="minorHAnsi"/>
              </w:rPr>
              <w:t>7</w:t>
            </w:r>
            <w:r w:rsidRPr="0004480E">
              <w:rPr>
                <w:rFonts w:asciiTheme="minorHAnsi" w:hAnsiTheme="minorHAnsi"/>
              </w:rPr>
              <w:t>-20</w:t>
            </w:r>
            <w:r w:rsidR="00E621C0">
              <w:rPr>
                <w:rFonts w:asciiTheme="minorHAnsi" w:hAnsiTheme="minorHAnsi"/>
              </w:rPr>
              <w:t>2</w:t>
            </w:r>
            <w:r w:rsidR="00967C53">
              <w:rPr>
                <w:rFonts w:asciiTheme="minorHAnsi" w:hAnsiTheme="minorHAnsi"/>
              </w:rPr>
              <w:t>1</w:t>
            </w:r>
            <w:r w:rsidRPr="0004480E">
              <w:rPr>
                <w:rFonts w:asciiTheme="minorHAnsi" w:hAnsiTheme="minorHAnsi"/>
              </w:rPr>
              <w:t xml:space="preserve">, Delaware ranked </w:t>
            </w:r>
            <w:r w:rsidR="007561E8">
              <w:rPr>
                <w:rFonts w:asciiTheme="minorHAnsi" w:hAnsiTheme="minorHAnsi"/>
              </w:rPr>
              <w:t>15</w:t>
            </w:r>
            <w:r w:rsidR="007561E8" w:rsidRPr="007561E8">
              <w:rPr>
                <w:rFonts w:asciiTheme="minorHAnsi" w:hAnsiTheme="minorHAnsi"/>
                <w:vertAlign w:val="superscript"/>
              </w:rPr>
              <w:t>th</w:t>
            </w:r>
            <w:r w:rsidRPr="00932BD1">
              <w:rPr>
                <w:rFonts w:asciiTheme="minorHAnsi" w:hAnsiTheme="minorHAnsi"/>
                <w:vertAlign w:val="superscript"/>
              </w:rPr>
              <w:t xml:space="preserve"> </w:t>
            </w:r>
            <w:r w:rsidRPr="0004480E">
              <w:rPr>
                <w:rFonts w:asciiTheme="minorHAnsi" w:hAnsiTheme="minorHAnsi"/>
              </w:rPr>
              <w:t>in the U.S. for all-site cancer incidence (</w:t>
            </w:r>
            <w:r w:rsidR="007561E8">
              <w:rPr>
                <w:rFonts w:asciiTheme="minorHAnsi" w:hAnsiTheme="minorHAnsi"/>
              </w:rPr>
              <w:t>20</w:t>
            </w:r>
            <w:r w:rsidRPr="0004480E">
              <w:rPr>
                <w:rFonts w:asciiTheme="minorHAnsi" w:hAnsiTheme="minorHAnsi"/>
                <w:vertAlign w:val="superscript"/>
              </w:rPr>
              <w:t>th</w:t>
            </w:r>
            <w:r w:rsidRPr="0004480E">
              <w:rPr>
                <w:rFonts w:asciiTheme="minorHAnsi" w:hAnsiTheme="minorHAnsi"/>
              </w:rPr>
              <w:t xml:space="preserve"> in 201</w:t>
            </w:r>
            <w:r w:rsidR="00967C53">
              <w:rPr>
                <w:rFonts w:asciiTheme="minorHAnsi" w:hAnsiTheme="minorHAnsi"/>
              </w:rPr>
              <w:t>6</w:t>
            </w:r>
            <w:r w:rsidRPr="0004480E">
              <w:rPr>
                <w:rFonts w:asciiTheme="minorHAnsi" w:hAnsiTheme="minorHAnsi"/>
              </w:rPr>
              <w:t>-20</w:t>
            </w:r>
            <w:r w:rsidR="00967C53">
              <w:rPr>
                <w:rFonts w:asciiTheme="minorHAnsi" w:hAnsiTheme="minorHAnsi"/>
              </w:rPr>
              <w:t>20</w:t>
            </w:r>
            <w:r w:rsidRPr="0004480E">
              <w:rPr>
                <w:rFonts w:asciiTheme="minorHAnsi" w:hAnsiTheme="minorHAnsi"/>
              </w:rPr>
              <w:t xml:space="preserve">); males ranked </w:t>
            </w:r>
            <w:r w:rsidRPr="006D3770">
              <w:rPr>
                <w:rFonts w:asciiTheme="minorHAnsi" w:hAnsiTheme="minorHAnsi"/>
              </w:rPr>
              <w:t>1</w:t>
            </w:r>
            <w:r w:rsidR="000760F7">
              <w:rPr>
                <w:rFonts w:asciiTheme="minorHAnsi" w:hAnsiTheme="minorHAnsi"/>
              </w:rPr>
              <w:t>6</w:t>
            </w:r>
            <w:r w:rsidRPr="006D3770">
              <w:rPr>
                <w:rFonts w:asciiTheme="minorHAnsi" w:hAnsiTheme="minorHAnsi"/>
                <w:vertAlign w:val="superscript"/>
              </w:rPr>
              <w:t>th</w:t>
            </w:r>
            <w:r w:rsidRPr="0004480E">
              <w:rPr>
                <w:rFonts w:asciiTheme="minorHAnsi" w:hAnsiTheme="minorHAnsi"/>
              </w:rPr>
              <w:t xml:space="preserve"> (</w:t>
            </w:r>
            <w:r w:rsidR="007D64EC">
              <w:rPr>
                <w:rFonts w:asciiTheme="minorHAnsi" w:hAnsiTheme="minorHAnsi"/>
              </w:rPr>
              <w:t>1</w:t>
            </w:r>
            <w:r w:rsidR="000760F7">
              <w:rPr>
                <w:rFonts w:asciiTheme="minorHAnsi" w:hAnsiTheme="minorHAnsi"/>
              </w:rPr>
              <w:t>6</w:t>
            </w:r>
            <w:r w:rsidRPr="0004480E">
              <w:rPr>
                <w:rFonts w:asciiTheme="minorHAnsi" w:hAnsiTheme="minorHAnsi"/>
                <w:vertAlign w:val="superscript"/>
              </w:rPr>
              <w:t>th</w:t>
            </w:r>
            <w:r w:rsidRPr="0004480E">
              <w:rPr>
                <w:rFonts w:asciiTheme="minorHAnsi" w:hAnsiTheme="minorHAnsi"/>
              </w:rPr>
              <w:t xml:space="preserve"> in 201</w:t>
            </w:r>
            <w:r w:rsidR="000760F7">
              <w:rPr>
                <w:rFonts w:asciiTheme="minorHAnsi" w:hAnsiTheme="minorHAnsi"/>
              </w:rPr>
              <w:t>6</w:t>
            </w:r>
            <w:r w:rsidRPr="0004480E">
              <w:rPr>
                <w:rFonts w:asciiTheme="minorHAnsi" w:hAnsiTheme="minorHAnsi"/>
              </w:rPr>
              <w:t>-20</w:t>
            </w:r>
            <w:r w:rsidR="000760F7">
              <w:rPr>
                <w:rFonts w:asciiTheme="minorHAnsi" w:hAnsiTheme="minorHAnsi"/>
              </w:rPr>
              <w:t>20</w:t>
            </w:r>
            <w:r w:rsidRPr="0004480E">
              <w:rPr>
                <w:rFonts w:asciiTheme="minorHAnsi" w:hAnsiTheme="minorHAnsi"/>
              </w:rPr>
              <w:t xml:space="preserve">) and females ranked </w:t>
            </w:r>
            <w:r w:rsidR="002773E0">
              <w:rPr>
                <w:rFonts w:asciiTheme="minorHAnsi" w:hAnsiTheme="minorHAnsi"/>
              </w:rPr>
              <w:t>2</w:t>
            </w:r>
            <w:r w:rsidR="0048712D">
              <w:rPr>
                <w:rFonts w:asciiTheme="minorHAnsi" w:hAnsiTheme="minorHAnsi"/>
              </w:rPr>
              <w:t>6</w:t>
            </w:r>
            <w:r w:rsidRPr="002773E0">
              <w:rPr>
                <w:rFonts w:asciiTheme="minorHAnsi" w:hAnsiTheme="minorHAnsi"/>
                <w:vertAlign w:val="superscript"/>
              </w:rPr>
              <w:t>th</w:t>
            </w:r>
            <w:r w:rsidRPr="002773E0">
              <w:rPr>
                <w:rFonts w:asciiTheme="minorHAnsi" w:hAnsiTheme="minorHAnsi"/>
              </w:rPr>
              <w:t xml:space="preserve"> (</w:t>
            </w:r>
            <w:r w:rsidRPr="0004480E">
              <w:rPr>
                <w:rFonts w:asciiTheme="minorHAnsi" w:hAnsiTheme="minorHAnsi"/>
              </w:rPr>
              <w:t>1</w:t>
            </w:r>
            <w:r w:rsidR="0048712D">
              <w:rPr>
                <w:rFonts w:asciiTheme="minorHAnsi" w:hAnsiTheme="minorHAnsi"/>
              </w:rPr>
              <w:t>9</w:t>
            </w:r>
            <w:r w:rsidRPr="0004480E">
              <w:rPr>
                <w:rFonts w:asciiTheme="minorHAnsi" w:hAnsiTheme="minorHAnsi"/>
                <w:vertAlign w:val="superscript"/>
              </w:rPr>
              <w:t>th</w:t>
            </w:r>
            <w:r w:rsidRPr="0004480E">
              <w:rPr>
                <w:rFonts w:asciiTheme="minorHAnsi" w:hAnsiTheme="minorHAnsi"/>
              </w:rPr>
              <w:t xml:space="preserve"> in 201</w:t>
            </w:r>
            <w:r w:rsidR="0048712D">
              <w:rPr>
                <w:rFonts w:asciiTheme="minorHAnsi" w:hAnsiTheme="minorHAnsi"/>
              </w:rPr>
              <w:t>6</w:t>
            </w:r>
            <w:r w:rsidRPr="0004480E">
              <w:rPr>
                <w:rFonts w:asciiTheme="minorHAnsi" w:hAnsiTheme="minorHAnsi"/>
              </w:rPr>
              <w:t>-20</w:t>
            </w:r>
            <w:r w:rsidR="0048712D">
              <w:rPr>
                <w:rFonts w:asciiTheme="minorHAnsi" w:hAnsiTheme="minorHAnsi"/>
              </w:rPr>
              <w:t>20</w:t>
            </w:r>
            <w:r w:rsidRPr="0004480E">
              <w:rPr>
                <w:rFonts w:asciiTheme="minorHAnsi" w:hAnsiTheme="minorHAnsi"/>
              </w:rPr>
              <w:t>)</w:t>
            </w:r>
            <w:bookmarkStart w:id="24" w:name="_Ref445985453"/>
            <w:r w:rsidRPr="0004480E">
              <w:rPr>
                <w:rStyle w:val="FootnoteReference"/>
                <w:rFonts w:asciiTheme="minorHAnsi" w:hAnsiTheme="minorHAnsi"/>
              </w:rPr>
              <w:footnoteReference w:id="12"/>
            </w:r>
            <w:bookmarkEnd w:id="24"/>
            <w:r w:rsidRPr="0004480E">
              <w:rPr>
                <w:rFonts w:asciiTheme="minorHAnsi" w:hAnsiTheme="minorHAnsi"/>
              </w:rPr>
              <w:t>.</w:t>
            </w:r>
          </w:p>
        </w:tc>
      </w:tr>
    </w:tbl>
    <w:p w14:paraId="076DD5B0" w14:textId="2E3BBD06" w:rsidR="003E5C0A" w:rsidRPr="00CE3F54" w:rsidRDefault="00D403E9" w:rsidP="00DF3257">
      <w:pPr>
        <w:pStyle w:val="StyleNew1"/>
        <w:spacing w:before="0"/>
        <w:rPr>
          <w:rFonts w:asciiTheme="minorHAnsi" w:hAnsiTheme="minorHAnsi"/>
        </w:rPr>
      </w:pPr>
      <w:r w:rsidRPr="000E2549">
        <w:rPr>
          <w:rFonts w:asciiTheme="minorHAnsi" w:hAnsiTheme="minorHAnsi"/>
        </w:rPr>
        <w:t>201</w:t>
      </w:r>
      <w:r w:rsidR="00F035E9">
        <w:rPr>
          <w:rFonts w:asciiTheme="minorHAnsi" w:hAnsiTheme="minorHAnsi"/>
        </w:rPr>
        <w:t>7</w:t>
      </w:r>
      <w:r w:rsidRPr="000E2549">
        <w:rPr>
          <w:rFonts w:asciiTheme="minorHAnsi" w:hAnsiTheme="minorHAnsi"/>
        </w:rPr>
        <w:t>-20</w:t>
      </w:r>
      <w:r w:rsidR="00002A2D">
        <w:rPr>
          <w:rFonts w:asciiTheme="minorHAnsi" w:hAnsiTheme="minorHAnsi"/>
        </w:rPr>
        <w:t>2</w:t>
      </w:r>
      <w:r w:rsidR="00F035E9">
        <w:rPr>
          <w:rFonts w:asciiTheme="minorHAnsi" w:hAnsiTheme="minorHAnsi"/>
        </w:rPr>
        <w:t>1</w:t>
      </w:r>
      <w:r w:rsidR="003E5C0A" w:rsidRPr="00CE3F54">
        <w:rPr>
          <w:rFonts w:asciiTheme="minorHAnsi" w:hAnsiTheme="minorHAnsi"/>
        </w:rPr>
        <w:t xml:space="preserve"> Data </w:t>
      </w:r>
    </w:p>
    <w:p w14:paraId="6B3A2811" w14:textId="31303F3C" w:rsidR="00821945" w:rsidRPr="000E2549" w:rsidRDefault="003E5C0A" w:rsidP="00DF3257">
      <w:pPr>
        <w:pStyle w:val="Caption"/>
        <w:spacing w:after="0" w:line="240" w:lineRule="auto"/>
        <w:jc w:val="center"/>
        <w:rPr>
          <w:rFonts w:asciiTheme="minorHAnsi" w:hAnsiTheme="minorHAnsi"/>
          <w:b/>
          <w:sz w:val="22"/>
        </w:rPr>
      </w:pPr>
      <w:r w:rsidRPr="000E2549">
        <w:rPr>
          <w:rFonts w:asciiTheme="minorHAnsi" w:hAnsiTheme="minorHAnsi"/>
          <w:b/>
          <w:sz w:val="22"/>
        </w:rPr>
        <w:t xml:space="preserve">Table </w:t>
      </w:r>
      <w:r w:rsidR="001A19D6" w:rsidRPr="000E2549">
        <w:rPr>
          <w:rFonts w:asciiTheme="minorHAnsi" w:hAnsiTheme="minorHAnsi"/>
          <w:b/>
          <w:sz w:val="22"/>
        </w:rPr>
        <w:fldChar w:fldCharType="begin"/>
      </w:r>
      <w:r w:rsidR="001A19D6" w:rsidRPr="000E2549">
        <w:rPr>
          <w:rFonts w:asciiTheme="minorHAnsi" w:hAnsiTheme="minorHAnsi"/>
          <w:b/>
          <w:sz w:val="22"/>
        </w:rPr>
        <w:instrText xml:space="preserve"> STYLEREF 1 \s </w:instrText>
      </w:r>
      <w:r w:rsidR="001A19D6" w:rsidRPr="000E2549">
        <w:rPr>
          <w:rFonts w:asciiTheme="minorHAnsi" w:hAnsiTheme="minorHAnsi"/>
          <w:b/>
          <w:sz w:val="22"/>
        </w:rPr>
        <w:fldChar w:fldCharType="separate"/>
      </w:r>
      <w:r w:rsidR="006C24CC">
        <w:rPr>
          <w:rFonts w:asciiTheme="minorHAnsi" w:hAnsiTheme="minorHAnsi"/>
          <w:b/>
          <w:noProof/>
          <w:sz w:val="22"/>
        </w:rPr>
        <w:t>2</w:t>
      </w:r>
      <w:r w:rsidR="001A19D6" w:rsidRPr="000E2549">
        <w:rPr>
          <w:rFonts w:asciiTheme="minorHAnsi" w:hAnsiTheme="minorHAnsi"/>
          <w:b/>
          <w:sz w:val="22"/>
        </w:rPr>
        <w:fldChar w:fldCharType="end"/>
      </w:r>
      <w:r w:rsidR="001A19D6" w:rsidRPr="000E2549">
        <w:rPr>
          <w:rFonts w:asciiTheme="minorHAnsi" w:hAnsiTheme="minorHAnsi"/>
          <w:b/>
          <w:sz w:val="22"/>
        </w:rPr>
        <w:noBreakHyphen/>
      </w:r>
      <w:r w:rsidR="001A19D6" w:rsidRPr="000E2549">
        <w:rPr>
          <w:rFonts w:asciiTheme="minorHAnsi" w:hAnsiTheme="minorHAnsi"/>
          <w:b/>
          <w:sz w:val="22"/>
        </w:rPr>
        <w:fldChar w:fldCharType="begin"/>
      </w:r>
      <w:r w:rsidR="001A19D6" w:rsidRPr="000E2549">
        <w:rPr>
          <w:rFonts w:asciiTheme="minorHAnsi" w:hAnsiTheme="minorHAnsi"/>
          <w:b/>
          <w:sz w:val="22"/>
        </w:rPr>
        <w:instrText xml:space="preserve"> SEQ Table \* ARABIC \s 1 </w:instrText>
      </w:r>
      <w:r w:rsidR="001A19D6" w:rsidRPr="000E2549">
        <w:rPr>
          <w:rFonts w:asciiTheme="minorHAnsi" w:hAnsiTheme="minorHAnsi"/>
          <w:b/>
          <w:sz w:val="22"/>
        </w:rPr>
        <w:fldChar w:fldCharType="separate"/>
      </w:r>
      <w:r w:rsidR="006C24CC">
        <w:rPr>
          <w:rFonts w:asciiTheme="minorHAnsi" w:hAnsiTheme="minorHAnsi"/>
          <w:b/>
          <w:noProof/>
          <w:sz w:val="22"/>
        </w:rPr>
        <w:t>1</w:t>
      </w:r>
      <w:r w:rsidR="001A19D6" w:rsidRPr="000E2549">
        <w:rPr>
          <w:rFonts w:asciiTheme="minorHAnsi" w:hAnsiTheme="minorHAnsi"/>
          <w:b/>
          <w:sz w:val="22"/>
        </w:rPr>
        <w:fldChar w:fldCharType="end"/>
      </w:r>
      <w:r w:rsidRPr="000E2549">
        <w:rPr>
          <w:rFonts w:asciiTheme="minorHAnsi" w:hAnsiTheme="minorHAnsi"/>
          <w:b/>
          <w:sz w:val="22"/>
        </w:rPr>
        <w:t xml:space="preserve">: Number of All-site CANCER CASES, </w:t>
      </w:r>
      <w:r w:rsidR="00315A11" w:rsidRPr="000E2549">
        <w:rPr>
          <w:rFonts w:asciiTheme="minorHAnsi" w:hAnsiTheme="minorHAnsi"/>
          <w:b/>
          <w:sz w:val="22"/>
        </w:rPr>
        <w:t>BY SEX AND RACE/</w:t>
      </w:r>
      <w:proofErr w:type="gramStart"/>
      <w:r w:rsidR="00315A11" w:rsidRPr="000E2549">
        <w:rPr>
          <w:rFonts w:asciiTheme="minorHAnsi" w:hAnsiTheme="minorHAnsi"/>
          <w:b/>
          <w:sz w:val="22"/>
        </w:rPr>
        <w:t>ETHNICITY</w:t>
      </w:r>
      <w:r w:rsidRPr="000E2549">
        <w:rPr>
          <w:rFonts w:asciiTheme="minorHAnsi" w:hAnsiTheme="minorHAnsi"/>
          <w:b/>
          <w:sz w:val="22"/>
        </w:rPr>
        <w:t>;</w:t>
      </w:r>
      <w:proofErr w:type="gramEnd"/>
      <w:r w:rsidRPr="000E2549">
        <w:rPr>
          <w:rFonts w:asciiTheme="minorHAnsi" w:hAnsiTheme="minorHAnsi"/>
          <w:b/>
          <w:sz w:val="22"/>
        </w:rPr>
        <w:t xml:space="preserve"> </w:t>
      </w:r>
    </w:p>
    <w:p w14:paraId="1BAB71A5" w14:textId="4753DB59" w:rsidR="003E5C0A" w:rsidRPr="00CE3F54" w:rsidRDefault="003E5C0A" w:rsidP="000C02FF">
      <w:pPr>
        <w:pStyle w:val="Caption"/>
        <w:spacing w:after="120" w:line="240" w:lineRule="auto"/>
        <w:jc w:val="center"/>
        <w:rPr>
          <w:rFonts w:asciiTheme="minorHAnsi" w:hAnsiTheme="minorHAnsi"/>
          <w:b/>
          <w:sz w:val="22"/>
        </w:rPr>
      </w:pPr>
      <w:r w:rsidRPr="000E2549">
        <w:rPr>
          <w:rFonts w:asciiTheme="minorHAnsi" w:hAnsiTheme="minorHAnsi"/>
          <w:b/>
          <w:sz w:val="22"/>
        </w:rPr>
        <w:t xml:space="preserve">Delaware and Counties, </w:t>
      </w:r>
      <w:r w:rsidR="00D403E9" w:rsidRPr="000E2549">
        <w:rPr>
          <w:rFonts w:asciiTheme="minorHAnsi" w:hAnsiTheme="minorHAnsi"/>
          <w:b/>
          <w:sz w:val="22"/>
        </w:rPr>
        <w:t>201</w:t>
      </w:r>
      <w:r w:rsidR="0033674C">
        <w:rPr>
          <w:rFonts w:asciiTheme="minorHAnsi" w:hAnsiTheme="minorHAnsi"/>
          <w:b/>
          <w:sz w:val="22"/>
        </w:rPr>
        <w:t>7</w:t>
      </w:r>
      <w:r w:rsidR="00D403E9" w:rsidRPr="000E2549">
        <w:rPr>
          <w:rFonts w:asciiTheme="minorHAnsi" w:hAnsiTheme="minorHAnsi"/>
          <w:b/>
          <w:sz w:val="22"/>
        </w:rPr>
        <w:t>-20</w:t>
      </w:r>
      <w:r w:rsidR="00E62E79">
        <w:rPr>
          <w:rFonts w:asciiTheme="minorHAnsi" w:hAnsiTheme="minorHAnsi"/>
          <w:b/>
          <w:sz w:val="22"/>
        </w:rPr>
        <w:t>2</w:t>
      </w:r>
      <w:r w:rsidR="0033674C">
        <w:rPr>
          <w:rFonts w:asciiTheme="minorHAnsi" w:hAnsiTheme="minorHAnsi"/>
          <w:b/>
          <w:sz w:val="22"/>
        </w:rPr>
        <w:t>1</w:t>
      </w:r>
    </w:p>
    <w:tbl>
      <w:tblPr>
        <w:tblStyle w:val="MediumGrid1-Accent2"/>
        <w:tblW w:w="9900" w:type="dxa"/>
        <w:tblInd w:w="-10" w:type="dxa"/>
        <w:tblLayout w:type="fixed"/>
        <w:tblLook w:val="04A0" w:firstRow="1" w:lastRow="0" w:firstColumn="1" w:lastColumn="0" w:noHBand="0" w:noVBand="1"/>
      </w:tblPr>
      <w:tblGrid>
        <w:gridCol w:w="1144"/>
        <w:gridCol w:w="763"/>
        <w:gridCol w:w="793"/>
        <w:gridCol w:w="810"/>
        <w:gridCol w:w="720"/>
        <w:gridCol w:w="729"/>
        <w:gridCol w:w="801"/>
        <w:gridCol w:w="630"/>
        <w:gridCol w:w="630"/>
        <w:gridCol w:w="810"/>
        <w:gridCol w:w="630"/>
        <w:gridCol w:w="630"/>
        <w:gridCol w:w="810"/>
      </w:tblGrid>
      <w:tr w:rsidR="00F76124" w:rsidRPr="0047062F" w14:paraId="77D8E799" w14:textId="22A1EB8F" w:rsidTr="00B51C92">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144" w:type="dxa"/>
          </w:tcPr>
          <w:p w14:paraId="1B337CF8" w14:textId="77777777" w:rsidR="00A96426" w:rsidRPr="00554873" w:rsidRDefault="00A96426" w:rsidP="000C02FF">
            <w:pPr>
              <w:rPr>
                <w:rFonts w:asciiTheme="minorHAnsi" w:hAnsiTheme="minorHAnsi" w:cstheme="minorHAnsi"/>
                <w:sz w:val="18"/>
                <w:szCs w:val="18"/>
              </w:rPr>
            </w:pPr>
          </w:p>
        </w:tc>
        <w:tc>
          <w:tcPr>
            <w:tcW w:w="2366" w:type="dxa"/>
            <w:gridSpan w:val="3"/>
          </w:tcPr>
          <w:p w14:paraId="214DE826" w14:textId="77777777" w:rsidR="00A96426" w:rsidRPr="00554873" w:rsidRDefault="00A96426" w:rsidP="000C02F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54873">
              <w:rPr>
                <w:rFonts w:asciiTheme="minorHAnsi" w:hAnsiTheme="minorHAnsi" w:cstheme="minorHAnsi"/>
                <w:sz w:val="18"/>
                <w:szCs w:val="18"/>
              </w:rPr>
              <w:t>All Races</w:t>
            </w:r>
          </w:p>
        </w:tc>
        <w:tc>
          <w:tcPr>
            <w:tcW w:w="2250" w:type="dxa"/>
            <w:gridSpan w:val="3"/>
          </w:tcPr>
          <w:p w14:paraId="44CFBA2B" w14:textId="028E5CE1" w:rsidR="00A96426" w:rsidRPr="00554873" w:rsidRDefault="00FF4305" w:rsidP="00A0765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54873">
              <w:rPr>
                <w:rFonts w:asciiTheme="minorHAnsi" w:hAnsiTheme="minorHAnsi" w:cstheme="minorHAnsi"/>
                <w:sz w:val="18"/>
                <w:szCs w:val="18"/>
              </w:rPr>
              <w:t xml:space="preserve">Non-Hispanic </w:t>
            </w:r>
            <w:r w:rsidR="00BB3D69">
              <w:rPr>
                <w:rFonts w:asciiTheme="minorHAnsi" w:hAnsiTheme="minorHAnsi" w:cstheme="minorHAnsi"/>
                <w:sz w:val="18"/>
                <w:szCs w:val="18"/>
              </w:rPr>
              <w:t>White</w:t>
            </w:r>
          </w:p>
        </w:tc>
        <w:tc>
          <w:tcPr>
            <w:tcW w:w="2070" w:type="dxa"/>
            <w:gridSpan w:val="3"/>
          </w:tcPr>
          <w:p w14:paraId="7739600A" w14:textId="77777777" w:rsidR="00A07658" w:rsidRPr="00554873" w:rsidRDefault="00FF4305" w:rsidP="00A0765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54873">
              <w:rPr>
                <w:rFonts w:asciiTheme="minorHAnsi" w:hAnsiTheme="minorHAnsi" w:cstheme="minorHAnsi"/>
                <w:sz w:val="18"/>
                <w:szCs w:val="18"/>
              </w:rPr>
              <w:t xml:space="preserve">Non-Hispanic </w:t>
            </w:r>
          </w:p>
          <w:p w14:paraId="7025DE95" w14:textId="733D472A" w:rsidR="00A96426" w:rsidRPr="00554873" w:rsidRDefault="00BB3D69" w:rsidP="00A0765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Black</w:t>
            </w:r>
          </w:p>
        </w:tc>
        <w:tc>
          <w:tcPr>
            <w:tcW w:w="2070" w:type="dxa"/>
            <w:gridSpan w:val="3"/>
          </w:tcPr>
          <w:p w14:paraId="38D68CE7" w14:textId="494CF275" w:rsidR="00A96426" w:rsidRPr="00554873" w:rsidRDefault="00A96426" w:rsidP="000C02F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54873">
              <w:rPr>
                <w:rFonts w:asciiTheme="minorHAnsi" w:hAnsiTheme="minorHAnsi" w:cstheme="minorHAnsi"/>
                <w:sz w:val="18"/>
                <w:szCs w:val="18"/>
              </w:rPr>
              <w:t>Hispanic</w:t>
            </w:r>
          </w:p>
        </w:tc>
      </w:tr>
      <w:tr w:rsidR="00B51C92" w:rsidRPr="0047062F" w14:paraId="648F3CCC" w14:textId="19E841BD" w:rsidTr="00B51C9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144" w:type="dxa"/>
          </w:tcPr>
          <w:p w14:paraId="5739C0F5" w14:textId="77777777" w:rsidR="00A96426" w:rsidRPr="00554873" w:rsidRDefault="00A96426" w:rsidP="00A96426">
            <w:pPr>
              <w:rPr>
                <w:rFonts w:asciiTheme="minorHAnsi" w:hAnsiTheme="minorHAnsi" w:cstheme="minorHAnsi"/>
                <w:sz w:val="18"/>
                <w:szCs w:val="18"/>
              </w:rPr>
            </w:pPr>
          </w:p>
        </w:tc>
        <w:tc>
          <w:tcPr>
            <w:tcW w:w="763" w:type="dxa"/>
          </w:tcPr>
          <w:p w14:paraId="5DAC51E4" w14:textId="77777777" w:rsidR="00A96426" w:rsidRPr="00554873" w:rsidRDefault="00A96426" w:rsidP="00A964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All</w:t>
            </w:r>
          </w:p>
        </w:tc>
        <w:tc>
          <w:tcPr>
            <w:tcW w:w="793" w:type="dxa"/>
          </w:tcPr>
          <w:p w14:paraId="36CE7E55" w14:textId="77777777" w:rsidR="00A96426" w:rsidRPr="00554873" w:rsidRDefault="00A96426" w:rsidP="00A964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Male</w:t>
            </w:r>
          </w:p>
        </w:tc>
        <w:tc>
          <w:tcPr>
            <w:tcW w:w="810" w:type="dxa"/>
          </w:tcPr>
          <w:p w14:paraId="2AD148F0" w14:textId="77777777" w:rsidR="00A96426" w:rsidRPr="00554873" w:rsidRDefault="00A96426" w:rsidP="00A964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Female</w:t>
            </w:r>
          </w:p>
        </w:tc>
        <w:tc>
          <w:tcPr>
            <w:tcW w:w="720" w:type="dxa"/>
          </w:tcPr>
          <w:p w14:paraId="39E7F2A9" w14:textId="77777777" w:rsidR="00A96426" w:rsidRPr="00554873" w:rsidRDefault="00A96426" w:rsidP="00A964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All</w:t>
            </w:r>
          </w:p>
        </w:tc>
        <w:tc>
          <w:tcPr>
            <w:tcW w:w="729" w:type="dxa"/>
          </w:tcPr>
          <w:p w14:paraId="1254FE36" w14:textId="77777777" w:rsidR="00A96426" w:rsidRPr="00554873" w:rsidRDefault="00A96426" w:rsidP="00A964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Male</w:t>
            </w:r>
          </w:p>
        </w:tc>
        <w:tc>
          <w:tcPr>
            <w:tcW w:w="801" w:type="dxa"/>
          </w:tcPr>
          <w:p w14:paraId="61A915A9" w14:textId="77777777" w:rsidR="00A96426" w:rsidRPr="00554873" w:rsidRDefault="00A96426" w:rsidP="00A964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Female</w:t>
            </w:r>
          </w:p>
        </w:tc>
        <w:tc>
          <w:tcPr>
            <w:tcW w:w="630" w:type="dxa"/>
          </w:tcPr>
          <w:p w14:paraId="2EB0EF81" w14:textId="77777777" w:rsidR="00A96426" w:rsidRPr="00554873" w:rsidRDefault="00A96426" w:rsidP="00A964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All</w:t>
            </w:r>
          </w:p>
        </w:tc>
        <w:tc>
          <w:tcPr>
            <w:tcW w:w="630" w:type="dxa"/>
          </w:tcPr>
          <w:p w14:paraId="54E0EC0C" w14:textId="77777777" w:rsidR="00A96426" w:rsidRPr="00554873" w:rsidRDefault="00A96426" w:rsidP="00A964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Male</w:t>
            </w:r>
          </w:p>
        </w:tc>
        <w:tc>
          <w:tcPr>
            <w:tcW w:w="810" w:type="dxa"/>
          </w:tcPr>
          <w:p w14:paraId="53CC6D70" w14:textId="77777777" w:rsidR="00A96426" w:rsidRPr="00554873" w:rsidRDefault="00A96426" w:rsidP="00A964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Female</w:t>
            </w:r>
          </w:p>
        </w:tc>
        <w:tc>
          <w:tcPr>
            <w:tcW w:w="630" w:type="dxa"/>
          </w:tcPr>
          <w:p w14:paraId="3422AF71" w14:textId="5B7AC4ED" w:rsidR="00A96426" w:rsidRPr="00554873" w:rsidRDefault="00A96426" w:rsidP="00A964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All</w:t>
            </w:r>
          </w:p>
        </w:tc>
        <w:tc>
          <w:tcPr>
            <w:tcW w:w="630" w:type="dxa"/>
          </w:tcPr>
          <w:p w14:paraId="6931E36A" w14:textId="0FE19995" w:rsidR="00A96426" w:rsidRPr="00554873" w:rsidRDefault="00A96426" w:rsidP="00A964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Male</w:t>
            </w:r>
          </w:p>
        </w:tc>
        <w:tc>
          <w:tcPr>
            <w:tcW w:w="810" w:type="dxa"/>
          </w:tcPr>
          <w:p w14:paraId="7E2EBA49" w14:textId="5CCDA8AB" w:rsidR="00A96426" w:rsidRPr="00554873" w:rsidRDefault="00A96426" w:rsidP="00A964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Female</w:t>
            </w:r>
          </w:p>
        </w:tc>
      </w:tr>
      <w:tr w:rsidR="00B51C92" w:rsidRPr="0047062F" w14:paraId="0E75A969" w14:textId="61AD7F6C" w:rsidTr="00D26556">
        <w:trPr>
          <w:trHeight w:val="290"/>
        </w:trPr>
        <w:tc>
          <w:tcPr>
            <w:cnfStyle w:val="001000000000" w:firstRow="0" w:lastRow="0" w:firstColumn="1" w:lastColumn="0" w:oddVBand="0" w:evenVBand="0" w:oddHBand="0" w:evenHBand="0" w:firstRowFirstColumn="0" w:firstRowLastColumn="0" w:lastRowFirstColumn="0" w:lastRowLastColumn="0"/>
            <w:tcW w:w="1144" w:type="dxa"/>
            <w:vAlign w:val="center"/>
          </w:tcPr>
          <w:p w14:paraId="661C5984" w14:textId="77777777" w:rsidR="00D24DEA" w:rsidRPr="00554873" w:rsidRDefault="00D24DEA" w:rsidP="00D26556">
            <w:pPr>
              <w:jc w:val="right"/>
              <w:rPr>
                <w:rFonts w:asciiTheme="minorHAnsi" w:hAnsiTheme="minorHAnsi" w:cstheme="minorHAnsi"/>
                <w:sz w:val="18"/>
                <w:szCs w:val="18"/>
              </w:rPr>
            </w:pPr>
            <w:r w:rsidRPr="00554873">
              <w:rPr>
                <w:rFonts w:asciiTheme="minorHAnsi" w:hAnsiTheme="minorHAnsi" w:cstheme="minorHAnsi"/>
                <w:sz w:val="18"/>
                <w:szCs w:val="18"/>
              </w:rPr>
              <w:t>Delaware</w:t>
            </w:r>
          </w:p>
        </w:tc>
        <w:tc>
          <w:tcPr>
            <w:tcW w:w="763" w:type="dxa"/>
            <w:vAlign w:val="center"/>
          </w:tcPr>
          <w:p w14:paraId="68A2FD02" w14:textId="47E5D9AB"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30,849</w:t>
            </w:r>
          </w:p>
        </w:tc>
        <w:tc>
          <w:tcPr>
            <w:tcW w:w="793" w:type="dxa"/>
            <w:vAlign w:val="center"/>
          </w:tcPr>
          <w:p w14:paraId="4FD130AF" w14:textId="6BA4B922"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15,842</w:t>
            </w:r>
          </w:p>
        </w:tc>
        <w:tc>
          <w:tcPr>
            <w:tcW w:w="810" w:type="dxa"/>
            <w:vAlign w:val="center"/>
          </w:tcPr>
          <w:p w14:paraId="27458630" w14:textId="0CD8024A"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15,007</w:t>
            </w:r>
          </w:p>
        </w:tc>
        <w:tc>
          <w:tcPr>
            <w:tcW w:w="720" w:type="dxa"/>
            <w:vAlign w:val="center"/>
          </w:tcPr>
          <w:p w14:paraId="3139A665" w14:textId="68D6FEF3"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23,540</w:t>
            </w:r>
          </w:p>
        </w:tc>
        <w:tc>
          <w:tcPr>
            <w:tcW w:w="729" w:type="dxa"/>
            <w:vAlign w:val="center"/>
          </w:tcPr>
          <w:p w14:paraId="0BB14B0F" w14:textId="5B0453D4"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12,157</w:t>
            </w:r>
          </w:p>
        </w:tc>
        <w:tc>
          <w:tcPr>
            <w:tcW w:w="801" w:type="dxa"/>
            <w:vAlign w:val="center"/>
          </w:tcPr>
          <w:p w14:paraId="2B99342D" w14:textId="22A169FF"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11,383</w:t>
            </w:r>
          </w:p>
        </w:tc>
        <w:tc>
          <w:tcPr>
            <w:tcW w:w="630" w:type="dxa"/>
            <w:vAlign w:val="center"/>
          </w:tcPr>
          <w:p w14:paraId="2F735EE4" w14:textId="6A5BB228"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5,174</w:t>
            </w:r>
          </w:p>
        </w:tc>
        <w:tc>
          <w:tcPr>
            <w:tcW w:w="630" w:type="dxa"/>
            <w:vAlign w:val="center"/>
          </w:tcPr>
          <w:p w14:paraId="780C21AC" w14:textId="12A9BABB"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2,618</w:t>
            </w:r>
          </w:p>
        </w:tc>
        <w:tc>
          <w:tcPr>
            <w:tcW w:w="810" w:type="dxa"/>
            <w:vAlign w:val="center"/>
          </w:tcPr>
          <w:p w14:paraId="0474C351" w14:textId="4145FD8E"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2,556</w:t>
            </w:r>
          </w:p>
        </w:tc>
        <w:tc>
          <w:tcPr>
            <w:tcW w:w="630" w:type="dxa"/>
            <w:vAlign w:val="center"/>
          </w:tcPr>
          <w:p w14:paraId="7A252242" w14:textId="37F1B494"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1,017</w:t>
            </w:r>
          </w:p>
        </w:tc>
        <w:tc>
          <w:tcPr>
            <w:tcW w:w="630" w:type="dxa"/>
            <w:vAlign w:val="center"/>
          </w:tcPr>
          <w:p w14:paraId="06C3BA80" w14:textId="536CB82C"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450</w:t>
            </w:r>
          </w:p>
        </w:tc>
        <w:tc>
          <w:tcPr>
            <w:tcW w:w="810" w:type="dxa"/>
            <w:vAlign w:val="center"/>
          </w:tcPr>
          <w:p w14:paraId="57FE4AA5" w14:textId="5FE678F2"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567</w:t>
            </w:r>
          </w:p>
        </w:tc>
      </w:tr>
      <w:tr w:rsidR="00B51C92" w:rsidRPr="0047062F" w14:paraId="234B5BDC" w14:textId="518271CF" w:rsidTr="00D2655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144" w:type="dxa"/>
            <w:vAlign w:val="center"/>
          </w:tcPr>
          <w:p w14:paraId="52F0D059" w14:textId="77777777" w:rsidR="00D24DEA" w:rsidRPr="00554873" w:rsidRDefault="00D24DEA" w:rsidP="00D26556">
            <w:pPr>
              <w:jc w:val="right"/>
              <w:rPr>
                <w:rFonts w:asciiTheme="minorHAnsi" w:hAnsiTheme="minorHAnsi" w:cstheme="minorHAnsi"/>
                <w:b w:val="0"/>
                <w:sz w:val="18"/>
                <w:szCs w:val="18"/>
              </w:rPr>
            </w:pPr>
            <w:r w:rsidRPr="00554873">
              <w:rPr>
                <w:rFonts w:asciiTheme="minorHAnsi" w:hAnsiTheme="minorHAnsi" w:cstheme="minorHAnsi"/>
                <w:sz w:val="18"/>
                <w:szCs w:val="18"/>
              </w:rPr>
              <w:t xml:space="preserve">Kent </w:t>
            </w:r>
          </w:p>
        </w:tc>
        <w:tc>
          <w:tcPr>
            <w:tcW w:w="763" w:type="dxa"/>
            <w:vAlign w:val="center"/>
          </w:tcPr>
          <w:p w14:paraId="7B75D0CD" w14:textId="3917B6A1"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5,649</w:t>
            </w:r>
          </w:p>
        </w:tc>
        <w:tc>
          <w:tcPr>
            <w:tcW w:w="793" w:type="dxa"/>
            <w:vAlign w:val="center"/>
          </w:tcPr>
          <w:p w14:paraId="71D84CF1" w14:textId="1FA49DC1"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2,979</w:t>
            </w:r>
          </w:p>
        </w:tc>
        <w:tc>
          <w:tcPr>
            <w:tcW w:w="810" w:type="dxa"/>
            <w:vAlign w:val="center"/>
          </w:tcPr>
          <w:p w14:paraId="120CBF27" w14:textId="5A76AC7E"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2,670</w:t>
            </w:r>
          </w:p>
        </w:tc>
        <w:tc>
          <w:tcPr>
            <w:tcW w:w="720" w:type="dxa"/>
            <w:vAlign w:val="center"/>
          </w:tcPr>
          <w:p w14:paraId="0E0DE98D" w14:textId="0FE8B996"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4,126</w:t>
            </w:r>
          </w:p>
        </w:tc>
        <w:tc>
          <w:tcPr>
            <w:tcW w:w="729" w:type="dxa"/>
            <w:vAlign w:val="center"/>
          </w:tcPr>
          <w:p w14:paraId="46C58A68" w14:textId="0BA96EBB"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2,117</w:t>
            </w:r>
          </w:p>
        </w:tc>
        <w:tc>
          <w:tcPr>
            <w:tcW w:w="801" w:type="dxa"/>
            <w:vAlign w:val="center"/>
          </w:tcPr>
          <w:p w14:paraId="235B9CDD" w14:textId="5718AF34"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1,955</w:t>
            </w:r>
          </w:p>
        </w:tc>
        <w:tc>
          <w:tcPr>
            <w:tcW w:w="630" w:type="dxa"/>
            <w:vAlign w:val="center"/>
          </w:tcPr>
          <w:p w14:paraId="0C9D7F0A" w14:textId="4185E701"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1,157</w:t>
            </w:r>
          </w:p>
        </w:tc>
        <w:tc>
          <w:tcPr>
            <w:tcW w:w="630" w:type="dxa"/>
            <w:vAlign w:val="center"/>
          </w:tcPr>
          <w:p w14:paraId="111F5151" w14:textId="40D5BF0B"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610</w:t>
            </w:r>
          </w:p>
        </w:tc>
        <w:tc>
          <w:tcPr>
            <w:tcW w:w="810" w:type="dxa"/>
            <w:vAlign w:val="center"/>
          </w:tcPr>
          <w:p w14:paraId="797F4A1E" w14:textId="4E4BEFF7"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547</w:t>
            </w:r>
          </w:p>
        </w:tc>
        <w:tc>
          <w:tcPr>
            <w:tcW w:w="630" w:type="dxa"/>
            <w:vAlign w:val="center"/>
          </w:tcPr>
          <w:p w14:paraId="06E30372" w14:textId="3C116EDE"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176</w:t>
            </w:r>
          </w:p>
        </w:tc>
        <w:tc>
          <w:tcPr>
            <w:tcW w:w="630" w:type="dxa"/>
            <w:vAlign w:val="center"/>
          </w:tcPr>
          <w:p w14:paraId="4953F6A9" w14:textId="6DB84B64"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88</w:t>
            </w:r>
          </w:p>
        </w:tc>
        <w:tc>
          <w:tcPr>
            <w:tcW w:w="810" w:type="dxa"/>
            <w:vAlign w:val="center"/>
          </w:tcPr>
          <w:p w14:paraId="1454F22F" w14:textId="4187130A"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88</w:t>
            </w:r>
          </w:p>
        </w:tc>
      </w:tr>
      <w:tr w:rsidR="00B51C92" w:rsidRPr="0047062F" w14:paraId="694473D4" w14:textId="19DBC2B4" w:rsidTr="00D26556">
        <w:trPr>
          <w:trHeight w:val="274"/>
        </w:trPr>
        <w:tc>
          <w:tcPr>
            <w:cnfStyle w:val="001000000000" w:firstRow="0" w:lastRow="0" w:firstColumn="1" w:lastColumn="0" w:oddVBand="0" w:evenVBand="0" w:oddHBand="0" w:evenHBand="0" w:firstRowFirstColumn="0" w:firstRowLastColumn="0" w:lastRowFirstColumn="0" w:lastRowLastColumn="0"/>
            <w:tcW w:w="1144" w:type="dxa"/>
            <w:vAlign w:val="center"/>
          </w:tcPr>
          <w:p w14:paraId="1D0FBD3F" w14:textId="59B666C4" w:rsidR="00D24DEA" w:rsidRPr="00554873" w:rsidRDefault="00D24DEA" w:rsidP="00D26556">
            <w:pPr>
              <w:jc w:val="right"/>
              <w:rPr>
                <w:rFonts w:asciiTheme="minorHAnsi" w:hAnsiTheme="minorHAnsi" w:cstheme="minorHAnsi"/>
                <w:b w:val="0"/>
                <w:sz w:val="18"/>
                <w:szCs w:val="18"/>
              </w:rPr>
            </w:pPr>
            <w:r w:rsidRPr="00554873">
              <w:rPr>
                <w:rFonts w:asciiTheme="minorHAnsi" w:hAnsiTheme="minorHAnsi" w:cstheme="minorHAnsi"/>
                <w:sz w:val="18"/>
                <w:szCs w:val="18"/>
              </w:rPr>
              <w:t>New</w:t>
            </w:r>
            <w:r>
              <w:rPr>
                <w:rFonts w:asciiTheme="minorHAnsi" w:hAnsiTheme="minorHAnsi" w:cstheme="minorHAnsi"/>
                <w:sz w:val="18"/>
                <w:szCs w:val="18"/>
              </w:rPr>
              <w:t xml:space="preserve"> </w:t>
            </w:r>
            <w:r w:rsidRPr="00554873">
              <w:rPr>
                <w:rFonts w:asciiTheme="minorHAnsi" w:hAnsiTheme="minorHAnsi" w:cstheme="minorHAnsi"/>
                <w:sz w:val="18"/>
                <w:szCs w:val="18"/>
              </w:rPr>
              <w:t xml:space="preserve">Castle </w:t>
            </w:r>
          </w:p>
        </w:tc>
        <w:tc>
          <w:tcPr>
            <w:tcW w:w="763" w:type="dxa"/>
            <w:vAlign w:val="center"/>
          </w:tcPr>
          <w:p w14:paraId="7FDBE7CF" w14:textId="71185EDE"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15,653</w:t>
            </w:r>
          </w:p>
        </w:tc>
        <w:tc>
          <w:tcPr>
            <w:tcW w:w="793" w:type="dxa"/>
            <w:vAlign w:val="center"/>
          </w:tcPr>
          <w:p w14:paraId="3258ECCE" w14:textId="1DFF2914"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7,705</w:t>
            </w:r>
          </w:p>
        </w:tc>
        <w:tc>
          <w:tcPr>
            <w:tcW w:w="810" w:type="dxa"/>
            <w:vAlign w:val="center"/>
          </w:tcPr>
          <w:p w14:paraId="18817760" w14:textId="7C123725"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7,948</w:t>
            </w:r>
          </w:p>
        </w:tc>
        <w:tc>
          <w:tcPr>
            <w:tcW w:w="720" w:type="dxa"/>
            <w:vAlign w:val="center"/>
          </w:tcPr>
          <w:p w14:paraId="39CD5DDD" w14:textId="7F87760C"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10,980</w:t>
            </w:r>
          </w:p>
        </w:tc>
        <w:tc>
          <w:tcPr>
            <w:tcW w:w="729" w:type="dxa"/>
            <w:vAlign w:val="center"/>
          </w:tcPr>
          <w:p w14:paraId="1696C5C6" w14:textId="3B9014EB"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5,408</w:t>
            </w:r>
          </w:p>
        </w:tc>
        <w:tc>
          <w:tcPr>
            <w:tcW w:w="801" w:type="dxa"/>
            <w:vAlign w:val="center"/>
          </w:tcPr>
          <w:p w14:paraId="312DF248" w14:textId="4BA417A2"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5,572</w:t>
            </w:r>
          </w:p>
        </w:tc>
        <w:tc>
          <w:tcPr>
            <w:tcW w:w="630" w:type="dxa"/>
            <w:vAlign w:val="center"/>
          </w:tcPr>
          <w:p w14:paraId="4AB47438" w14:textId="018C91D0"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3,339</w:t>
            </w:r>
          </w:p>
        </w:tc>
        <w:tc>
          <w:tcPr>
            <w:tcW w:w="630" w:type="dxa"/>
            <w:vAlign w:val="center"/>
          </w:tcPr>
          <w:p w14:paraId="07DB6DCD" w14:textId="6855A280"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1,648</w:t>
            </w:r>
          </w:p>
        </w:tc>
        <w:tc>
          <w:tcPr>
            <w:tcW w:w="810" w:type="dxa"/>
            <w:vAlign w:val="center"/>
          </w:tcPr>
          <w:p w14:paraId="081002B4" w14:textId="3ABCDE84"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1,691</w:t>
            </w:r>
          </w:p>
        </w:tc>
        <w:tc>
          <w:tcPr>
            <w:tcW w:w="630" w:type="dxa"/>
            <w:vAlign w:val="center"/>
          </w:tcPr>
          <w:p w14:paraId="1EFCC150" w14:textId="7E94C2FC"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637</w:t>
            </w:r>
          </w:p>
        </w:tc>
        <w:tc>
          <w:tcPr>
            <w:tcW w:w="630" w:type="dxa"/>
            <w:vAlign w:val="center"/>
          </w:tcPr>
          <w:p w14:paraId="3E42F66A" w14:textId="76906327"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278</w:t>
            </w:r>
          </w:p>
        </w:tc>
        <w:tc>
          <w:tcPr>
            <w:tcW w:w="810" w:type="dxa"/>
            <w:vAlign w:val="center"/>
          </w:tcPr>
          <w:p w14:paraId="1EC92DC3" w14:textId="4A3BE40D" w:rsidR="00D24DEA" w:rsidRPr="003C211A" w:rsidRDefault="00D24DEA" w:rsidP="0028123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359</w:t>
            </w:r>
          </w:p>
        </w:tc>
      </w:tr>
      <w:tr w:rsidR="00B51C92" w:rsidRPr="0047062F" w14:paraId="4375DEB8" w14:textId="26ED586D" w:rsidTr="00D2655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4" w:type="dxa"/>
            <w:vAlign w:val="center"/>
          </w:tcPr>
          <w:p w14:paraId="021C6DF3" w14:textId="77777777" w:rsidR="00D24DEA" w:rsidRPr="00554873" w:rsidRDefault="00D24DEA" w:rsidP="00D26556">
            <w:pPr>
              <w:jc w:val="right"/>
              <w:rPr>
                <w:rFonts w:asciiTheme="minorHAnsi" w:hAnsiTheme="minorHAnsi" w:cstheme="minorHAnsi"/>
                <w:b w:val="0"/>
                <w:sz w:val="18"/>
                <w:szCs w:val="18"/>
              </w:rPr>
            </w:pPr>
            <w:r w:rsidRPr="00554873">
              <w:rPr>
                <w:rFonts w:asciiTheme="minorHAnsi" w:hAnsiTheme="minorHAnsi" w:cstheme="minorHAnsi"/>
                <w:sz w:val="18"/>
                <w:szCs w:val="18"/>
              </w:rPr>
              <w:t xml:space="preserve">Sussex </w:t>
            </w:r>
          </w:p>
        </w:tc>
        <w:tc>
          <w:tcPr>
            <w:tcW w:w="763" w:type="dxa"/>
            <w:vAlign w:val="center"/>
          </w:tcPr>
          <w:p w14:paraId="17B2C644" w14:textId="70B1341D"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9,513</w:t>
            </w:r>
          </w:p>
        </w:tc>
        <w:tc>
          <w:tcPr>
            <w:tcW w:w="793" w:type="dxa"/>
            <w:vAlign w:val="center"/>
          </w:tcPr>
          <w:p w14:paraId="406CE104" w14:textId="129052C4"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5,139</w:t>
            </w:r>
          </w:p>
        </w:tc>
        <w:tc>
          <w:tcPr>
            <w:tcW w:w="810" w:type="dxa"/>
            <w:vAlign w:val="center"/>
          </w:tcPr>
          <w:p w14:paraId="2C013DC8" w14:textId="44553967"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4,374</w:t>
            </w:r>
          </w:p>
        </w:tc>
        <w:tc>
          <w:tcPr>
            <w:tcW w:w="720" w:type="dxa"/>
            <w:vAlign w:val="center"/>
          </w:tcPr>
          <w:p w14:paraId="46ABE7A4" w14:textId="5ACD6C97"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8,400</w:t>
            </w:r>
          </w:p>
        </w:tc>
        <w:tc>
          <w:tcPr>
            <w:tcW w:w="729" w:type="dxa"/>
            <w:vAlign w:val="center"/>
          </w:tcPr>
          <w:p w14:paraId="4BE24B14" w14:textId="3DB27970"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4,559</w:t>
            </w:r>
          </w:p>
        </w:tc>
        <w:tc>
          <w:tcPr>
            <w:tcW w:w="801" w:type="dxa"/>
            <w:vAlign w:val="center"/>
          </w:tcPr>
          <w:p w14:paraId="43672990" w14:textId="3A324A5D"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3,841</w:t>
            </w:r>
          </w:p>
        </w:tc>
        <w:tc>
          <w:tcPr>
            <w:tcW w:w="630" w:type="dxa"/>
            <w:vAlign w:val="center"/>
          </w:tcPr>
          <w:p w14:paraId="67B25758" w14:textId="276F90BE"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678</w:t>
            </w:r>
          </w:p>
        </w:tc>
        <w:tc>
          <w:tcPr>
            <w:tcW w:w="630" w:type="dxa"/>
            <w:vAlign w:val="center"/>
          </w:tcPr>
          <w:p w14:paraId="3FCDC999" w14:textId="3BE2BFFB"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360</w:t>
            </w:r>
          </w:p>
        </w:tc>
        <w:tc>
          <w:tcPr>
            <w:tcW w:w="810" w:type="dxa"/>
            <w:vAlign w:val="center"/>
          </w:tcPr>
          <w:p w14:paraId="54BBCB5F" w14:textId="64B0C586"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318</w:t>
            </w:r>
          </w:p>
        </w:tc>
        <w:tc>
          <w:tcPr>
            <w:tcW w:w="630" w:type="dxa"/>
            <w:vAlign w:val="center"/>
          </w:tcPr>
          <w:p w14:paraId="0DFE5838" w14:textId="6A442253"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204</w:t>
            </w:r>
          </w:p>
        </w:tc>
        <w:tc>
          <w:tcPr>
            <w:tcW w:w="630" w:type="dxa"/>
            <w:vAlign w:val="center"/>
          </w:tcPr>
          <w:p w14:paraId="14AF197D" w14:textId="506F0652"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84</w:t>
            </w:r>
          </w:p>
        </w:tc>
        <w:tc>
          <w:tcPr>
            <w:tcW w:w="810" w:type="dxa"/>
            <w:vAlign w:val="center"/>
          </w:tcPr>
          <w:p w14:paraId="7A66051E" w14:textId="4A0EFCC2" w:rsidR="00D24DEA" w:rsidRPr="003C211A" w:rsidRDefault="00D24DEA" w:rsidP="002812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120</w:t>
            </w:r>
          </w:p>
        </w:tc>
      </w:tr>
    </w:tbl>
    <w:p w14:paraId="09E93FD1" w14:textId="41DEE157" w:rsidR="00D9024C" w:rsidRDefault="003E5C0A" w:rsidP="00D9024C">
      <w:pPr>
        <w:spacing w:after="0" w:line="240" w:lineRule="auto"/>
        <w:jc w:val="both"/>
        <w:rPr>
          <w:rFonts w:asciiTheme="minorHAnsi" w:hAnsiTheme="minorHAnsi"/>
          <w:i/>
          <w:sz w:val="16"/>
          <w:szCs w:val="16"/>
        </w:rPr>
      </w:pPr>
      <w:r w:rsidRPr="008617B1">
        <w:rPr>
          <w:rFonts w:asciiTheme="minorHAnsi" w:hAnsiTheme="minorHAnsi"/>
          <w:i/>
          <w:sz w:val="16"/>
          <w:szCs w:val="16"/>
        </w:rPr>
        <w:t xml:space="preserve">Source: </w:t>
      </w:r>
      <w:r w:rsidR="00096AC4" w:rsidRPr="008617B1">
        <w:rPr>
          <w:rFonts w:asciiTheme="minorHAnsi" w:hAnsiTheme="minorHAnsi"/>
          <w:i/>
          <w:sz w:val="16"/>
          <w:szCs w:val="16"/>
        </w:rPr>
        <w:t>Delaware Department of</w:t>
      </w:r>
      <w:r w:rsidR="005F684C" w:rsidRPr="008617B1">
        <w:rPr>
          <w:rFonts w:asciiTheme="minorHAnsi" w:hAnsiTheme="minorHAnsi"/>
          <w:i/>
          <w:sz w:val="16"/>
          <w:szCs w:val="16"/>
        </w:rPr>
        <w:t xml:space="preserve"> Health </w:t>
      </w:r>
      <w:r w:rsidR="00BB6C21" w:rsidRPr="008617B1">
        <w:rPr>
          <w:rFonts w:asciiTheme="minorHAnsi" w:hAnsiTheme="minorHAnsi"/>
          <w:i/>
          <w:sz w:val="16"/>
          <w:szCs w:val="16"/>
        </w:rPr>
        <w:t>and Social</w:t>
      </w:r>
      <w:r w:rsidR="00096AC4" w:rsidRPr="008617B1">
        <w:rPr>
          <w:rFonts w:asciiTheme="minorHAnsi" w:hAnsiTheme="minorHAnsi"/>
          <w:i/>
          <w:sz w:val="16"/>
          <w:szCs w:val="16"/>
        </w:rPr>
        <w:t xml:space="preserve"> Services, Division of Public Health, Delaware Cancer Registry</w:t>
      </w:r>
      <w:r w:rsidR="00E33BCD" w:rsidRPr="008617B1">
        <w:rPr>
          <w:rFonts w:asciiTheme="minorHAnsi" w:hAnsiTheme="minorHAnsi"/>
          <w:i/>
          <w:sz w:val="16"/>
          <w:szCs w:val="16"/>
        </w:rPr>
        <w:t>, 20</w:t>
      </w:r>
      <w:r w:rsidR="000828A9" w:rsidRPr="008617B1">
        <w:rPr>
          <w:rFonts w:asciiTheme="minorHAnsi" w:hAnsiTheme="minorHAnsi"/>
          <w:i/>
          <w:sz w:val="16"/>
          <w:szCs w:val="16"/>
        </w:rPr>
        <w:t>2</w:t>
      </w:r>
      <w:r w:rsidR="00D9024C">
        <w:rPr>
          <w:rFonts w:asciiTheme="minorHAnsi" w:hAnsiTheme="minorHAnsi"/>
          <w:i/>
          <w:sz w:val="16"/>
          <w:szCs w:val="16"/>
        </w:rPr>
        <w:t>4</w:t>
      </w:r>
    </w:p>
    <w:p w14:paraId="00FF42FC" w14:textId="6762496D" w:rsidR="0026657B" w:rsidRPr="005F684C" w:rsidRDefault="0026657B" w:rsidP="00D9024C">
      <w:pPr>
        <w:spacing w:after="0" w:line="240" w:lineRule="auto"/>
        <w:jc w:val="both"/>
        <w:rPr>
          <w:rFonts w:asciiTheme="minorHAnsi" w:hAnsiTheme="minorHAnsi"/>
          <w:i/>
          <w:sz w:val="16"/>
          <w:szCs w:val="16"/>
        </w:rPr>
      </w:pPr>
      <w:r>
        <w:rPr>
          <w:rFonts w:asciiTheme="minorHAnsi" w:hAnsiTheme="minorHAnsi"/>
          <w:i/>
          <w:sz w:val="16"/>
          <w:szCs w:val="16"/>
        </w:rPr>
        <w:t xml:space="preserve">Note: ‘All Races’ includes </w:t>
      </w:r>
      <w:r w:rsidR="00AC71E3">
        <w:rPr>
          <w:rFonts w:asciiTheme="minorHAnsi" w:hAnsiTheme="minorHAnsi"/>
          <w:i/>
          <w:sz w:val="16"/>
          <w:szCs w:val="16"/>
        </w:rPr>
        <w:t>non</w:t>
      </w:r>
      <w:r>
        <w:rPr>
          <w:rFonts w:asciiTheme="minorHAnsi" w:hAnsiTheme="minorHAnsi"/>
          <w:i/>
          <w:sz w:val="16"/>
          <w:szCs w:val="16"/>
        </w:rPr>
        <w:t xml:space="preserve">-Hispanic White, </w:t>
      </w:r>
      <w:r w:rsidR="00AC71E3">
        <w:rPr>
          <w:rFonts w:asciiTheme="minorHAnsi" w:hAnsiTheme="minorHAnsi"/>
          <w:i/>
          <w:sz w:val="16"/>
          <w:szCs w:val="16"/>
        </w:rPr>
        <w:t>non</w:t>
      </w:r>
      <w:r>
        <w:rPr>
          <w:rFonts w:asciiTheme="minorHAnsi" w:hAnsiTheme="minorHAnsi"/>
          <w:i/>
          <w:sz w:val="16"/>
          <w:szCs w:val="16"/>
        </w:rPr>
        <w:t xml:space="preserve">-Hispanic Black, and Hispanic which are shown in the table, as well as other racial/ethnic groups that are not included in the table (e.g., </w:t>
      </w:r>
      <w:r w:rsidR="0075094C">
        <w:rPr>
          <w:rFonts w:asciiTheme="minorHAnsi" w:hAnsiTheme="minorHAnsi"/>
          <w:i/>
          <w:sz w:val="16"/>
          <w:szCs w:val="16"/>
        </w:rPr>
        <w:t>n</w:t>
      </w:r>
      <w:r>
        <w:rPr>
          <w:rFonts w:asciiTheme="minorHAnsi" w:hAnsiTheme="minorHAnsi"/>
          <w:i/>
          <w:sz w:val="16"/>
          <w:szCs w:val="16"/>
        </w:rPr>
        <w:t xml:space="preserve">on-Hispanic Asian and Pacific Islander, </w:t>
      </w:r>
      <w:r w:rsidR="0075094C">
        <w:rPr>
          <w:rFonts w:asciiTheme="minorHAnsi" w:hAnsiTheme="minorHAnsi"/>
          <w:i/>
          <w:sz w:val="16"/>
          <w:szCs w:val="16"/>
        </w:rPr>
        <w:t>n</w:t>
      </w:r>
      <w:r>
        <w:rPr>
          <w:rFonts w:asciiTheme="minorHAnsi" w:hAnsiTheme="minorHAnsi"/>
          <w:i/>
          <w:sz w:val="16"/>
          <w:szCs w:val="16"/>
        </w:rPr>
        <w:t>on-Hispanic American Indian/Alaska Native, unknown race/ethnicity, and other non-specified race).</w:t>
      </w:r>
    </w:p>
    <w:p w14:paraId="4CF8DC5A" w14:textId="77777777" w:rsidR="007D74D6" w:rsidRPr="000F0BAE" w:rsidRDefault="007D74D6" w:rsidP="0006275D">
      <w:pPr>
        <w:spacing w:after="120" w:line="240" w:lineRule="auto"/>
        <w:jc w:val="both"/>
        <w:rPr>
          <w:rFonts w:asciiTheme="minorHAnsi" w:hAnsiTheme="minorHAnsi"/>
          <w:i/>
          <w:sz w:val="14"/>
        </w:rPr>
      </w:pPr>
    </w:p>
    <w:p w14:paraId="50E2CF21" w14:textId="5F13ECEE" w:rsidR="00AF41BB" w:rsidRDefault="003E5C0A" w:rsidP="00B21C83">
      <w:pPr>
        <w:pStyle w:val="ListParagraph"/>
        <w:numPr>
          <w:ilvl w:val="0"/>
          <w:numId w:val="1"/>
        </w:numPr>
        <w:spacing w:after="120" w:line="240" w:lineRule="auto"/>
        <w:ind w:left="360"/>
        <w:contextualSpacing w:val="0"/>
        <w:rPr>
          <w:rFonts w:asciiTheme="minorHAnsi" w:hAnsiTheme="minorHAnsi"/>
        </w:rPr>
      </w:pPr>
      <w:r w:rsidRPr="000F0BAE">
        <w:rPr>
          <w:rFonts w:asciiTheme="minorHAnsi" w:hAnsiTheme="minorHAnsi"/>
        </w:rPr>
        <w:t xml:space="preserve">In </w:t>
      </w:r>
      <w:r w:rsidR="00AF41BB">
        <w:rPr>
          <w:rFonts w:asciiTheme="minorHAnsi" w:hAnsiTheme="minorHAnsi"/>
        </w:rPr>
        <w:t xml:space="preserve">Delaware in </w:t>
      </w:r>
      <w:r w:rsidR="00D403E9" w:rsidRPr="000F0BAE">
        <w:rPr>
          <w:rFonts w:asciiTheme="minorHAnsi" w:hAnsiTheme="minorHAnsi"/>
        </w:rPr>
        <w:t>201</w:t>
      </w:r>
      <w:r w:rsidR="00D3566C">
        <w:rPr>
          <w:rFonts w:asciiTheme="minorHAnsi" w:hAnsiTheme="minorHAnsi"/>
        </w:rPr>
        <w:t>7</w:t>
      </w:r>
      <w:r w:rsidR="00D403E9" w:rsidRPr="000F0BAE">
        <w:rPr>
          <w:rFonts w:asciiTheme="minorHAnsi" w:hAnsiTheme="minorHAnsi"/>
        </w:rPr>
        <w:t>-20</w:t>
      </w:r>
      <w:r w:rsidR="00392781">
        <w:rPr>
          <w:rFonts w:asciiTheme="minorHAnsi" w:hAnsiTheme="minorHAnsi"/>
        </w:rPr>
        <w:t>2</w:t>
      </w:r>
      <w:r w:rsidR="00D3566C">
        <w:rPr>
          <w:rFonts w:asciiTheme="minorHAnsi" w:hAnsiTheme="minorHAnsi"/>
        </w:rPr>
        <w:t>1</w:t>
      </w:r>
      <w:r w:rsidR="00AF41BB">
        <w:rPr>
          <w:rFonts w:asciiTheme="minorHAnsi" w:hAnsiTheme="minorHAnsi"/>
        </w:rPr>
        <w:t>:</w:t>
      </w:r>
    </w:p>
    <w:p w14:paraId="146436E0" w14:textId="5E3B8EA9" w:rsidR="003E5C0A" w:rsidRPr="000F0BAE" w:rsidRDefault="00AF41BB" w:rsidP="00B21C83">
      <w:pPr>
        <w:pStyle w:val="ListParagraph"/>
        <w:numPr>
          <w:ilvl w:val="0"/>
          <w:numId w:val="26"/>
        </w:numPr>
        <w:spacing w:after="120" w:line="240" w:lineRule="auto"/>
        <w:contextualSpacing w:val="0"/>
        <w:rPr>
          <w:rFonts w:asciiTheme="minorHAnsi" w:hAnsiTheme="minorHAnsi"/>
        </w:rPr>
      </w:pPr>
      <w:r>
        <w:rPr>
          <w:rFonts w:asciiTheme="minorHAnsi" w:hAnsiTheme="minorHAnsi"/>
        </w:rPr>
        <w:t>Th</w:t>
      </w:r>
      <w:r w:rsidR="00C36209">
        <w:rPr>
          <w:rFonts w:asciiTheme="minorHAnsi" w:hAnsiTheme="minorHAnsi"/>
        </w:rPr>
        <w:t>ere were</w:t>
      </w:r>
      <w:r w:rsidR="003E5C0A" w:rsidRPr="000F0BAE">
        <w:rPr>
          <w:rFonts w:asciiTheme="minorHAnsi" w:hAnsiTheme="minorHAnsi"/>
        </w:rPr>
        <w:t xml:space="preserve"> </w:t>
      </w:r>
      <w:r w:rsidR="006633F1">
        <w:rPr>
          <w:rFonts w:asciiTheme="minorHAnsi" w:hAnsiTheme="minorHAnsi" w:cstheme="minorHAnsi"/>
        </w:rPr>
        <w:t>30,849</w:t>
      </w:r>
      <w:r w:rsidR="006746C6" w:rsidRPr="000F0BAE">
        <w:rPr>
          <w:rFonts w:asciiTheme="minorHAnsi" w:hAnsiTheme="minorHAnsi"/>
        </w:rPr>
        <w:t xml:space="preserve"> </w:t>
      </w:r>
      <w:r w:rsidR="003E5C0A" w:rsidRPr="000F0BAE">
        <w:rPr>
          <w:rFonts w:asciiTheme="minorHAnsi" w:hAnsiTheme="minorHAnsi"/>
        </w:rPr>
        <w:t>new all-site cancer cases diagnosed</w:t>
      </w:r>
      <w:r w:rsidR="00BD489A" w:rsidRPr="000F0BAE">
        <w:rPr>
          <w:rFonts w:asciiTheme="minorHAnsi" w:hAnsiTheme="minorHAnsi"/>
        </w:rPr>
        <w:t xml:space="preserve">, </w:t>
      </w:r>
      <w:r w:rsidR="003E5C0A" w:rsidRPr="000F0BAE">
        <w:rPr>
          <w:rFonts w:asciiTheme="minorHAnsi" w:hAnsiTheme="minorHAnsi"/>
        </w:rPr>
        <w:t xml:space="preserve">an average of </w:t>
      </w:r>
      <w:r w:rsidR="005344FC">
        <w:rPr>
          <w:rFonts w:asciiTheme="minorHAnsi" w:hAnsiTheme="minorHAnsi"/>
        </w:rPr>
        <w:t>6,169</w:t>
      </w:r>
      <w:r w:rsidR="006746C6" w:rsidRPr="000F0BAE">
        <w:rPr>
          <w:rFonts w:asciiTheme="minorHAnsi" w:hAnsiTheme="minorHAnsi"/>
        </w:rPr>
        <w:t xml:space="preserve"> </w:t>
      </w:r>
      <w:r w:rsidR="003E5C0A" w:rsidRPr="000F0BAE">
        <w:rPr>
          <w:rFonts w:asciiTheme="minorHAnsi" w:hAnsiTheme="minorHAnsi"/>
        </w:rPr>
        <w:t>per year.</w:t>
      </w:r>
    </w:p>
    <w:p w14:paraId="6399DFB4" w14:textId="4351F507" w:rsidR="003E5C0A" w:rsidRPr="000F0BAE" w:rsidRDefault="004D6876" w:rsidP="00B21C83">
      <w:pPr>
        <w:pStyle w:val="ListParagraph"/>
        <w:numPr>
          <w:ilvl w:val="0"/>
          <w:numId w:val="26"/>
        </w:numPr>
        <w:spacing w:after="120" w:line="240" w:lineRule="auto"/>
        <w:contextualSpacing w:val="0"/>
        <w:rPr>
          <w:rFonts w:asciiTheme="minorHAnsi" w:hAnsiTheme="minorHAnsi"/>
        </w:rPr>
      </w:pPr>
      <w:r w:rsidRPr="000F0BAE">
        <w:rPr>
          <w:rFonts w:asciiTheme="minorHAnsi" w:hAnsiTheme="minorHAnsi"/>
        </w:rPr>
        <w:t>M</w:t>
      </w:r>
      <w:r w:rsidR="003E5C0A" w:rsidRPr="000F0BAE">
        <w:rPr>
          <w:rFonts w:asciiTheme="minorHAnsi" w:hAnsiTheme="minorHAnsi"/>
        </w:rPr>
        <w:t xml:space="preserve">ales accounted for </w:t>
      </w:r>
      <w:r w:rsidR="006203E4" w:rsidRPr="000F0BAE">
        <w:rPr>
          <w:rFonts w:asciiTheme="minorHAnsi" w:hAnsiTheme="minorHAnsi"/>
        </w:rPr>
        <w:t>5</w:t>
      </w:r>
      <w:r w:rsidR="006C0AE4" w:rsidRPr="000F0BAE">
        <w:rPr>
          <w:rFonts w:asciiTheme="minorHAnsi" w:hAnsiTheme="minorHAnsi"/>
        </w:rPr>
        <w:t>1</w:t>
      </w:r>
      <w:r w:rsidR="009E7832" w:rsidRPr="000F0BAE">
        <w:rPr>
          <w:rFonts w:asciiTheme="minorHAnsi" w:hAnsiTheme="minorHAnsi"/>
        </w:rPr>
        <w:t>%</w:t>
      </w:r>
      <w:r w:rsidR="003E5C0A" w:rsidRPr="000F0BAE">
        <w:rPr>
          <w:rFonts w:asciiTheme="minorHAnsi" w:hAnsiTheme="minorHAnsi"/>
        </w:rPr>
        <w:t xml:space="preserve"> of all-site cancer cases.</w:t>
      </w:r>
    </w:p>
    <w:p w14:paraId="4F253B81" w14:textId="49E57259" w:rsidR="008B1164" w:rsidRDefault="00A96426" w:rsidP="00B21C83">
      <w:pPr>
        <w:pStyle w:val="ListParagraph"/>
        <w:numPr>
          <w:ilvl w:val="0"/>
          <w:numId w:val="26"/>
        </w:numPr>
        <w:spacing w:after="120" w:line="240" w:lineRule="auto"/>
        <w:contextualSpacing w:val="0"/>
        <w:rPr>
          <w:rFonts w:asciiTheme="minorHAnsi" w:hAnsiTheme="minorHAnsi"/>
        </w:rPr>
      </w:pPr>
      <w:r w:rsidRPr="000F0BAE">
        <w:rPr>
          <w:rFonts w:asciiTheme="minorHAnsi" w:hAnsiTheme="minorHAnsi"/>
        </w:rPr>
        <w:t xml:space="preserve">Non-Hispanic </w:t>
      </w:r>
      <w:r w:rsidR="00BB3D69" w:rsidRPr="00BD43AC">
        <w:rPr>
          <w:rFonts w:asciiTheme="minorHAnsi" w:hAnsiTheme="minorHAnsi"/>
        </w:rPr>
        <w:t>White</w:t>
      </w:r>
      <w:r w:rsidR="00BD43AC" w:rsidRPr="00BD43AC">
        <w:rPr>
          <w:rFonts w:asciiTheme="minorHAnsi" w:hAnsiTheme="minorHAnsi"/>
        </w:rPr>
        <w:t xml:space="preserve"> Delawareans</w:t>
      </w:r>
      <w:r w:rsidR="00BD43AC">
        <w:rPr>
          <w:rFonts w:asciiTheme="minorHAnsi" w:hAnsiTheme="minorHAnsi"/>
        </w:rPr>
        <w:t xml:space="preserve"> </w:t>
      </w:r>
      <w:r w:rsidR="003E5C0A" w:rsidRPr="000F0BAE">
        <w:rPr>
          <w:rFonts w:asciiTheme="minorHAnsi" w:hAnsiTheme="minorHAnsi"/>
        </w:rPr>
        <w:t xml:space="preserve">accounted for </w:t>
      </w:r>
      <w:r w:rsidRPr="000F0BAE">
        <w:rPr>
          <w:rFonts w:asciiTheme="minorHAnsi" w:hAnsiTheme="minorHAnsi"/>
        </w:rPr>
        <w:t>7</w:t>
      </w:r>
      <w:r w:rsidR="00A838BB">
        <w:rPr>
          <w:rFonts w:asciiTheme="minorHAnsi" w:hAnsiTheme="minorHAnsi"/>
        </w:rPr>
        <w:t>9</w:t>
      </w:r>
      <w:r w:rsidR="009E7832" w:rsidRPr="000F0BAE">
        <w:rPr>
          <w:rFonts w:asciiTheme="minorHAnsi" w:hAnsiTheme="minorHAnsi"/>
        </w:rPr>
        <w:t>%</w:t>
      </w:r>
      <w:r w:rsidR="003E5C0A" w:rsidRPr="000F0BAE">
        <w:rPr>
          <w:rFonts w:asciiTheme="minorHAnsi" w:hAnsiTheme="minorHAnsi"/>
        </w:rPr>
        <w:t xml:space="preserve"> of all-site cancer cases. </w:t>
      </w:r>
    </w:p>
    <w:p w14:paraId="3B4D58D8" w14:textId="77777777" w:rsidR="00911A1B" w:rsidRPr="00D37659" w:rsidRDefault="00911A1B" w:rsidP="00D37659">
      <w:pPr>
        <w:spacing w:after="120" w:line="240" w:lineRule="auto"/>
        <w:rPr>
          <w:rFonts w:asciiTheme="minorHAnsi" w:hAnsiTheme="minorHAnsi"/>
        </w:rPr>
      </w:pPr>
    </w:p>
    <w:p w14:paraId="113B3CA2" w14:textId="1DA6F2BB" w:rsidR="003E5C0A" w:rsidRPr="00CE3F54" w:rsidRDefault="003E5C0A" w:rsidP="000C02FF">
      <w:pPr>
        <w:pStyle w:val="Caption"/>
        <w:spacing w:after="120" w:line="240" w:lineRule="auto"/>
        <w:jc w:val="center"/>
        <w:rPr>
          <w:rFonts w:asciiTheme="minorHAnsi" w:hAnsiTheme="minorHAnsi"/>
          <w:b/>
          <w:sz w:val="22"/>
        </w:rPr>
      </w:pPr>
      <w:r w:rsidRPr="000F0BAE">
        <w:rPr>
          <w:rFonts w:asciiTheme="minorHAnsi" w:hAnsiTheme="minorHAnsi"/>
          <w:b/>
          <w:sz w:val="22"/>
        </w:rPr>
        <w:t xml:space="preserve">Table </w:t>
      </w:r>
      <w:r w:rsidR="001A19D6" w:rsidRPr="000F0BAE">
        <w:rPr>
          <w:rFonts w:asciiTheme="minorHAnsi" w:hAnsiTheme="minorHAnsi"/>
          <w:b/>
          <w:sz w:val="22"/>
        </w:rPr>
        <w:fldChar w:fldCharType="begin"/>
      </w:r>
      <w:r w:rsidR="001A19D6" w:rsidRPr="000F0BAE">
        <w:rPr>
          <w:rFonts w:asciiTheme="minorHAnsi" w:hAnsiTheme="minorHAnsi"/>
          <w:b/>
          <w:sz w:val="22"/>
        </w:rPr>
        <w:instrText xml:space="preserve"> STYLEREF 1 \s </w:instrText>
      </w:r>
      <w:r w:rsidR="001A19D6" w:rsidRPr="000F0BAE">
        <w:rPr>
          <w:rFonts w:asciiTheme="minorHAnsi" w:hAnsiTheme="minorHAnsi"/>
          <w:b/>
          <w:sz w:val="22"/>
        </w:rPr>
        <w:fldChar w:fldCharType="separate"/>
      </w:r>
      <w:r w:rsidR="006C24CC">
        <w:rPr>
          <w:rFonts w:asciiTheme="minorHAnsi" w:hAnsiTheme="minorHAnsi"/>
          <w:b/>
          <w:noProof/>
          <w:sz w:val="22"/>
        </w:rPr>
        <w:t>2</w:t>
      </w:r>
      <w:r w:rsidR="001A19D6" w:rsidRPr="000F0BAE">
        <w:rPr>
          <w:rFonts w:asciiTheme="minorHAnsi" w:hAnsiTheme="minorHAnsi"/>
          <w:b/>
          <w:sz w:val="22"/>
        </w:rPr>
        <w:fldChar w:fldCharType="end"/>
      </w:r>
      <w:r w:rsidR="001A19D6" w:rsidRPr="000F0BAE">
        <w:rPr>
          <w:rFonts w:asciiTheme="minorHAnsi" w:hAnsiTheme="minorHAnsi"/>
          <w:b/>
          <w:sz w:val="22"/>
        </w:rPr>
        <w:noBreakHyphen/>
      </w:r>
      <w:r w:rsidR="001A19D6" w:rsidRPr="000F0BAE">
        <w:rPr>
          <w:rFonts w:asciiTheme="minorHAnsi" w:hAnsiTheme="minorHAnsi"/>
          <w:b/>
          <w:sz w:val="22"/>
        </w:rPr>
        <w:fldChar w:fldCharType="begin"/>
      </w:r>
      <w:r w:rsidR="001A19D6" w:rsidRPr="000F0BAE">
        <w:rPr>
          <w:rFonts w:asciiTheme="minorHAnsi" w:hAnsiTheme="minorHAnsi"/>
          <w:b/>
          <w:sz w:val="22"/>
        </w:rPr>
        <w:instrText xml:space="preserve"> SEQ Table \* ARABIC \s 1 </w:instrText>
      </w:r>
      <w:r w:rsidR="001A19D6" w:rsidRPr="000F0BAE">
        <w:rPr>
          <w:rFonts w:asciiTheme="minorHAnsi" w:hAnsiTheme="minorHAnsi"/>
          <w:b/>
          <w:sz w:val="22"/>
        </w:rPr>
        <w:fldChar w:fldCharType="separate"/>
      </w:r>
      <w:r w:rsidR="006C24CC">
        <w:rPr>
          <w:rFonts w:asciiTheme="minorHAnsi" w:hAnsiTheme="minorHAnsi"/>
          <w:b/>
          <w:noProof/>
          <w:sz w:val="22"/>
        </w:rPr>
        <w:t>2</w:t>
      </w:r>
      <w:r w:rsidR="001A19D6" w:rsidRPr="000F0BAE">
        <w:rPr>
          <w:rFonts w:asciiTheme="minorHAnsi" w:hAnsiTheme="minorHAnsi"/>
          <w:b/>
          <w:sz w:val="22"/>
        </w:rPr>
        <w:fldChar w:fldCharType="end"/>
      </w:r>
      <w:r w:rsidRPr="000F0BAE">
        <w:rPr>
          <w:rFonts w:asciiTheme="minorHAnsi" w:hAnsiTheme="minorHAnsi"/>
          <w:b/>
          <w:sz w:val="22"/>
        </w:rPr>
        <w:t>: FIVE-YEAR Average Age-Adjusted All-site cancer Incidence Rates Overall and by Sex; U.S., Delaware</w:t>
      </w:r>
      <w:r w:rsidR="007E4F0C" w:rsidRPr="000F0BAE">
        <w:rPr>
          <w:rFonts w:asciiTheme="minorHAnsi" w:hAnsiTheme="minorHAnsi"/>
          <w:b/>
          <w:sz w:val="22"/>
        </w:rPr>
        <w:t>,</w:t>
      </w:r>
      <w:r w:rsidRPr="000F0BAE">
        <w:rPr>
          <w:rFonts w:asciiTheme="minorHAnsi" w:hAnsiTheme="minorHAnsi"/>
          <w:b/>
          <w:sz w:val="22"/>
        </w:rPr>
        <w:t xml:space="preserve"> and Counties, </w:t>
      </w:r>
      <w:r w:rsidR="00D403E9" w:rsidRPr="000F0BAE">
        <w:rPr>
          <w:rFonts w:asciiTheme="minorHAnsi" w:hAnsiTheme="minorHAnsi"/>
          <w:b/>
          <w:sz w:val="22"/>
        </w:rPr>
        <w:t>201</w:t>
      </w:r>
      <w:r w:rsidR="00612B14">
        <w:rPr>
          <w:rFonts w:asciiTheme="minorHAnsi" w:hAnsiTheme="minorHAnsi"/>
          <w:b/>
          <w:sz w:val="22"/>
        </w:rPr>
        <w:t>7</w:t>
      </w:r>
      <w:r w:rsidR="00D403E9" w:rsidRPr="000F0BAE">
        <w:rPr>
          <w:rFonts w:asciiTheme="minorHAnsi" w:hAnsiTheme="minorHAnsi"/>
          <w:b/>
          <w:sz w:val="22"/>
        </w:rPr>
        <w:t>-20</w:t>
      </w:r>
      <w:r w:rsidR="00F63F03">
        <w:rPr>
          <w:rFonts w:asciiTheme="minorHAnsi" w:hAnsiTheme="minorHAnsi"/>
          <w:b/>
          <w:sz w:val="22"/>
        </w:rPr>
        <w:t>2</w:t>
      </w:r>
      <w:r w:rsidR="00612B14">
        <w:rPr>
          <w:rFonts w:asciiTheme="minorHAnsi" w:hAnsiTheme="minorHAnsi"/>
          <w:b/>
          <w:sz w:val="22"/>
        </w:rPr>
        <w:t>1</w:t>
      </w:r>
    </w:p>
    <w:tbl>
      <w:tblPr>
        <w:tblStyle w:val="MediumGrid1-Accent2"/>
        <w:tblW w:w="0" w:type="auto"/>
        <w:jc w:val="center"/>
        <w:tblLayout w:type="fixed"/>
        <w:tblLook w:val="04A0" w:firstRow="1" w:lastRow="0" w:firstColumn="1" w:lastColumn="0" w:noHBand="0" w:noVBand="1"/>
      </w:tblPr>
      <w:tblGrid>
        <w:gridCol w:w="1528"/>
        <w:gridCol w:w="1194"/>
        <w:gridCol w:w="1194"/>
        <w:gridCol w:w="1194"/>
      </w:tblGrid>
      <w:tr w:rsidR="003E5C0A" w:rsidRPr="00CE3F54" w14:paraId="08FEB086" w14:textId="77777777" w:rsidTr="00BF035E">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528" w:type="dxa"/>
          </w:tcPr>
          <w:p w14:paraId="2891D158" w14:textId="77777777" w:rsidR="003E5C0A" w:rsidRPr="00CE3F54" w:rsidRDefault="003E5C0A" w:rsidP="000C02FF">
            <w:pPr>
              <w:rPr>
                <w:rFonts w:asciiTheme="minorHAnsi" w:hAnsiTheme="minorHAnsi"/>
              </w:rPr>
            </w:pPr>
          </w:p>
        </w:tc>
        <w:tc>
          <w:tcPr>
            <w:tcW w:w="1194" w:type="dxa"/>
          </w:tcPr>
          <w:p w14:paraId="7D18E32C" w14:textId="77777777" w:rsidR="003E5C0A" w:rsidRPr="00CE3F54" w:rsidRDefault="003E5C0A" w:rsidP="000C02F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CE3F54">
              <w:rPr>
                <w:rFonts w:asciiTheme="minorHAnsi" w:hAnsiTheme="minorHAnsi"/>
              </w:rPr>
              <w:t>Overall</w:t>
            </w:r>
          </w:p>
        </w:tc>
        <w:tc>
          <w:tcPr>
            <w:tcW w:w="1194" w:type="dxa"/>
          </w:tcPr>
          <w:p w14:paraId="3ED016C1" w14:textId="77777777" w:rsidR="003E5C0A" w:rsidRPr="00CE3F54" w:rsidRDefault="003E5C0A" w:rsidP="000C02F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CE3F54">
              <w:rPr>
                <w:rFonts w:asciiTheme="minorHAnsi" w:hAnsiTheme="minorHAnsi"/>
              </w:rPr>
              <w:t>Male</w:t>
            </w:r>
          </w:p>
        </w:tc>
        <w:tc>
          <w:tcPr>
            <w:tcW w:w="1194" w:type="dxa"/>
          </w:tcPr>
          <w:p w14:paraId="5005C90C" w14:textId="77777777" w:rsidR="003E5C0A" w:rsidRPr="00CE3F54" w:rsidRDefault="003E5C0A" w:rsidP="000C02F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CE3F54">
              <w:rPr>
                <w:rFonts w:asciiTheme="minorHAnsi" w:hAnsiTheme="minorHAnsi"/>
              </w:rPr>
              <w:t>Female</w:t>
            </w:r>
          </w:p>
        </w:tc>
      </w:tr>
      <w:tr w:rsidR="00B12EC2" w:rsidRPr="00CE3F54" w14:paraId="1AE07594" w14:textId="77777777" w:rsidTr="00A35C38">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528" w:type="dxa"/>
          </w:tcPr>
          <w:p w14:paraId="2DC6AC05" w14:textId="77777777" w:rsidR="00B12EC2" w:rsidRPr="00C8062C" w:rsidRDefault="00B12EC2" w:rsidP="00663AAB">
            <w:pPr>
              <w:jc w:val="right"/>
              <w:rPr>
                <w:rFonts w:asciiTheme="minorHAnsi" w:hAnsiTheme="minorHAnsi"/>
              </w:rPr>
            </w:pPr>
            <w:r w:rsidRPr="00C8062C">
              <w:rPr>
                <w:rFonts w:asciiTheme="minorHAnsi" w:hAnsiTheme="minorHAnsi"/>
              </w:rPr>
              <w:t>U.S.</w:t>
            </w:r>
          </w:p>
        </w:tc>
        <w:tc>
          <w:tcPr>
            <w:tcW w:w="1194" w:type="dxa"/>
            <w:vAlign w:val="bottom"/>
          </w:tcPr>
          <w:p w14:paraId="39C1FD28" w14:textId="758B9D9F" w:rsidR="00B12EC2" w:rsidRPr="00C8062C" w:rsidRDefault="00B12EC2" w:rsidP="00B12E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444.6</w:t>
            </w:r>
          </w:p>
        </w:tc>
        <w:tc>
          <w:tcPr>
            <w:tcW w:w="1194" w:type="dxa"/>
            <w:vAlign w:val="bottom"/>
          </w:tcPr>
          <w:p w14:paraId="6219A9FE" w14:textId="70A5134E" w:rsidR="00B12EC2" w:rsidRPr="00C8062C" w:rsidRDefault="00B12EC2" w:rsidP="00B12E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Calibri" w:hAnsi="Calibri" w:cs="Calibri"/>
                <w:color w:val="000000"/>
              </w:rPr>
              <w:t>481.3</w:t>
            </w:r>
          </w:p>
        </w:tc>
        <w:tc>
          <w:tcPr>
            <w:tcW w:w="1194" w:type="dxa"/>
            <w:vAlign w:val="bottom"/>
          </w:tcPr>
          <w:p w14:paraId="0D9B5389" w14:textId="16B7AAAE" w:rsidR="00B12EC2" w:rsidRPr="00C8062C" w:rsidRDefault="00B12EC2" w:rsidP="00B12E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Calibri" w:hAnsi="Calibri" w:cs="Calibri"/>
                <w:color w:val="000000"/>
              </w:rPr>
              <w:t>421.3</w:t>
            </w:r>
          </w:p>
        </w:tc>
      </w:tr>
      <w:tr w:rsidR="00B12EC2" w:rsidRPr="00CE3F54" w14:paraId="441E9B31" w14:textId="77777777" w:rsidTr="00401843">
        <w:trPr>
          <w:trHeight w:val="233"/>
          <w:jc w:val="center"/>
        </w:trPr>
        <w:tc>
          <w:tcPr>
            <w:cnfStyle w:val="001000000000" w:firstRow="0" w:lastRow="0" w:firstColumn="1" w:lastColumn="0" w:oddVBand="0" w:evenVBand="0" w:oddHBand="0" w:evenHBand="0" w:firstRowFirstColumn="0" w:firstRowLastColumn="0" w:lastRowFirstColumn="0" w:lastRowLastColumn="0"/>
            <w:tcW w:w="1528" w:type="dxa"/>
          </w:tcPr>
          <w:p w14:paraId="300B7B32" w14:textId="77777777" w:rsidR="00B12EC2" w:rsidRPr="00C8062C" w:rsidRDefault="00B12EC2" w:rsidP="00663AAB">
            <w:pPr>
              <w:jc w:val="right"/>
              <w:rPr>
                <w:rFonts w:asciiTheme="minorHAnsi" w:hAnsiTheme="minorHAnsi"/>
              </w:rPr>
            </w:pPr>
            <w:r w:rsidRPr="00C8062C">
              <w:rPr>
                <w:rFonts w:asciiTheme="minorHAnsi" w:hAnsiTheme="minorHAnsi"/>
              </w:rPr>
              <w:t>Delaware</w:t>
            </w:r>
          </w:p>
        </w:tc>
        <w:tc>
          <w:tcPr>
            <w:tcW w:w="1194" w:type="dxa"/>
            <w:vAlign w:val="bottom"/>
          </w:tcPr>
          <w:p w14:paraId="4381EB21" w14:textId="7E493A41" w:rsidR="00B12EC2" w:rsidRPr="00C8062C" w:rsidRDefault="00B12EC2" w:rsidP="00B12E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rPr>
              <w:t>462.1</w:t>
            </w:r>
          </w:p>
        </w:tc>
        <w:tc>
          <w:tcPr>
            <w:tcW w:w="1194" w:type="dxa"/>
            <w:vAlign w:val="bottom"/>
          </w:tcPr>
          <w:p w14:paraId="6A263324" w14:textId="4D12D606" w:rsidR="00B12EC2" w:rsidRPr="00C8062C" w:rsidRDefault="00B12EC2" w:rsidP="00B12E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Calibri" w:hAnsi="Calibri" w:cs="Calibri"/>
              </w:rPr>
              <w:t>502.5</w:t>
            </w:r>
          </w:p>
        </w:tc>
        <w:tc>
          <w:tcPr>
            <w:tcW w:w="1194" w:type="dxa"/>
            <w:vAlign w:val="bottom"/>
          </w:tcPr>
          <w:p w14:paraId="5684EA55" w14:textId="0FDB716A" w:rsidR="00B12EC2" w:rsidRPr="00C8062C" w:rsidRDefault="00B12EC2" w:rsidP="00B12E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Calibri" w:hAnsi="Calibri" w:cs="Calibri"/>
              </w:rPr>
              <w:t>433.9</w:t>
            </w:r>
          </w:p>
        </w:tc>
      </w:tr>
      <w:tr w:rsidR="00B12EC2" w:rsidRPr="00CE3F54" w14:paraId="40151743" w14:textId="77777777" w:rsidTr="00401843">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528" w:type="dxa"/>
          </w:tcPr>
          <w:p w14:paraId="6534783F" w14:textId="1E2230D0" w:rsidR="00B12EC2" w:rsidRPr="00C8062C" w:rsidRDefault="00B12EC2" w:rsidP="00663AAB">
            <w:pPr>
              <w:jc w:val="right"/>
              <w:rPr>
                <w:rFonts w:asciiTheme="minorHAnsi" w:hAnsiTheme="minorHAnsi"/>
                <w:b w:val="0"/>
              </w:rPr>
            </w:pPr>
            <w:r w:rsidRPr="00C8062C">
              <w:rPr>
                <w:rFonts w:asciiTheme="minorHAnsi" w:hAnsiTheme="minorHAnsi"/>
              </w:rPr>
              <w:t xml:space="preserve">Kent </w:t>
            </w:r>
          </w:p>
        </w:tc>
        <w:tc>
          <w:tcPr>
            <w:tcW w:w="1194" w:type="dxa"/>
            <w:vAlign w:val="bottom"/>
          </w:tcPr>
          <w:p w14:paraId="28F5F3BC" w14:textId="7712533A" w:rsidR="00B12EC2" w:rsidRPr="00C8062C" w:rsidRDefault="00B12EC2" w:rsidP="00B12E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498.5</w:t>
            </w:r>
          </w:p>
        </w:tc>
        <w:tc>
          <w:tcPr>
            <w:tcW w:w="1194" w:type="dxa"/>
            <w:vAlign w:val="bottom"/>
          </w:tcPr>
          <w:p w14:paraId="7E944DE2" w14:textId="1800742F" w:rsidR="00B12EC2" w:rsidRPr="00C8062C" w:rsidRDefault="00B12EC2" w:rsidP="00B12E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Calibri" w:hAnsi="Calibri" w:cs="Calibri"/>
                <w:color w:val="000000"/>
              </w:rPr>
              <w:t>560.7</w:t>
            </w:r>
          </w:p>
        </w:tc>
        <w:tc>
          <w:tcPr>
            <w:tcW w:w="1194" w:type="dxa"/>
            <w:vAlign w:val="bottom"/>
          </w:tcPr>
          <w:p w14:paraId="1A7CC819" w14:textId="1CAE884C" w:rsidR="00B12EC2" w:rsidRPr="00C8062C" w:rsidRDefault="00B12EC2" w:rsidP="00B12E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Calibri" w:hAnsi="Calibri" w:cs="Calibri"/>
                <w:color w:val="000000"/>
              </w:rPr>
              <w:t>451.2</w:t>
            </w:r>
          </w:p>
        </w:tc>
      </w:tr>
      <w:tr w:rsidR="00B12EC2" w:rsidRPr="00CE3F54" w14:paraId="1B050F83" w14:textId="77777777" w:rsidTr="00401843">
        <w:trPr>
          <w:trHeight w:val="240"/>
          <w:jc w:val="center"/>
        </w:trPr>
        <w:tc>
          <w:tcPr>
            <w:cnfStyle w:val="001000000000" w:firstRow="0" w:lastRow="0" w:firstColumn="1" w:lastColumn="0" w:oddVBand="0" w:evenVBand="0" w:oddHBand="0" w:evenHBand="0" w:firstRowFirstColumn="0" w:firstRowLastColumn="0" w:lastRowFirstColumn="0" w:lastRowLastColumn="0"/>
            <w:tcW w:w="1528" w:type="dxa"/>
          </w:tcPr>
          <w:p w14:paraId="042A3751" w14:textId="20B75735" w:rsidR="00B12EC2" w:rsidRPr="00C8062C" w:rsidRDefault="00B12EC2" w:rsidP="00663AAB">
            <w:pPr>
              <w:jc w:val="right"/>
              <w:rPr>
                <w:rFonts w:asciiTheme="minorHAnsi" w:hAnsiTheme="minorHAnsi"/>
                <w:b w:val="0"/>
              </w:rPr>
            </w:pPr>
            <w:r w:rsidRPr="00C8062C">
              <w:rPr>
                <w:rFonts w:asciiTheme="minorHAnsi" w:hAnsiTheme="minorHAnsi"/>
              </w:rPr>
              <w:t xml:space="preserve">New Castle </w:t>
            </w:r>
          </w:p>
        </w:tc>
        <w:tc>
          <w:tcPr>
            <w:tcW w:w="1194" w:type="dxa"/>
            <w:vAlign w:val="bottom"/>
          </w:tcPr>
          <w:p w14:paraId="6298C6F6" w14:textId="610C79BC" w:rsidR="00B12EC2" w:rsidRPr="00C8062C" w:rsidRDefault="00B12EC2" w:rsidP="00B12E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451.8</w:t>
            </w:r>
          </w:p>
        </w:tc>
        <w:tc>
          <w:tcPr>
            <w:tcW w:w="1194" w:type="dxa"/>
            <w:vAlign w:val="bottom"/>
          </w:tcPr>
          <w:p w14:paraId="1A15AF79" w14:textId="42C313EF" w:rsidR="00B12EC2" w:rsidRPr="00C8062C" w:rsidRDefault="00B12EC2" w:rsidP="00B12E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Calibri" w:hAnsi="Calibri" w:cs="Calibri"/>
                <w:color w:val="000000"/>
              </w:rPr>
              <w:t>482.1</w:t>
            </w:r>
          </w:p>
        </w:tc>
        <w:tc>
          <w:tcPr>
            <w:tcW w:w="1194" w:type="dxa"/>
            <w:vAlign w:val="bottom"/>
          </w:tcPr>
          <w:p w14:paraId="4CF98235" w14:textId="51A5BF6A" w:rsidR="00B12EC2" w:rsidRPr="00C8062C" w:rsidRDefault="00B12EC2" w:rsidP="00B12E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Calibri" w:hAnsi="Calibri" w:cs="Calibri"/>
                <w:color w:val="000000"/>
              </w:rPr>
              <w:t>433.7</w:t>
            </w:r>
          </w:p>
        </w:tc>
      </w:tr>
      <w:tr w:rsidR="00B12EC2" w:rsidRPr="00CE3F54" w14:paraId="6E95A037" w14:textId="77777777" w:rsidTr="00401843">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528" w:type="dxa"/>
          </w:tcPr>
          <w:p w14:paraId="2C30C96A" w14:textId="292F7EDA" w:rsidR="00B12EC2" w:rsidRPr="00C8062C" w:rsidRDefault="00B12EC2" w:rsidP="00663AAB">
            <w:pPr>
              <w:jc w:val="right"/>
              <w:rPr>
                <w:rFonts w:asciiTheme="minorHAnsi" w:hAnsiTheme="minorHAnsi"/>
                <w:b w:val="0"/>
              </w:rPr>
            </w:pPr>
            <w:r w:rsidRPr="00C8062C">
              <w:rPr>
                <w:rFonts w:asciiTheme="minorHAnsi" w:hAnsiTheme="minorHAnsi"/>
              </w:rPr>
              <w:t xml:space="preserve">Sussex </w:t>
            </w:r>
          </w:p>
        </w:tc>
        <w:tc>
          <w:tcPr>
            <w:tcW w:w="1194" w:type="dxa"/>
            <w:vAlign w:val="bottom"/>
          </w:tcPr>
          <w:p w14:paraId="66ABC385" w14:textId="3161F8F9" w:rsidR="00B12EC2" w:rsidRPr="00C8062C" w:rsidRDefault="00B12EC2" w:rsidP="00B12E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460.9</w:t>
            </w:r>
          </w:p>
        </w:tc>
        <w:tc>
          <w:tcPr>
            <w:tcW w:w="1194" w:type="dxa"/>
            <w:vAlign w:val="bottom"/>
          </w:tcPr>
          <w:p w14:paraId="6678A140" w14:textId="0E358A71" w:rsidR="00B12EC2" w:rsidRPr="00C8062C" w:rsidRDefault="00B12EC2" w:rsidP="00B12E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Calibri" w:hAnsi="Calibri" w:cs="Calibri"/>
                <w:color w:val="000000"/>
              </w:rPr>
              <w:t>504.4</w:t>
            </w:r>
          </w:p>
        </w:tc>
        <w:tc>
          <w:tcPr>
            <w:tcW w:w="1194" w:type="dxa"/>
            <w:vAlign w:val="bottom"/>
          </w:tcPr>
          <w:p w14:paraId="3CCF0F95" w14:textId="03011C82" w:rsidR="00B12EC2" w:rsidRPr="00C8062C" w:rsidRDefault="00B12EC2" w:rsidP="00B12E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Calibri" w:hAnsi="Calibri" w:cs="Calibri"/>
                <w:color w:val="000000"/>
              </w:rPr>
              <w:t>427.7</w:t>
            </w:r>
          </w:p>
        </w:tc>
      </w:tr>
    </w:tbl>
    <w:p w14:paraId="31EB3090" w14:textId="40A7D628" w:rsidR="00096AC4" w:rsidRPr="008617B1" w:rsidRDefault="003E5C0A" w:rsidP="005F684C">
      <w:pPr>
        <w:pStyle w:val="NoSpacing"/>
        <w:tabs>
          <w:tab w:val="left" w:pos="2340"/>
        </w:tabs>
        <w:ind w:left="2340" w:right="2423"/>
        <w:rPr>
          <w:rFonts w:asciiTheme="minorHAnsi" w:hAnsiTheme="minorHAnsi"/>
          <w:i/>
          <w:sz w:val="16"/>
          <w:szCs w:val="16"/>
        </w:rPr>
      </w:pPr>
      <w:r w:rsidRPr="008617B1">
        <w:rPr>
          <w:rFonts w:asciiTheme="minorHAnsi" w:hAnsiTheme="minorHAnsi"/>
          <w:i/>
          <w:sz w:val="16"/>
          <w:szCs w:val="16"/>
        </w:rPr>
        <w:t xml:space="preserve">Source (Delaware): </w:t>
      </w:r>
      <w:r w:rsidR="00096AC4" w:rsidRPr="008617B1">
        <w:rPr>
          <w:rFonts w:asciiTheme="minorHAnsi" w:hAnsiTheme="minorHAnsi"/>
          <w:i/>
          <w:sz w:val="16"/>
          <w:szCs w:val="16"/>
        </w:rPr>
        <w:t>Delaware Department of Health and Social Services, Division of Public Health, Delaware Cancer Registry</w:t>
      </w:r>
      <w:r w:rsidR="00E33BCD" w:rsidRPr="008617B1">
        <w:rPr>
          <w:rFonts w:asciiTheme="minorHAnsi" w:hAnsiTheme="minorHAnsi"/>
          <w:i/>
          <w:sz w:val="16"/>
          <w:szCs w:val="16"/>
        </w:rPr>
        <w:t>, 20</w:t>
      </w:r>
      <w:r w:rsidR="008C35B4" w:rsidRPr="008617B1">
        <w:rPr>
          <w:rFonts w:asciiTheme="minorHAnsi" w:hAnsiTheme="minorHAnsi"/>
          <w:i/>
          <w:sz w:val="16"/>
          <w:szCs w:val="16"/>
        </w:rPr>
        <w:t>2</w:t>
      </w:r>
      <w:r w:rsidR="000126D4">
        <w:rPr>
          <w:rFonts w:asciiTheme="minorHAnsi" w:hAnsiTheme="minorHAnsi"/>
          <w:i/>
          <w:sz w:val="16"/>
          <w:szCs w:val="16"/>
        </w:rPr>
        <w:t>4</w:t>
      </w:r>
    </w:p>
    <w:p w14:paraId="074812BA" w14:textId="318B2FAA" w:rsidR="00096AC4" w:rsidRPr="008617B1" w:rsidRDefault="003E5C0A" w:rsidP="005F684C">
      <w:pPr>
        <w:pStyle w:val="NoSpacing"/>
        <w:ind w:left="2340" w:right="2423"/>
        <w:rPr>
          <w:rFonts w:asciiTheme="minorHAnsi" w:hAnsiTheme="minorHAnsi"/>
          <w:i/>
          <w:sz w:val="16"/>
          <w:szCs w:val="16"/>
        </w:rPr>
      </w:pPr>
      <w:r w:rsidRPr="008617B1">
        <w:rPr>
          <w:rFonts w:asciiTheme="minorHAnsi" w:hAnsiTheme="minorHAnsi"/>
          <w:i/>
          <w:sz w:val="16"/>
          <w:szCs w:val="16"/>
        </w:rPr>
        <w:t xml:space="preserve">Source (U.S.): </w:t>
      </w:r>
      <w:r w:rsidR="000F0BAE" w:rsidRPr="008617B1">
        <w:rPr>
          <w:rFonts w:asciiTheme="minorHAnsi" w:hAnsiTheme="minorHAnsi" w:cstheme="minorHAnsi"/>
          <w:color w:val="000000"/>
          <w:sz w:val="16"/>
          <w:szCs w:val="16"/>
          <w:shd w:val="clear" w:color="auto" w:fill="FFFFFF"/>
        </w:rPr>
        <w:t>National Program of Cancer Registries and Surveillance, Epidemiology, and End Results Program SEER*Stat Database: U.S. Cancer Statistics 2001–20</w:t>
      </w:r>
      <w:r w:rsidR="00EC494C">
        <w:rPr>
          <w:rFonts w:asciiTheme="minorHAnsi" w:hAnsiTheme="minorHAnsi" w:cstheme="minorHAnsi"/>
          <w:color w:val="000000"/>
          <w:sz w:val="16"/>
          <w:szCs w:val="16"/>
          <w:shd w:val="clear" w:color="auto" w:fill="FFFFFF"/>
        </w:rPr>
        <w:t>2</w:t>
      </w:r>
      <w:r w:rsidR="000126D4">
        <w:rPr>
          <w:rFonts w:asciiTheme="minorHAnsi" w:hAnsiTheme="minorHAnsi" w:cstheme="minorHAnsi"/>
          <w:color w:val="000000"/>
          <w:sz w:val="16"/>
          <w:szCs w:val="16"/>
          <w:shd w:val="clear" w:color="auto" w:fill="FFFFFF"/>
        </w:rPr>
        <w:t>1</w:t>
      </w:r>
      <w:r w:rsidR="000F0BAE" w:rsidRPr="008617B1">
        <w:rPr>
          <w:rFonts w:asciiTheme="minorHAnsi" w:hAnsiTheme="minorHAnsi" w:cstheme="minorHAnsi"/>
          <w:color w:val="000000"/>
          <w:sz w:val="16"/>
          <w:szCs w:val="16"/>
          <w:shd w:val="clear" w:color="auto" w:fill="FFFFFF"/>
        </w:rPr>
        <w:t xml:space="preserve"> Public Use Research Database, 202</w:t>
      </w:r>
      <w:r w:rsidR="000126D4">
        <w:rPr>
          <w:rFonts w:asciiTheme="minorHAnsi" w:hAnsiTheme="minorHAnsi" w:cstheme="minorHAnsi"/>
          <w:color w:val="000000"/>
          <w:sz w:val="16"/>
          <w:szCs w:val="16"/>
          <w:shd w:val="clear" w:color="auto" w:fill="FFFFFF"/>
        </w:rPr>
        <w:t>3</w:t>
      </w:r>
      <w:r w:rsidR="000F0BAE" w:rsidRPr="008617B1">
        <w:rPr>
          <w:rFonts w:asciiTheme="minorHAnsi" w:hAnsiTheme="minorHAnsi" w:cstheme="minorHAnsi"/>
          <w:color w:val="000000"/>
          <w:sz w:val="16"/>
          <w:szCs w:val="16"/>
          <w:shd w:val="clear" w:color="auto" w:fill="FFFFFF"/>
        </w:rPr>
        <w:t xml:space="preserve"> submission</w:t>
      </w:r>
      <w:r w:rsidR="000126D4">
        <w:rPr>
          <w:rFonts w:asciiTheme="minorHAnsi" w:hAnsiTheme="minorHAnsi" w:cstheme="minorHAnsi"/>
          <w:color w:val="000000"/>
          <w:sz w:val="16"/>
          <w:szCs w:val="16"/>
          <w:shd w:val="clear" w:color="auto" w:fill="FFFFFF"/>
        </w:rPr>
        <w:t>.</w:t>
      </w:r>
    </w:p>
    <w:p w14:paraId="1047FE7F" w14:textId="7B52C4BD" w:rsidR="003E5C0A" w:rsidRPr="005F684C" w:rsidRDefault="003E5C0A" w:rsidP="005F684C">
      <w:pPr>
        <w:pStyle w:val="NoSpacing"/>
        <w:ind w:left="2340" w:right="2423"/>
        <w:rPr>
          <w:rFonts w:asciiTheme="minorHAnsi" w:hAnsiTheme="minorHAnsi"/>
          <w:sz w:val="16"/>
          <w:szCs w:val="16"/>
        </w:rPr>
      </w:pPr>
      <w:r w:rsidRPr="008617B1">
        <w:rPr>
          <w:rFonts w:asciiTheme="minorHAnsi" w:hAnsiTheme="minorHAnsi"/>
          <w:sz w:val="16"/>
          <w:szCs w:val="16"/>
        </w:rPr>
        <w:t>Rates are per 100,000 of population age-adjusted to the 2000 U.S. standard population</w:t>
      </w:r>
      <w:r w:rsidR="00403892" w:rsidRPr="008617B1">
        <w:rPr>
          <w:rFonts w:asciiTheme="minorHAnsi" w:hAnsiTheme="minorHAnsi"/>
          <w:sz w:val="16"/>
          <w:szCs w:val="16"/>
        </w:rPr>
        <w:t>.</w:t>
      </w:r>
    </w:p>
    <w:p w14:paraId="3BD6BB0D" w14:textId="477E1576" w:rsidR="00D93919" w:rsidRPr="00CE3F54" w:rsidRDefault="002C4F16" w:rsidP="00884025">
      <w:pPr>
        <w:rPr>
          <w:rFonts w:asciiTheme="minorHAnsi" w:hAnsiTheme="minorHAnsi"/>
          <w:sz w:val="14"/>
        </w:rPr>
      </w:pPr>
      <w:r>
        <w:rPr>
          <w:rFonts w:asciiTheme="minorHAnsi" w:hAnsiTheme="minorHAnsi"/>
          <w:sz w:val="14"/>
        </w:rPr>
        <w:tab/>
      </w:r>
    </w:p>
    <w:p w14:paraId="2D7AC595" w14:textId="77777777" w:rsidR="00663AAB" w:rsidRDefault="00663AAB">
      <w:pPr>
        <w:rPr>
          <w:rFonts w:asciiTheme="minorHAnsi" w:hAnsiTheme="minorHAnsi"/>
          <w:b/>
          <w:caps/>
          <w:spacing w:val="10"/>
          <w:szCs w:val="18"/>
        </w:rPr>
      </w:pPr>
      <w:r>
        <w:rPr>
          <w:rFonts w:asciiTheme="minorHAnsi" w:hAnsiTheme="minorHAnsi"/>
          <w:b/>
        </w:rPr>
        <w:br w:type="page"/>
      </w:r>
    </w:p>
    <w:p w14:paraId="5838812A" w14:textId="15B074BA" w:rsidR="003E5C0A" w:rsidRDefault="003E5C0A" w:rsidP="00374244">
      <w:pPr>
        <w:pStyle w:val="Caption"/>
        <w:spacing w:after="120" w:line="240" w:lineRule="auto"/>
        <w:jc w:val="center"/>
        <w:rPr>
          <w:rFonts w:asciiTheme="minorHAnsi" w:hAnsiTheme="minorHAnsi"/>
          <w:b/>
          <w:sz w:val="22"/>
        </w:rPr>
      </w:pPr>
      <w:r w:rsidRPr="000F0BAE">
        <w:rPr>
          <w:rFonts w:asciiTheme="minorHAnsi" w:hAnsiTheme="minorHAnsi"/>
          <w:b/>
          <w:sz w:val="22"/>
        </w:rPr>
        <w:lastRenderedPageBreak/>
        <w:t xml:space="preserve">Figure </w:t>
      </w:r>
      <w:r w:rsidR="0053223C" w:rsidRPr="000F0BAE">
        <w:rPr>
          <w:rFonts w:asciiTheme="minorHAnsi" w:hAnsiTheme="minorHAnsi"/>
          <w:b/>
          <w:sz w:val="22"/>
        </w:rPr>
        <w:fldChar w:fldCharType="begin"/>
      </w:r>
      <w:r w:rsidR="0053223C" w:rsidRPr="000F0BAE">
        <w:rPr>
          <w:rFonts w:asciiTheme="minorHAnsi" w:hAnsiTheme="minorHAnsi"/>
          <w:b/>
          <w:sz w:val="22"/>
        </w:rPr>
        <w:instrText xml:space="preserve"> STYLEREF 1 \s </w:instrText>
      </w:r>
      <w:r w:rsidR="0053223C" w:rsidRPr="000F0BAE">
        <w:rPr>
          <w:rFonts w:asciiTheme="minorHAnsi" w:hAnsiTheme="minorHAnsi"/>
          <w:b/>
          <w:sz w:val="22"/>
        </w:rPr>
        <w:fldChar w:fldCharType="separate"/>
      </w:r>
      <w:r w:rsidR="006C24CC">
        <w:rPr>
          <w:rFonts w:asciiTheme="minorHAnsi" w:hAnsiTheme="minorHAnsi"/>
          <w:b/>
          <w:noProof/>
          <w:sz w:val="22"/>
        </w:rPr>
        <w:t>2</w:t>
      </w:r>
      <w:r w:rsidR="0053223C" w:rsidRPr="000F0BAE">
        <w:rPr>
          <w:rFonts w:asciiTheme="minorHAnsi" w:hAnsiTheme="minorHAnsi"/>
          <w:b/>
          <w:sz w:val="22"/>
        </w:rPr>
        <w:fldChar w:fldCharType="end"/>
      </w:r>
      <w:r w:rsidR="0053223C" w:rsidRPr="000F0BAE">
        <w:rPr>
          <w:rFonts w:asciiTheme="minorHAnsi" w:hAnsiTheme="minorHAnsi"/>
          <w:b/>
          <w:sz w:val="22"/>
        </w:rPr>
        <w:noBreakHyphen/>
      </w:r>
      <w:r w:rsidR="0053223C" w:rsidRPr="000F0BAE">
        <w:rPr>
          <w:rFonts w:asciiTheme="minorHAnsi" w:hAnsiTheme="minorHAnsi"/>
          <w:b/>
          <w:sz w:val="22"/>
        </w:rPr>
        <w:fldChar w:fldCharType="begin"/>
      </w:r>
      <w:r w:rsidR="0053223C" w:rsidRPr="000F0BAE">
        <w:rPr>
          <w:rFonts w:asciiTheme="minorHAnsi" w:hAnsiTheme="minorHAnsi"/>
          <w:b/>
          <w:sz w:val="22"/>
        </w:rPr>
        <w:instrText xml:space="preserve"> SEQ Figure \* ARABIC \s 1 </w:instrText>
      </w:r>
      <w:r w:rsidR="0053223C" w:rsidRPr="000F0BAE">
        <w:rPr>
          <w:rFonts w:asciiTheme="minorHAnsi" w:hAnsiTheme="minorHAnsi"/>
          <w:b/>
          <w:sz w:val="22"/>
        </w:rPr>
        <w:fldChar w:fldCharType="separate"/>
      </w:r>
      <w:r w:rsidR="006C24CC">
        <w:rPr>
          <w:rFonts w:asciiTheme="minorHAnsi" w:hAnsiTheme="minorHAnsi"/>
          <w:b/>
          <w:noProof/>
          <w:sz w:val="22"/>
        </w:rPr>
        <w:t>1</w:t>
      </w:r>
      <w:r w:rsidR="0053223C" w:rsidRPr="000F0BAE">
        <w:rPr>
          <w:rFonts w:asciiTheme="minorHAnsi" w:hAnsiTheme="minorHAnsi"/>
          <w:b/>
          <w:sz w:val="22"/>
        </w:rPr>
        <w:fldChar w:fldCharType="end"/>
      </w:r>
      <w:r w:rsidRPr="000F0BAE">
        <w:rPr>
          <w:rFonts w:asciiTheme="minorHAnsi" w:hAnsiTheme="minorHAnsi"/>
          <w:b/>
          <w:sz w:val="22"/>
        </w:rPr>
        <w:t xml:space="preserve">: FIVE-YEAR AVERAGE AGE-ADJUSTED ALL-SITE CANCER INCIDENCE RATES </w:t>
      </w:r>
      <w:r w:rsidR="00315A11" w:rsidRPr="000F0BAE">
        <w:rPr>
          <w:rFonts w:asciiTheme="minorHAnsi" w:hAnsiTheme="minorHAnsi"/>
          <w:b/>
          <w:sz w:val="22"/>
        </w:rPr>
        <w:t>BY SEX AND RACE/ETHNICITY</w:t>
      </w:r>
      <w:r w:rsidRPr="000F0BAE">
        <w:rPr>
          <w:rFonts w:asciiTheme="minorHAnsi" w:hAnsiTheme="minorHAnsi"/>
          <w:b/>
          <w:sz w:val="22"/>
        </w:rPr>
        <w:t xml:space="preserve">; U.S. and Delaware, </w:t>
      </w:r>
      <w:r w:rsidR="00D403E9" w:rsidRPr="000F0BAE">
        <w:rPr>
          <w:rFonts w:asciiTheme="minorHAnsi" w:hAnsiTheme="minorHAnsi"/>
          <w:b/>
          <w:sz w:val="22"/>
        </w:rPr>
        <w:t>201</w:t>
      </w:r>
      <w:r w:rsidR="0097186D">
        <w:rPr>
          <w:rFonts w:asciiTheme="minorHAnsi" w:hAnsiTheme="minorHAnsi"/>
          <w:b/>
          <w:sz w:val="22"/>
        </w:rPr>
        <w:t>7</w:t>
      </w:r>
      <w:r w:rsidR="00D403E9" w:rsidRPr="000F0BAE">
        <w:rPr>
          <w:rFonts w:asciiTheme="minorHAnsi" w:hAnsiTheme="minorHAnsi"/>
          <w:b/>
          <w:sz w:val="22"/>
        </w:rPr>
        <w:t>-20</w:t>
      </w:r>
      <w:r w:rsidR="008B641C">
        <w:rPr>
          <w:rFonts w:asciiTheme="minorHAnsi" w:hAnsiTheme="minorHAnsi"/>
          <w:b/>
          <w:sz w:val="22"/>
        </w:rPr>
        <w:t>2</w:t>
      </w:r>
      <w:r w:rsidR="0097186D">
        <w:rPr>
          <w:rFonts w:asciiTheme="minorHAnsi" w:hAnsiTheme="minorHAnsi"/>
          <w:b/>
          <w:sz w:val="22"/>
        </w:rPr>
        <w:t>1</w:t>
      </w:r>
    </w:p>
    <w:p w14:paraId="0AC014C2" w14:textId="39D4F1CE" w:rsidR="003E5C0A" w:rsidRPr="00A81ABA" w:rsidRDefault="003640CC" w:rsidP="00A81ABA">
      <w:pPr>
        <w:spacing w:after="0"/>
        <w:jc w:val="center"/>
      </w:pPr>
      <w:r w:rsidRPr="003640CC">
        <w:rPr>
          <w:noProof/>
        </w:rPr>
        <w:drawing>
          <wp:inline distT="0" distB="0" distL="0" distR="0" wp14:anchorId="394D3019" wp14:editId="41D91385">
            <wp:extent cx="4643755" cy="2833878"/>
            <wp:effectExtent l="19050" t="19050" r="23495" b="24130"/>
            <wp:docPr id="1636703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03043" name=""/>
                    <pic:cNvPicPr/>
                  </pic:nvPicPr>
                  <pic:blipFill rotWithShape="1">
                    <a:blip r:embed="rId24"/>
                    <a:srcRect l="760" t="4268" r="777" b="1203"/>
                    <a:stretch/>
                  </pic:blipFill>
                  <pic:spPr bwMode="auto">
                    <a:xfrm>
                      <a:off x="0" y="0"/>
                      <a:ext cx="4645755" cy="2835099"/>
                    </a:xfrm>
                    <a:prstGeom prst="rect">
                      <a:avLst/>
                    </a:prstGeom>
                    <a:ln w="9525" cap="flat" cmpd="sng" algn="ctr">
                      <a:solidFill>
                        <a:sysClr val="window" lastClr="FFFFFF">
                          <a:lumMod val="6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43A2C61" w14:textId="01CF842B" w:rsidR="00DC181D" w:rsidRDefault="003E5C0A" w:rsidP="001C343B">
      <w:pPr>
        <w:pStyle w:val="NoSpacing"/>
        <w:ind w:left="1296" w:right="1526"/>
        <w:rPr>
          <w:rFonts w:asciiTheme="minorHAnsi" w:hAnsiTheme="minorHAnsi"/>
          <w:i/>
          <w:sz w:val="16"/>
          <w:szCs w:val="16"/>
        </w:rPr>
      </w:pPr>
      <w:r w:rsidRPr="00012540">
        <w:rPr>
          <w:rFonts w:asciiTheme="minorHAnsi" w:hAnsiTheme="minorHAnsi"/>
          <w:i/>
          <w:sz w:val="16"/>
          <w:szCs w:val="16"/>
        </w:rPr>
        <w:t xml:space="preserve">Source (Delaware): </w:t>
      </w:r>
      <w:r w:rsidR="00096AC4" w:rsidRPr="00012540">
        <w:rPr>
          <w:rFonts w:asciiTheme="minorHAnsi" w:hAnsiTheme="minorHAnsi"/>
          <w:i/>
          <w:sz w:val="16"/>
          <w:szCs w:val="16"/>
        </w:rPr>
        <w:t>Delaware Department of Health and Social Services, Division of Public Health, Delaware Cancer Registry</w:t>
      </w:r>
      <w:r w:rsidR="00E33BCD" w:rsidRPr="00012540">
        <w:rPr>
          <w:rFonts w:asciiTheme="minorHAnsi" w:hAnsiTheme="minorHAnsi"/>
          <w:i/>
          <w:sz w:val="16"/>
          <w:szCs w:val="16"/>
        </w:rPr>
        <w:t>, 20</w:t>
      </w:r>
      <w:r w:rsidR="009C16C3" w:rsidRPr="00012540">
        <w:rPr>
          <w:rFonts w:asciiTheme="minorHAnsi" w:hAnsiTheme="minorHAnsi"/>
          <w:i/>
          <w:sz w:val="16"/>
          <w:szCs w:val="16"/>
        </w:rPr>
        <w:t>2</w:t>
      </w:r>
      <w:r w:rsidR="00104DD0">
        <w:rPr>
          <w:rFonts w:asciiTheme="minorHAnsi" w:hAnsiTheme="minorHAnsi"/>
          <w:i/>
          <w:sz w:val="16"/>
          <w:szCs w:val="16"/>
        </w:rPr>
        <w:t>4</w:t>
      </w:r>
    </w:p>
    <w:p w14:paraId="66B7CC69" w14:textId="62E03D08" w:rsidR="000F0BAE" w:rsidRPr="00012540" w:rsidRDefault="000F0BAE" w:rsidP="006D51FB">
      <w:pPr>
        <w:pStyle w:val="NoSpacing"/>
        <w:ind w:left="1296" w:right="1526"/>
        <w:rPr>
          <w:rFonts w:asciiTheme="minorHAnsi" w:hAnsiTheme="minorHAnsi" w:cstheme="minorHAnsi"/>
          <w:i/>
          <w:sz w:val="16"/>
          <w:szCs w:val="16"/>
        </w:rPr>
      </w:pPr>
      <w:r w:rsidRPr="00012540">
        <w:rPr>
          <w:rFonts w:asciiTheme="minorHAnsi" w:hAnsiTheme="minorHAnsi"/>
          <w:i/>
          <w:sz w:val="16"/>
          <w:szCs w:val="16"/>
        </w:rPr>
        <w:t xml:space="preserve">Source (U.S.): </w:t>
      </w:r>
      <w:r w:rsidRPr="00012540">
        <w:rPr>
          <w:rFonts w:asciiTheme="minorHAnsi" w:hAnsiTheme="minorHAnsi" w:cstheme="minorHAnsi"/>
          <w:color w:val="000000"/>
          <w:sz w:val="16"/>
          <w:szCs w:val="16"/>
          <w:shd w:val="clear" w:color="auto" w:fill="FFFFFF"/>
        </w:rPr>
        <w:t>National Program of Cancer Registries and Surveillance, Epidemiology, and End Results Program SEER*Stat Database:</w:t>
      </w:r>
      <w:r w:rsidR="00E6397A" w:rsidRPr="00012540">
        <w:rPr>
          <w:rFonts w:asciiTheme="minorHAnsi" w:hAnsiTheme="minorHAnsi" w:cstheme="minorHAnsi"/>
          <w:color w:val="000000"/>
          <w:sz w:val="16"/>
          <w:szCs w:val="16"/>
          <w:shd w:val="clear" w:color="auto" w:fill="FFFFFF"/>
        </w:rPr>
        <w:t xml:space="preserve"> </w:t>
      </w:r>
      <w:r w:rsidRPr="00012540">
        <w:rPr>
          <w:rFonts w:asciiTheme="minorHAnsi" w:hAnsiTheme="minorHAnsi" w:cstheme="minorHAnsi"/>
          <w:color w:val="000000"/>
          <w:sz w:val="16"/>
          <w:szCs w:val="16"/>
          <w:shd w:val="clear" w:color="auto" w:fill="FFFFFF"/>
        </w:rPr>
        <w:t>U.S. Cancer Statistics 2001–20</w:t>
      </w:r>
      <w:r w:rsidR="004E5822">
        <w:rPr>
          <w:rFonts w:asciiTheme="minorHAnsi" w:hAnsiTheme="minorHAnsi" w:cstheme="minorHAnsi"/>
          <w:color w:val="000000"/>
          <w:sz w:val="16"/>
          <w:szCs w:val="16"/>
          <w:shd w:val="clear" w:color="auto" w:fill="FFFFFF"/>
        </w:rPr>
        <w:t>2</w:t>
      </w:r>
      <w:r w:rsidR="00104DD0">
        <w:rPr>
          <w:rFonts w:asciiTheme="minorHAnsi" w:hAnsiTheme="minorHAnsi" w:cstheme="minorHAnsi"/>
          <w:color w:val="000000"/>
          <w:sz w:val="16"/>
          <w:szCs w:val="16"/>
          <w:shd w:val="clear" w:color="auto" w:fill="FFFFFF"/>
        </w:rPr>
        <w:t>1</w:t>
      </w:r>
      <w:r w:rsidRPr="00012540">
        <w:rPr>
          <w:rFonts w:asciiTheme="minorHAnsi" w:hAnsiTheme="minorHAnsi" w:cstheme="minorHAnsi"/>
          <w:color w:val="000000"/>
          <w:sz w:val="16"/>
          <w:szCs w:val="16"/>
          <w:shd w:val="clear" w:color="auto" w:fill="FFFFFF"/>
        </w:rPr>
        <w:t xml:space="preserve"> Public Use Research</w:t>
      </w:r>
      <w:r w:rsidR="00884025" w:rsidRPr="00012540">
        <w:rPr>
          <w:rFonts w:asciiTheme="minorHAnsi" w:hAnsiTheme="minorHAnsi" w:cstheme="minorHAnsi"/>
          <w:color w:val="000000"/>
          <w:sz w:val="16"/>
          <w:szCs w:val="16"/>
          <w:shd w:val="clear" w:color="auto" w:fill="FFFFFF"/>
        </w:rPr>
        <w:t xml:space="preserve"> </w:t>
      </w:r>
      <w:r w:rsidRPr="00012540">
        <w:rPr>
          <w:rFonts w:asciiTheme="minorHAnsi" w:hAnsiTheme="minorHAnsi" w:cstheme="minorHAnsi"/>
          <w:color w:val="000000"/>
          <w:sz w:val="16"/>
          <w:szCs w:val="16"/>
          <w:shd w:val="clear" w:color="auto" w:fill="FFFFFF"/>
        </w:rPr>
        <w:t>Database, 202</w:t>
      </w:r>
      <w:r w:rsidR="00104DD0">
        <w:rPr>
          <w:rFonts w:asciiTheme="minorHAnsi" w:hAnsiTheme="minorHAnsi" w:cstheme="minorHAnsi"/>
          <w:color w:val="000000"/>
          <w:sz w:val="16"/>
          <w:szCs w:val="16"/>
          <w:shd w:val="clear" w:color="auto" w:fill="FFFFFF"/>
        </w:rPr>
        <w:t>3</w:t>
      </w:r>
      <w:r w:rsidRPr="00012540">
        <w:rPr>
          <w:rFonts w:asciiTheme="minorHAnsi" w:hAnsiTheme="minorHAnsi" w:cstheme="minorHAnsi"/>
          <w:color w:val="000000"/>
          <w:sz w:val="16"/>
          <w:szCs w:val="16"/>
          <w:shd w:val="clear" w:color="auto" w:fill="FFFFFF"/>
        </w:rPr>
        <w:t xml:space="preserve"> submission</w:t>
      </w:r>
    </w:p>
    <w:p w14:paraId="6144C6EC" w14:textId="06E9A4F1" w:rsidR="007669D4" w:rsidRPr="005F684C" w:rsidRDefault="003E5C0A" w:rsidP="006D51FB">
      <w:pPr>
        <w:pStyle w:val="NoSpacing"/>
        <w:ind w:left="1296" w:right="1526"/>
        <w:rPr>
          <w:rFonts w:asciiTheme="minorHAnsi" w:hAnsiTheme="minorHAnsi"/>
          <w:sz w:val="16"/>
          <w:szCs w:val="16"/>
        </w:rPr>
      </w:pPr>
      <w:r w:rsidRPr="00012540">
        <w:rPr>
          <w:rFonts w:asciiTheme="minorHAnsi" w:hAnsiTheme="minorHAnsi"/>
          <w:sz w:val="16"/>
          <w:szCs w:val="16"/>
        </w:rPr>
        <w:t>Rates are per 100,000 of population age-adjusted to the 2000 U.S. standard population</w:t>
      </w:r>
      <w:r w:rsidR="007669D4">
        <w:rPr>
          <w:rFonts w:asciiTheme="minorHAnsi" w:hAnsiTheme="minorHAnsi"/>
          <w:sz w:val="16"/>
          <w:szCs w:val="16"/>
        </w:rPr>
        <w:t xml:space="preserve"> </w:t>
      </w:r>
      <w:bookmarkStart w:id="25" w:name="_Hlk147242368"/>
      <w:r w:rsidR="007669D4">
        <w:rPr>
          <w:rFonts w:asciiTheme="minorHAnsi" w:hAnsiTheme="minorHAnsi"/>
          <w:sz w:val="16"/>
          <w:szCs w:val="16"/>
        </w:rPr>
        <w:t>and are calculated using modified U.S. Census populations available from NCI</w:t>
      </w:r>
      <w:r w:rsidR="00B35F23">
        <w:rPr>
          <w:rFonts w:asciiTheme="minorHAnsi" w:hAnsiTheme="minorHAnsi"/>
          <w:sz w:val="16"/>
          <w:szCs w:val="16"/>
        </w:rPr>
        <w:t xml:space="preserve"> </w:t>
      </w:r>
      <w:r w:rsidR="007669D4">
        <w:rPr>
          <w:rFonts w:asciiTheme="minorHAnsi" w:hAnsiTheme="minorHAnsi"/>
          <w:sz w:val="16"/>
          <w:szCs w:val="16"/>
        </w:rPr>
        <w:t>(</w:t>
      </w:r>
      <w:hyperlink r:id="rId25" w:history="1">
        <w:r w:rsidR="007669D4" w:rsidRPr="00ED4EF5">
          <w:rPr>
            <w:rStyle w:val="Hyperlink"/>
            <w:rFonts w:asciiTheme="minorHAnsi" w:hAnsiTheme="minorHAnsi"/>
            <w:sz w:val="16"/>
            <w:szCs w:val="16"/>
          </w:rPr>
          <w:t>https://seer.cancer.gov/popdata/</w:t>
        </w:r>
      </w:hyperlink>
      <w:r w:rsidR="007669D4">
        <w:rPr>
          <w:rFonts w:asciiTheme="minorHAnsi" w:hAnsiTheme="minorHAnsi"/>
          <w:sz w:val="16"/>
          <w:szCs w:val="16"/>
        </w:rPr>
        <w:t>)</w:t>
      </w:r>
      <w:r w:rsidR="00B35F23">
        <w:rPr>
          <w:rFonts w:asciiTheme="minorHAnsi" w:hAnsiTheme="minorHAnsi"/>
          <w:sz w:val="16"/>
          <w:szCs w:val="16"/>
        </w:rPr>
        <w:t>.</w:t>
      </w:r>
      <w:r w:rsidR="007669D4">
        <w:rPr>
          <w:rFonts w:asciiTheme="minorHAnsi" w:hAnsiTheme="minorHAnsi"/>
          <w:sz w:val="16"/>
          <w:szCs w:val="16"/>
        </w:rPr>
        <w:t xml:space="preserve">  </w:t>
      </w:r>
      <w:bookmarkEnd w:id="25"/>
    </w:p>
    <w:p w14:paraId="43FEC446" w14:textId="77777777" w:rsidR="000F0BAE" w:rsidRPr="000F0BAE" w:rsidRDefault="000F0BAE" w:rsidP="000F0BAE">
      <w:pPr>
        <w:pStyle w:val="NoSpacing"/>
        <w:ind w:left="270"/>
        <w:rPr>
          <w:rFonts w:asciiTheme="minorHAnsi" w:hAnsiTheme="minorHAnsi"/>
          <w:i/>
          <w:sz w:val="14"/>
        </w:rPr>
      </w:pPr>
    </w:p>
    <w:p w14:paraId="41FF8EFD" w14:textId="0193A52F" w:rsidR="003E5C0A" w:rsidRPr="000F0BAE" w:rsidRDefault="00E56C53" w:rsidP="006D51FB">
      <w:pPr>
        <w:pStyle w:val="ListParagraph"/>
        <w:numPr>
          <w:ilvl w:val="0"/>
          <w:numId w:val="2"/>
        </w:numPr>
        <w:spacing w:after="80" w:line="240" w:lineRule="auto"/>
        <w:ind w:left="360"/>
        <w:contextualSpacing w:val="0"/>
        <w:rPr>
          <w:rFonts w:asciiTheme="minorHAnsi" w:hAnsiTheme="minorHAnsi"/>
        </w:rPr>
      </w:pPr>
      <w:r w:rsidRPr="000F0BAE">
        <w:rPr>
          <w:rFonts w:asciiTheme="minorHAnsi" w:hAnsiTheme="minorHAnsi"/>
        </w:rPr>
        <w:t>In Delaware from 201</w:t>
      </w:r>
      <w:r w:rsidR="001435B4">
        <w:rPr>
          <w:rFonts w:asciiTheme="minorHAnsi" w:hAnsiTheme="minorHAnsi"/>
        </w:rPr>
        <w:t>7</w:t>
      </w:r>
      <w:r w:rsidRPr="000F0BAE">
        <w:rPr>
          <w:rFonts w:asciiTheme="minorHAnsi" w:hAnsiTheme="minorHAnsi"/>
        </w:rPr>
        <w:t>-20</w:t>
      </w:r>
      <w:r w:rsidR="00E1539A">
        <w:rPr>
          <w:rFonts w:asciiTheme="minorHAnsi" w:hAnsiTheme="minorHAnsi"/>
        </w:rPr>
        <w:t>2</w:t>
      </w:r>
      <w:r w:rsidR="001435B4">
        <w:rPr>
          <w:rFonts w:asciiTheme="minorHAnsi" w:hAnsiTheme="minorHAnsi"/>
        </w:rPr>
        <w:t>1</w:t>
      </w:r>
      <w:r w:rsidR="007D74D6">
        <w:rPr>
          <w:rFonts w:asciiTheme="minorHAnsi" w:hAnsiTheme="minorHAnsi"/>
        </w:rPr>
        <w:t>:</w:t>
      </w:r>
    </w:p>
    <w:p w14:paraId="0073A7B2" w14:textId="1C386647" w:rsidR="00065436" w:rsidRPr="000F0BAE" w:rsidRDefault="00065436" w:rsidP="006D51FB">
      <w:pPr>
        <w:pStyle w:val="ListParagraph"/>
        <w:numPr>
          <w:ilvl w:val="1"/>
          <w:numId w:val="2"/>
        </w:numPr>
        <w:spacing w:after="80" w:line="240" w:lineRule="auto"/>
        <w:contextualSpacing w:val="0"/>
        <w:rPr>
          <w:rFonts w:asciiTheme="minorHAnsi" w:hAnsiTheme="minorHAnsi"/>
        </w:rPr>
      </w:pPr>
      <w:r w:rsidRPr="000F0BAE">
        <w:rPr>
          <w:rFonts w:asciiTheme="minorHAnsi" w:hAnsiTheme="minorHAnsi"/>
        </w:rPr>
        <w:t>Males (</w:t>
      </w:r>
      <w:r w:rsidR="00841280" w:rsidRPr="000F0BAE">
        <w:rPr>
          <w:rFonts w:asciiTheme="minorHAnsi" w:hAnsiTheme="minorHAnsi"/>
        </w:rPr>
        <w:t>5</w:t>
      </w:r>
      <w:r w:rsidR="0075416F">
        <w:rPr>
          <w:rFonts w:asciiTheme="minorHAnsi" w:hAnsiTheme="minorHAnsi"/>
        </w:rPr>
        <w:t>0</w:t>
      </w:r>
      <w:r w:rsidR="004711B2">
        <w:rPr>
          <w:rFonts w:asciiTheme="minorHAnsi" w:hAnsiTheme="minorHAnsi"/>
        </w:rPr>
        <w:t>2</w:t>
      </w:r>
      <w:r w:rsidR="0075416F">
        <w:rPr>
          <w:rFonts w:asciiTheme="minorHAnsi" w:hAnsiTheme="minorHAnsi"/>
        </w:rPr>
        <w:t>.</w:t>
      </w:r>
      <w:r w:rsidR="004711B2">
        <w:rPr>
          <w:rFonts w:asciiTheme="minorHAnsi" w:hAnsiTheme="minorHAnsi"/>
        </w:rPr>
        <w:t>5</w:t>
      </w:r>
      <w:r w:rsidRPr="000F0BAE">
        <w:rPr>
          <w:rFonts w:asciiTheme="minorHAnsi" w:hAnsiTheme="minorHAnsi"/>
        </w:rPr>
        <w:t xml:space="preserve"> per 100,000</w:t>
      </w:r>
      <w:r w:rsidR="005F684C">
        <w:rPr>
          <w:rFonts w:asciiTheme="minorHAnsi" w:hAnsiTheme="minorHAnsi"/>
        </w:rPr>
        <w:t xml:space="preserve"> population</w:t>
      </w:r>
      <w:r w:rsidRPr="000F0BAE">
        <w:rPr>
          <w:rFonts w:asciiTheme="minorHAnsi" w:hAnsiTheme="minorHAnsi"/>
        </w:rPr>
        <w:t>) had a statistically significantly higher all-site cancer incidence rate compared to females (</w:t>
      </w:r>
      <w:r w:rsidR="00EB2FB9" w:rsidRPr="000F0BAE">
        <w:rPr>
          <w:rFonts w:asciiTheme="minorHAnsi" w:hAnsiTheme="minorHAnsi"/>
        </w:rPr>
        <w:t>4</w:t>
      </w:r>
      <w:r w:rsidR="004711B2">
        <w:rPr>
          <w:rFonts w:asciiTheme="minorHAnsi" w:hAnsiTheme="minorHAnsi"/>
        </w:rPr>
        <w:t>33</w:t>
      </w:r>
      <w:r w:rsidR="00EB2FB9" w:rsidRPr="000F0BAE">
        <w:rPr>
          <w:rFonts w:asciiTheme="minorHAnsi" w:hAnsiTheme="minorHAnsi"/>
        </w:rPr>
        <w:t>.</w:t>
      </w:r>
      <w:r w:rsidR="00827546">
        <w:rPr>
          <w:rFonts w:asciiTheme="minorHAnsi" w:hAnsiTheme="minorHAnsi"/>
        </w:rPr>
        <w:t>9</w:t>
      </w:r>
      <w:r w:rsidRPr="000F0BAE">
        <w:rPr>
          <w:rFonts w:asciiTheme="minorHAnsi" w:hAnsiTheme="minorHAnsi"/>
        </w:rPr>
        <w:t xml:space="preserve"> per 100,000</w:t>
      </w:r>
      <w:r w:rsidR="005F684C">
        <w:rPr>
          <w:rFonts w:asciiTheme="minorHAnsi" w:hAnsiTheme="minorHAnsi"/>
        </w:rPr>
        <w:t xml:space="preserve"> population</w:t>
      </w:r>
      <w:r w:rsidRPr="000F0BAE">
        <w:rPr>
          <w:rFonts w:asciiTheme="minorHAnsi" w:hAnsiTheme="minorHAnsi"/>
        </w:rPr>
        <w:t>).</w:t>
      </w:r>
    </w:p>
    <w:p w14:paraId="041D55DB" w14:textId="7608765D" w:rsidR="003E5C0A" w:rsidRPr="008649C8" w:rsidRDefault="003E5C0A" w:rsidP="006D51FB">
      <w:pPr>
        <w:pStyle w:val="ListParagraph"/>
        <w:numPr>
          <w:ilvl w:val="1"/>
          <w:numId w:val="2"/>
        </w:numPr>
        <w:spacing w:after="80" w:line="240" w:lineRule="auto"/>
        <w:contextualSpacing w:val="0"/>
        <w:rPr>
          <w:rFonts w:asciiTheme="minorHAnsi" w:hAnsiTheme="minorHAnsi"/>
        </w:rPr>
      </w:pPr>
      <w:r w:rsidRPr="008649C8">
        <w:rPr>
          <w:rFonts w:asciiTheme="minorHAnsi" w:hAnsiTheme="minorHAnsi"/>
        </w:rPr>
        <w:t xml:space="preserve">The difference in all-site cancer incidence rates between </w:t>
      </w:r>
      <w:r w:rsidR="00D81041" w:rsidRPr="008649C8">
        <w:rPr>
          <w:rFonts w:asciiTheme="minorHAnsi" w:hAnsiTheme="minorHAnsi"/>
        </w:rPr>
        <w:t>n</w:t>
      </w:r>
      <w:r w:rsidR="0079474B" w:rsidRPr="008649C8">
        <w:rPr>
          <w:rFonts w:asciiTheme="minorHAnsi" w:hAnsiTheme="minorHAnsi"/>
        </w:rPr>
        <w:t>on-Hispani</w:t>
      </w:r>
      <w:r w:rsidR="00A47E1D" w:rsidRPr="008649C8">
        <w:rPr>
          <w:rFonts w:asciiTheme="minorHAnsi" w:hAnsiTheme="minorHAnsi"/>
        </w:rPr>
        <w:t xml:space="preserve">c White Delawareans </w:t>
      </w:r>
      <w:r w:rsidRPr="008649C8">
        <w:rPr>
          <w:rFonts w:asciiTheme="minorHAnsi" w:hAnsiTheme="minorHAnsi"/>
        </w:rPr>
        <w:t>(</w:t>
      </w:r>
      <w:r w:rsidR="00F72707" w:rsidRPr="008649C8">
        <w:rPr>
          <w:rFonts w:asciiTheme="minorHAnsi" w:hAnsiTheme="minorHAnsi"/>
        </w:rPr>
        <w:t>4</w:t>
      </w:r>
      <w:r w:rsidR="008D4ACB" w:rsidRPr="008649C8">
        <w:rPr>
          <w:rFonts w:asciiTheme="minorHAnsi" w:hAnsiTheme="minorHAnsi"/>
        </w:rPr>
        <w:t>7</w:t>
      </w:r>
      <w:r w:rsidR="006B7207" w:rsidRPr="008649C8">
        <w:rPr>
          <w:rFonts w:asciiTheme="minorHAnsi" w:hAnsiTheme="minorHAnsi"/>
        </w:rPr>
        <w:t>5</w:t>
      </w:r>
      <w:r w:rsidR="00F72707" w:rsidRPr="008649C8">
        <w:rPr>
          <w:rFonts w:asciiTheme="minorHAnsi" w:hAnsiTheme="minorHAnsi"/>
        </w:rPr>
        <w:t>.</w:t>
      </w:r>
      <w:r w:rsidR="006B7207" w:rsidRPr="008649C8">
        <w:rPr>
          <w:rFonts w:asciiTheme="minorHAnsi" w:hAnsiTheme="minorHAnsi"/>
        </w:rPr>
        <w:t>4</w:t>
      </w:r>
      <w:r w:rsidRPr="008649C8">
        <w:rPr>
          <w:rFonts w:asciiTheme="minorHAnsi" w:hAnsiTheme="minorHAnsi"/>
        </w:rPr>
        <w:t xml:space="preserve"> per 100,000</w:t>
      </w:r>
      <w:r w:rsidR="005F684C" w:rsidRPr="008649C8">
        <w:rPr>
          <w:rFonts w:asciiTheme="minorHAnsi" w:hAnsiTheme="minorHAnsi"/>
        </w:rPr>
        <w:t xml:space="preserve"> population</w:t>
      </w:r>
      <w:r w:rsidRPr="008649C8">
        <w:rPr>
          <w:rFonts w:asciiTheme="minorHAnsi" w:hAnsiTheme="minorHAnsi"/>
        </w:rPr>
        <w:t xml:space="preserve">) and </w:t>
      </w:r>
      <w:r w:rsidR="00AC71E3" w:rsidRPr="008649C8">
        <w:rPr>
          <w:rFonts w:asciiTheme="minorHAnsi" w:hAnsiTheme="minorHAnsi"/>
        </w:rPr>
        <w:t>non</w:t>
      </w:r>
      <w:r w:rsidR="0079474B" w:rsidRPr="008649C8">
        <w:rPr>
          <w:rFonts w:asciiTheme="minorHAnsi" w:hAnsiTheme="minorHAnsi"/>
        </w:rPr>
        <w:t xml:space="preserve">-Hispanic </w:t>
      </w:r>
      <w:r w:rsidR="00BB3D69" w:rsidRPr="008649C8">
        <w:rPr>
          <w:rFonts w:asciiTheme="minorHAnsi" w:hAnsiTheme="minorHAnsi"/>
        </w:rPr>
        <w:t>Black</w:t>
      </w:r>
      <w:r w:rsidR="009434A7" w:rsidRPr="008649C8">
        <w:rPr>
          <w:rFonts w:asciiTheme="minorHAnsi" w:hAnsiTheme="minorHAnsi"/>
        </w:rPr>
        <w:t xml:space="preserve"> Delawareans</w:t>
      </w:r>
      <w:r w:rsidRPr="008649C8">
        <w:rPr>
          <w:rFonts w:asciiTheme="minorHAnsi" w:hAnsiTheme="minorHAnsi"/>
        </w:rPr>
        <w:t xml:space="preserve"> (</w:t>
      </w:r>
      <w:r w:rsidR="00530B44" w:rsidRPr="008649C8">
        <w:rPr>
          <w:rFonts w:asciiTheme="minorHAnsi" w:hAnsiTheme="minorHAnsi"/>
        </w:rPr>
        <w:t>4</w:t>
      </w:r>
      <w:r w:rsidR="00545069" w:rsidRPr="008649C8">
        <w:rPr>
          <w:rFonts w:asciiTheme="minorHAnsi" w:hAnsiTheme="minorHAnsi"/>
        </w:rPr>
        <w:t>3</w:t>
      </w:r>
      <w:r w:rsidR="006B7207" w:rsidRPr="008649C8">
        <w:rPr>
          <w:rFonts w:asciiTheme="minorHAnsi" w:hAnsiTheme="minorHAnsi"/>
        </w:rPr>
        <w:t>4</w:t>
      </w:r>
      <w:r w:rsidR="00545069" w:rsidRPr="008649C8">
        <w:rPr>
          <w:rFonts w:asciiTheme="minorHAnsi" w:hAnsiTheme="minorHAnsi"/>
        </w:rPr>
        <w:t>.</w:t>
      </w:r>
      <w:r w:rsidR="006B7207" w:rsidRPr="008649C8">
        <w:rPr>
          <w:rFonts w:asciiTheme="minorHAnsi" w:hAnsiTheme="minorHAnsi"/>
        </w:rPr>
        <w:t>2</w:t>
      </w:r>
      <w:r w:rsidRPr="008649C8">
        <w:rPr>
          <w:rFonts w:asciiTheme="minorHAnsi" w:hAnsiTheme="minorHAnsi"/>
        </w:rPr>
        <w:t xml:space="preserve"> per 100,000</w:t>
      </w:r>
      <w:r w:rsidR="005F684C" w:rsidRPr="008649C8">
        <w:rPr>
          <w:rFonts w:asciiTheme="minorHAnsi" w:hAnsiTheme="minorHAnsi"/>
        </w:rPr>
        <w:t xml:space="preserve"> population</w:t>
      </w:r>
      <w:r w:rsidRPr="008649C8">
        <w:rPr>
          <w:rFonts w:asciiTheme="minorHAnsi" w:hAnsiTheme="minorHAnsi"/>
        </w:rPr>
        <w:t xml:space="preserve">) was </w:t>
      </w:r>
      <w:r w:rsidR="008649C8" w:rsidRPr="008649C8">
        <w:rPr>
          <w:rFonts w:asciiTheme="minorHAnsi" w:hAnsiTheme="minorHAnsi"/>
        </w:rPr>
        <w:t xml:space="preserve">not </w:t>
      </w:r>
      <w:r w:rsidRPr="008649C8">
        <w:rPr>
          <w:rFonts w:asciiTheme="minorHAnsi" w:hAnsiTheme="minorHAnsi"/>
        </w:rPr>
        <w:t>statistically significant.</w:t>
      </w:r>
    </w:p>
    <w:p w14:paraId="10DFA1E4" w14:textId="4323E6F2" w:rsidR="0079474B" w:rsidRPr="00DE7D6A" w:rsidRDefault="0079474B" w:rsidP="006D51FB">
      <w:pPr>
        <w:pStyle w:val="ListParagraph"/>
        <w:numPr>
          <w:ilvl w:val="1"/>
          <w:numId w:val="2"/>
        </w:numPr>
        <w:spacing w:after="80" w:line="240" w:lineRule="auto"/>
        <w:contextualSpacing w:val="0"/>
        <w:rPr>
          <w:rFonts w:asciiTheme="minorHAnsi" w:hAnsiTheme="minorHAnsi"/>
        </w:rPr>
      </w:pPr>
      <w:r w:rsidRPr="00DE7D6A">
        <w:rPr>
          <w:rFonts w:asciiTheme="minorHAnsi" w:hAnsiTheme="minorHAnsi"/>
        </w:rPr>
        <w:t>Hispanic</w:t>
      </w:r>
      <w:r w:rsidR="00DE7D6A" w:rsidRPr="00DE7D6A">
        <w:rPr>
          <w:rFonts w:asciiTheme="minorHAnsi" w:hAnsiTheme="minorHAnsi"/>
        </w:rPr>
        <w:t xml:space="preserve"> Delawareans</w:t>
      </w:r>
      <w:r w:rsidRPr="00DE7D6A">
        <w:rPr>
          <w:rFonts w:asciiTheme="minorHAnsi" w:hAnsiTheme="minorHAnsi"/>
        </w:rPr>
        <w:t xml:space="preserve"> (</w:t>
      </w:r>
      <w:r w:rsidR="001C6044" w:rsidRPr="00DE7D6A">
        <w:rPr>
          <w:rFonts w:asciiTheme="minorHAnsi" w:hAnsiTheme="minorHAnsi"/>
        </w:rPr>
        <w:t>3</w:t>
      </w:r>
      <w:r w:rsidR="006B7207" w:rsidRPr="00DE7D6A">
        <w:rPr>
          <w:rFonts w:asciiTheme="minorHAnsi" w:hAnsiTheme="minorHAnsi"/>
        </w:rPr>
        <w:t>51</w:t>
      </w:r>
      <w:r w:rsidR="001C6044" w:rsidRPr="00DE7D6A">
        <w:rPr>
          <w:rFonts w:asciiTheme="minorHAnsi" w:hAnsiTheme="minorHAnsi"/>
        </w:rPr>
        <w:t>.</w:t>
      </w:r>
      <w:r w:rsidR="006B7207" w:rsidRPr="00DE7D6A">
        <w:rPr>
          <w:rFonts w:asciiTheme="minorHAnsi" w:hAnsiTheme="minorHAnsi"/>
        </w:rPr>
        <w:t>8</w:t>
      </w:r>
      <w:r w:rsidR="00E47B08" w:rsidRPr="00DE7D6A">
        <w:rPr>
          <w:rFonts w:asciiTheme="minorHAnsi" w:hAnsiTheme="minorHAnsi"/>
        </w:rPr>
        <w:t xml:space="preserve"> per 100,000</w:t>
      </w:r>
      <w:r w:rsidR="005F684C" w:rsidRPr="00DE7D6A">
        <w:rPr>
          <w:rFonts w:asciiTheme="minorHAnsi" w:hAnsiTheme="minorHAnsi"/>
        </w:rPr>
        <w:t xml:space="preserve"> population</w:t>
      </w:r>
      <w:r w:rsidRPr="00DE7D6A">
        <w:rPr>
          <w:rFonts w:asciiTheme="minorHAnsi" w:hAnsiTheme="minorHAnsi"/>
        </w:rPr>
        <w:t>) had a statistically significantly lower all-site cancer incidence rate compared to</w:t>
      </w:r>
      <w:r w:rsidR="00DE7D6A" w:rsidRPr="00DE7D6A">
        <w:rPr>
          <w:rFonts w:asciiTheme="minorHAnsi" w:hAnsiTheme="minorHAnsi"/>
        </w:rPr>
        <w:t xml:space="preserve"> </w:t>
      </w:r>
      <w:r w:rsidR="00AC71E3" w:rsidRPr="00DE7D6A">
        <w:rPr>
          <w:rFonts w:asciiTheme="minorHAnsi" w:hAnsiTheme="minorHAnsi"/>
        </w:rPr>
        <w:t>non</w:t>
      </w:r>
      <w:r w:rsidRPr="00DE7D6A">
        <w:rPr>
          <w:rFonts w:asciiTheme="minorHAnsi" w:hAnsiTheme="minorHAnsi"/>
        </w:rPr>
        <w:t xml:space="preserve">-Hispanic </w:t>
      </w:r>
      <w:r w:rsidR="00BB3D69" w:rsidRPr="00DE7D6A">
        <w:rPr>
          <w:rFonts w:asciiTheme="minorHAnsi" w:hAnsiTheme="minorHAnsi"/>
        </w:rPr>
        <w:t>White</w:t>
      </w:r>
      <w:r w:rsidR="00DE7D6A" w:rsidRPr="00DE7D6A">
        <w:rPr>
          <w:rFonts w:asciiTheme="minorHAnsi" w:hAnsiTheme="minorHAnsi"/>
        </w:rPr>
        <w:t xml:space="preserve"> Delawareans.</w:t>
      </w:r>
    </w:p>
    <w:p w14:paraId="14A8A7D0" w14:textId="1D5C310D" w:rsidR="001C1DCE" w:rsidRPr="000F0BAE" w:rsidRDefault="001C1DCE" w:rsidP="006D51FB">
      <w:pPr>
        <w:pStyle w:val="ListParagraph"/>
        <w:numPr>
          <w:ilvl w:val="0"/>
          <w:numId w:val="9"/>
        </w:numPr>
        <w:spacing w:after="80" w:line="240" w:lineRule="auto"/>
        <w:contextualSpacing w:val="0"/>
        <w:rPr>
          <w:rFonts w:asciiTheme="minorHAnsi" w:hAnsiTheme="minorHAnsi"/>
        </w:rPr>
      </w:pPr>
      <w:r w:rsidRPr="000F0BAE">
        <w:rPr>
          <w:rFonts w:asciiTheme="minorHAnsi" w:hAnsiTheme="minorHAnsi"/>
        </w:rPr>
        <w:t>Comparing Delaware and the U.S. from 201</w:t>
      </w:r>
      <w:r w:rsidR="001435B4">
        <w:rPr>
          <w:rFonts w:asciiTheme="minorHAnsi" w:hAnsiTheme="minorHAnsi"/>
        </w:rPr>
        <w:t>7</w:t>
      </w:r>
      <w:r w:rsidRPr="000F0BAE">
        <w:rPr>
          <w:rFonts w:asciiTheme="minorHAnsi" w:hAnsiTheme="minorHAnsi"/>
        </w:rPr>
        <w:t>-20</w:t>
      </w:r>
      <w:r w:rsidR="00873A86">
        <w:rPr>
          <w:rFonts w:asciiTheme="minorHAnsi" w:hAnsiTheme="minorHAnsi"/>
        </w:rPr>
        <w:t>2</w:t>
      </w:r>
      <w:r w:rsidR="001435B4">
        <w:rPr>
          <w:rFonts w:asciiTheme="minorHAnsi" w:hAnsiTheme="minorHAnsi"/>
        </w:rPr>
        <w:t>1</w:t>
      </w:r>
      <w:r w:rsidR="007D74D6">
        <w:rPr>
          <w:rFonts w:asciiTheme="minorHAnsi" w:hAnsiTheme="minorHAnsi"/>
        </w:rPr>
        <w:t>:</w:t>
      </w:r>
    </w:p>
    <w:p w14:paraId="253A97AD" w14:textId="395E0EDC" w:rsidR="001C1DCE" w:rsidRPr="000F0BAE" w:rsidRDefault="001C1DCE" w:rsidP="006D51FB">
      <w:pPr>
        <w:pStyle w:val="ListParagraph"/>
        <w:numPr>
          <w:ilvl w:val="1"/>
          <w:numId w:val="2"/>
        </w:numPr>
        <w:spacing w:after="80" w:line="240" w:lineRule="auto"/>
        <w:contextualSpacing w:val="0"/>
        <w:rPr>
          <w:rFonts w:asciiTheme="minorHAnsi" w:hAnsiTheme="minorHAnsi"/>
        </w:rPr>
      </w:pPr>
      <w:r w:rsidRPr="000F0BAE">
        <w:rPr>
          <w:rFonts w:asciiTheme="minorHAnsi" w:hAnsiTheme="minorHAnsi"/>
        </w:rPr>
        <w:t>Delaware (4</w:t>
      </w:r>
      <w:r w:rsidR="00DB0529">
        <w:rPr>
          <w:rFonts w:asciiTheme="minorHAnsi" w:hAnsiTheme="minorHAnsi"/>
        </w:rPr>
        <w:t>62.1</w:t>
      </w:r>
      <w:r w:rsidRPr="000F0BAE">
        <w:rPr>
          <w:rFonts w:asciiTheme="minorHAnsi" w:hAnsiTheme="minorHAnsi"/>
        </w:rPr>
        <w:t xml:space="preserve"> per 100,000</w:t>
      </w:r>
      <w:r w:rsidR="005F684C">
        <w:rPr>
          <w:rFonts w:asciiTheme="minorHAnsi" w:hAnsiTheme="minorHAnsi"/>
        </w:rPr>
        <w:t xml:space="preserve"> population</w:t>
      </w:r>
      <w:r w:rsidRPr="000F0BAE">
        <w:rPr>
          <w:rFonts w:asciiTheme="minorHAnsi" w:hAnsiTheme="minorHAnsi"/>
        </w:rPr>
        <w:t>) had a higher all-site cancer incidence rate compared to the U.S. (44</w:t>
      </w:r>
      <w:r w:rsidR="004D43FB">
        <w:rPr>
          <w:rFonts w:asciiTheme="minorHAnsi" w:hAnsiTheme="minorHAnsi"/>
        </w:rPr>
        <w:t>4</w:t>
      </w:r>
      <w:r w:rsidRPr="000F0BAE">
        <w:rPr>
          <w:rFonts w:asciiTheme="minorHAnsi" w:hAnsiTheme="minorHAnsi"/>
        </w:rPr>
        <w:t>.</w:t>
      </w:r>
      <w:r w:rsidR="004D43FB">
        <w:rPr>
          <w:rFonts w:asciiTheme="minorHAnsi" w:hAnsiTheme="minorHAnsi"/>
        </w:rPr>
        <w:t>6</w:t>
      </w:r>
      <w:r w:rsidRPr="000F0BAE">
        <w:rPr>
          <w:rFonts w:asciiTheme="minorHAnsi" w:hAnsiTheme="minorHAnsi"/>
        </w:rPr>
        <w:t xml:space="preserve"> per 100,000</w:t>
      </w:r>
      <w:r w:rsidR="00D95A9D">
        <w:rPr>
          <w:rFonts w:asciiTheme="minorHAnsi" w:hAnsiTheme="minorHAnsi"/>
        </w:rPr>
        <w:t xml:space="preserve"> population</w:t>
      </w:r>
      <w:r w:rsidRPr="000F0BAE">
        <w:rPr>
          <w:rFonts w:asciiTheme="minorHAnsi" w:hAnsiTheme="minorHAnsi"/>
        </w:rPr>
        <w:t>).</w:t>
      </w:r>
    </w:p>
    <w:p w14:paraId="53D99BC4" w14:textId="10802B3A" w:rsidR="001C1DCE" w:rsidRPr="000F0BAE" w:rsidRDefault="001C1DCE" w:rsidP="006D51FB">
      <w:pPr>
        <w:pStyle w:val="ListParagraph"/>
        <w:numPr>
          <w:ilvl w:val="1"/>
          <w:numId w:val="2"/>
        </w:numPr>
        <w:spacing w:after="80" w:line="240" w:lineRule="auto"/>
        <w:contextualSpacing w:val="0"/>
        <w:rPr>
          <w:rFonts w:asciiTheme="minorHAnsi" w:hAnsiTheme="minorHAnsi"/>
        </w:rPr>
      </w:pPr>
      <w:r w:rsidRPr="000F0BAE">
        <w:rPr>
          <w:rFonts w:asciiTheme="minorHAnsi" w:hAnsiTheme="minorHAnsi"/>
        </w:rPr>
        <w:t>Delaware males (5</w:t>
      </w:r>
      <w:r w:rsidR="008120FD">
        <w:rPr>
          <w:rFonts w:asciiTheme="minorHAnsi" w:hAnsiTheme="minorHAnsi"/>
        </w:rPr>
        <w:t>0</w:t>
      </w:r>
      <w:r w:rsidR="0028736B">
        <w:rPr>
          <w:rFonts w:asciiTheme="minorHAnsi" w:hAnsiTheme="minorHAnsi"/>
        </w:rPr>
        <w:t>2</w:t>
      </w:r>
      <w:r w:rsidRPr="000F0BAE">
        <w:rPr>
          <w:rFonts w:asciiTheme="minorHAnsi" w:hAnsiTheme="minorHAnsi"/>
        </w:rPr>
        <w:t>.</w:t>
      </w:r>
      <w:r w:rsidR="0028736B">
        <w:rPr>
          <w:rFonts w:asciiTheme="minorHAnsi" w:hAnsiTheme="minorHAnsi"/>
        </w:rPr>
        <w:t>5</w:t>
      </w:r>
      <w:r w:rsidRPr="000F0BAE">
        <w:rPr>
          <w:rFonts w:asciiTheme="minorHAnsi" w:hAnsiTheme="minorHAnsi"/>
        </w:rPr>
        <w:t xml:space="preserve"> per 100,000</w:t>
      </w:r>
      <w:r w:rsidR="00D95A9D">
        <w:rPr>
          <w:rFonts w:asciiTheme="minorHAnsi" w:hAnsiTheme="minorHAnsi"/>
        </w:rPr>
        <w:t xml:space="preserve"> population</w:t>
      </w:r>
      <w:r w:rsidRPr="000F0BAE">
        <w:rPr>
          <w:rFonts w:asciiTheme="minorHAnsi" w:hAnsiTheme="minorHAnsi"/>
        </w:rPr>
        <w:t>) had higher all-site cancer incidence rate compared to U.S. males (48</w:t>
      </w:r>
      <w:r w:rsidR="0028736B">
        <w:rPr>
          <w:rFonts w:asciiTheme="minorHAnsi" w:hAnsiTheme="minorHAnsi"/>
        </w:rPr>
        <w:t>1</w:t>
      </w:r>
      <w:r w:rsidRPr="000F0BAE">
        <w:rPr>
          <w:rFonts w:asciiTheme="minorHAnsi" w:hAnsiTheme="minorHAnsi"/>
        </w:rPr>
        <w:t>.</w:t>
      </w:r>
      <w:r w:rsidR="0028736B">
        <w:rPr>
          <w:rFonts w:asciiTheme="minorHAnsi" w:hAnsiTheme="minorHAnsi"/>
        </w:rPr>
        <w:t>3</w:t>
      </w:r>
      <w:r w:rsidRPr="000F0BAE">
        <w:rPr>
          <w:rFonts w:asciiTheme="minorHAnsi" w:hAnsiTheme="minorHAnsi"/>
        </w:rPr>
        <w:t xml:space="preserve"> per 100,000</w:t>
      </w:r>
      <w:r w:rsidR="00D95A9D">
        <w:rPr>
          <w:rFonts w:asciiTheme="minorHAnsi" w:hAnsiTheme="minorHAnsi"/>
        </w:rPr>
        <w:t xml:space="preserve"> population</w:t>
      </w:r>
      <w:r w:rsidRPr="000F0BAE">
        <w:rPr>
          <w:rFonts w:asciiTheme="minorHAnsi" w:hAnsiTheme="minorHAnsi"/>
        </w:rPr>
        <w:t>).</w:t>
      </w:r>
    </w:p>
    <w:p w14:paraId="5E3998D3" w14:textId="7532E430" w:rsidR="001C1DCE" w:rsidRPr="000F0BAE" w:rsidRDefault="001C1DCE" w:rsidP="006D51FB">
      <w:pPr>
        <w:pStyle w:val="ListParagraph"/>
        <w:numPr>
          <w:ilvl w:val="1"/>
          <w:numId w:val="2"/>
        </w:numPr>
        <w:spacing w:after="80" w:line="240" w:lineRule="auto"/>
        <w:contextualSpacing w:val="0"/>
        <w:rPr>
          <w:rFonts w:asciiTheme="minorHAnsi" w:hAnsiTheme="minorHAnsi"/>
        </w:rPr>
      </w:pPr>
      <w:r w:rsidRPr="000F0BAE">
        <w:rPr>
          <w:rFonts w:asciiTheme="minorHAnsi" w:hAnsiTheme="minorHAnsi"/>
        </w:rPr>
        <w:t>Delaware females (4</w:t>
      </w:r>
      <w:r w:rsidR="002D35E7">
        <w:rPr>
          <w:rFonts w:asciiTheme="minorHAnsi" w:hAnsiTheme="minorHAnsi"/>
        </w:rPr>
        <w:t>33.9</w:t>
      </w:r>
      <w:r w:rsidRPr="000F0BAE">
        <w:rPr>
          <w:rFonts w:asciiTheme="minorHAnsi" w:hAnsiTheme="minorHAnsi"/>
        </w:rPr>
        <w:t xml:space="preserve"> per 100,000</w:t>
      </w:r>
      <w:r w:rsidR="00D95A9D">
        <w:rPr>
          <w:rFonts w:asciiTheme="minorHAnsi" w:hAnsiTheme="minorHAnsi"/>
        </w:rPr>
        <w:t xml:space="preserve"> population</w:t>
      </w:r>
      <w:r w:rsidRPr="000F0BAE">
        <w:rPr>
          <w:rFonts w:asciiTheme="minorHAnsi" w:hAnsiTheme="minorHAnsi"/>
        </w:rPr>
        <w:t>) had a higher all-site cancer incidence rate compared to U.S. females (4</w:t>
      </w:r>
      <w:r w:rsidR="002D35E7">
        <w:rPr>
          <w:rFonts w:asciiTheme="minorHAnsi" w:hAnsiTheme="minorHAnsi"/>
        </w:rPr>
        <w:t xml:space="preserve">21.3 </w:t>
      </w:r>
      <w:r w:rsidRPr="000F0BAE">
        <w:rPr>
          <w:rFonts w:asciiTheme="minorHAnsi" w:hAnsiTheme="minorHAnsi"/>
        </w:rPr>
        <w:t>per 100,000</w:t>
      </w:r>
      <w:r w:rsidR="00D95A9D">
        <w:rPr>
          <w:rFonts w:asciiTheme="minorHAnsi" w:hAnsiTheme="minorHAnsi"/>
        </w:rPr>
        <w:t xml:space="preserve"> population</w:t>
      </w:r>
      <w:r w:rsidRPr="000F0BAE">
        <w:rPr>
          <w:rFonts w:asciiTheme="minorHAnsi" w:hAnsiTheme="minorHAnsi"/>
        </w:rPr>
        <w:t>).</w:t>
      </w:r>
    </w:p>
    <w:p w14:paraId="62A8C2B2" w14:textId="0DF918F0" w:rsidR="001C1DCE" w:rsidRDefault="001C1DCE" w:rsidP="006D51FB">
      <w:pPr>
        <w:pStyle w:val="ListParagraph"/>
        <w:numPr>
          <w:ilvl w:val="1"/>
          <w:numId w:val="2"/>
        </w:numPr>
        <w:spacing w:after="80" w:line="240" w:lineRule="auto"/>
        <w:contextualSpacing w:val="0"/>
        <w:rPr>
          <w:rFonts w:asciiTheme="minorHAnsi" w:hAnsiTheme="minorHAnsi"/>
        </w:rPr>
      </w:pPr>
      <w:r w:rsidRPr="000F0BAE">
        <w:rPr>
          <w:rFonts w:asciiTheme="minorHAnsi" w:hAnsiTheme="minorHAnsi"/>
        </w:rPr>
        <w:t>Non-Hispanic White</w:t>
      </w:r>
      <w:r w:rsidR="00EB00FB">
        <w:rPr>
          <w:rFonts w:asciiTheme="minorHAnsi" w:hAnsiTheme="minorHAnsi"/>
        </w:rPr>
        <w:t xml:space="preserve"> </w:t>
      </w:r>
      <w:r w:rsidRPr="000F0BAE">
        <w:rPr>
          <w:rFonts w:asciiTheme="minorHAnsi" w:hAnsiTheme="minorHAnsi"/>
        </w:rPr>
        <w:t>Delaware</w:t>
      </w:r>
      <w:r w:rsidR="00EB00FB">
        <w:rPr>
          <w:rFonts w:asciiTheme="minorHAnsi" w:hAnsiTheme="minorHAnsi"/>
        </w:rPr>
        <w:t>ans</w:t>
      </w:r>
      <w:r w:rsidRPr="000F0BAE">
        <w:rPr>
          <w:rFonts w:asciiTheme="minorHAnsi" w:hAnsiTheme="minorHAnsi"/>
        </w:rPr>
        <w:t xml:space="preserve"> (</w:t>
      </w:r>
      <w:r w:rsidR="003E6B74">
        <w:rPr>
          <w:rFonts w:asciiTheme="minorHAnsi" w:hAnsiTheme="minorHAnsi"/>
        </w:rPr>
        <w:t>475.4</w:t>
      </w:r>
      <w:r w:rsidR="00282DAB">
        <w:rPr>
          <w:rFonts w:asciiTheme="minorHAnsi" w:hAnsiTheme="minorHAnsi"/>
        </w:rPr>
        <w:t xml:space="preserve"> </w:t>
      </w:r>
      <w:r w:rsidRPr="000F0BAE">
        <w:rPr>
          <w:rFonts w:asciiTheme="minorHAnsi" w:hAnsiTheme="minorHAnsi"/>
        </w:rPr>
        <w:t>per 100,000</w:t>
      </w:r>
      <w:r w:rsidR="00D95A9D">
        <w:rPr>
          <w:rFonts w:asciiTheme="minorHAnsi" w:hAnsiTheme="minorHAnsi"/>
        </w:rPr>
        <w:t xml:space="preserve"> population</w:t>
      </w:r>
      <w:r w:rsidRPr="000F0BAE">
        <w:rPr>
          <w:rFonts w:asciiTheme="minorHAnsi" w:hAnsiTheme="minorHAnsi"/>
        </w:rPr>
        <w:t>) had a</w:t>
      </w:r>
      <w:r w:rsidR="00282DAB">
        <w:rPr>
          <w:rFonts w:asciiTheme="minorHAnsi" w:hAnsiTheme="minorHAnsi"/>
        </w:rPr>
        <w:t xml:space="preserve"> </w:t>
      </w:r>
      <w:r w:rsidRPr="000F0BAE">
        <w:rPr>
          <w:rFonts w:asciiTheme="minorHAnsi" w:hAnsiTheme="minorHAnsi"/>
        </w:rPr>
        <w:t xml:space="preserve">higher all-site cancer incidence rate compared to </w:t>
      </w:r>
      <w:r w:rsidR="00EB00FB">
        <w:rPr>
          <w:rFonts w:asciiTheme="minorHAnsi" w:hAnsiTheme="minorHAnsi"/>
        </w:rPr>
        <w:t>n</w:t>
      </w:r>
      <w:r w:rsidRPr="000F0BAE">
        <w:rPr>
          <w:rFonts w:asciiTheme="minorHAnsi" w:hAnsiTheme="minorHAnsi"/>
        </w:rPr>
        <w:t>on-Hispanic White</w:t>
      </w:r>
      <w:r w:rsidR="00EB00FB">
        <w:rPr>
          <w:rFonts w:asciiTheme="minorHAnsi" w:hAnsiTheme="minorHAnsi"/>
        </w:rPr>
        <w:t xml:space="preserve"> Americans</w:t>
      </w:r>
      <w:r w:rsidRPr="000F0BAE">
        <w:rPr>
          <w:rFonts w:asciiTheme="minorHAnsi" w:hAnsiTheme="minorHAnsi"/>
        </w:rPr>
        <w:t xml:space="preserve"> (4</w:t>
      </w:r>
      <w:r w:rsidR="003E6B74">
        <w:rPr>
          <w:rFonts w:asciiTheme="minorHAnsi" w:hAnsiTheme="minorHAnsi"/>
        </w:rPr>
        <w:t>63.2</w:t>
      </w:r>
      <w:r w:rsidRPr="000F0BAE">
        <w:rPr>
          <w:rFonts w:asciiTheme="minorHAnsi" w:hAnsiTheme="minorHAnsi"/>
        </w:rPr>
        <w:t xml:space="preserve"> per 100,000</w:t>
      </w:r>
      <w:r w:rsidR="00D95A9D">
        <w:rPr>
          <w:rFonts w:asciiTheme="minorHAnsi" w:hAnsiTheme="minorHAnsi"/>
        </w:rPr>
        <w:t xml:space="preserve"> population</w:t>
      </w:r>
      <w:r w:rsidRPr="000F0BAE">
        <w:rPr>
          <w:rFonts w:asciiTheme="minorHAnsi" w:hAnsiTheme="minorHAnsi"/>
        </w:rPr>
        <w:t>).</w:t>
      </w:r>
    </w:p>
    <w:p w14:paraId="1430AD2C" w14:textId="10AAB712" w:rsidR="005F2DB4" w:rsidRPr="000F0BAE" w:rsidRDefault="005F2DB4" w:rsidP="006D51FB">
      <w:pPr>
        <w:pStyle w:val="ListParagraph"/>
        <w:numPr>
          <w:ilvl w:val="1"/>
          <w:numId w:val="2"/>
        </w:numPr>
        <w:spacing w:after="80" w:line="240" w:lineRule="auto"/>
        <w:contextualSpacing w:val="0"/>
        <w:rPr>
          <w:rFonts w:asciiTheme="minorHAnsi" w:hAnsiTheme="minorHAnsi"/>
        </w:rPr>
      </w:pPr>
      <w:r w:rsidRPr="000F0BAE">
        <w:rPr>
          <w:rFonts w:asciiTheme="minorHAnsi" w:hAnsiTheme="minorHAnsi"/>
        </w:rPr>
        <w:t xml:space="preserve">Non-Hispanic </w:t>
      </w:r>
      <w:r w:rsidRPr="000E4DB8">
        <w:rPr>
          <w:rFonts w:asciiTheme="minorHAnsi" w:hAnsiTheme="minorHAnsi"/>
        </w:rPr>
        <w:t>Black</w:t>
      </w:r>
      <w:r w:rsidR="00CE4104" w:rsidRPr="000E4DB8">
        <w:rPr>
          <w:rFonts w:asciiTheme="minorHAnsi" w:hAnsiTheme="minorHAnsi"/>
        </w:rPr>
        <w:t xml:space="preserve"> Delawareans</w:t>
      </w:r>
      <w:r w:rsidRPr="000E4DB8">
        <w:rPr>
          <w:rFonts w:asciiTheme="minorHAnsi" w:hAnsiTheme="minorHAnsi"/>
        </w:rPr>
        <w:t xml:space="preserve"> </w:t>
      </w:r>
      <w:r w:rsidRPr="000F0BAE">
        <w:rPr>
          <w:rFonts w:asciiTheme="minorHAnsi" w:hAnsiTheme="minorHAnsi"/>
        </w:rPr>
        <w:t>in Delaware (</w:t>
      </w:r>
      <w:r w:rsidR="0090214D">
        <w:rPr>
          <w:rFonts w:asciiTheme="minorHAnsi" w:hAnsiTheme="minorHAnsi"/>
        </w:rPr>
        <w:t>434.2</w:t>
      </w:r>
      <w:r>
        <w:rPr>
          <w:rFonts w:asciiTheme="minorHAnsi" w:hAnsiTheme="minorHAnsi"/>
        </w:rPr>
        <w:t xml:space="preserve"> </w:t>
      </w:r>
      <w:r w:rsidRPr="000F0BAE">
        <w:rPr>
          <w:rFonts w:asciiTheme="minorHAnsi" w:hAnsiTheme="minorHAnsi"/>
        </w:rPr>
        <w:t>per 100,000</w:t>
      </w:r>
      <w:r>
        <w:rPr>
          <w:rFonts w:asciiTheme="minorHAnsi" w:hAnsiTheme="minorHAnsi"/>
        </w:rPr>
        <w:t xml:space="preserve"> population</w:t>
      </w:r>
      <w:r w:rsidRPr="000F0BAE">
        <w:rPr>
          <w:rFonts w:asciiTheme="minorHAnsi" w:hAnsiTheme="minorHAnsi"/>
        </w:rPr>
        <w:t>) had a</w:t>
      </w:r>
      <w:r>
        <w:rPr>
          <w:rFonts w:asciiTheme="minorHAnsi" w:hAnsiTheme="minorHAnsi"/>
        </w:rPr>
        <w:t xml:space="preserve"> </w:t>
      </w:r>
      <w:r w:rsidR="0090214D">
        <w:rPr>
          <w:rFonts w:asciiTheme="minorHAnsi" w:hAnsiTheme="minorHAnsi"/>
        </w:rPr>
        <w:t xml:space="preserve">lower </w:t>
      </w:r>
      <w:r w:rsidRPr="000F0BAE">
        <w:rPr>
          <w:rFonts w:asciiTheme="minorHAnsi" w:hAnsiTheme="minorHAnsi"/>
        </w:rPr>
        <w:t xml:space="preserve">all-site cancer incidence rate compared to </w:t>
      </w:r>
      <w:r w:rsidR="00AC71E3">
        <w:rPr>
          <w:rFonts w:asciiTheme="minorHAnsi" w:hAnsiTheme="minorHAnsi"/>
        </w:rPr>
        <w:t>non</w:t>
      </w:r>
      <w:r w:rsidRPr="000F0BAE">
        <w:rPr>
          <w:rFonts w:asciiTheme="minorHAnsi" w:hAnsiTheme="minorHAnsi"/>
        </w:rPr>
        <w:t>-Hispanic</w:t>
      </w:r>
      <w:r w:rsidR="0090214D">
        <w:rPr>
          <w:rFonts w:asciiTheme="minorHAnsi" w:hAnsiTheme="minorHAnsi"/>
        </w:rPr>
        <w:t xml:space="preserve"> </w:t>
      </w:r>
      <w:r w:rsidR="0090214D" w:rsidRPr="000E4DB8">
        <w:rPr>
          <w:rFonts w:asciiTheme="minorHAnsi" w:hAnsiTheme="minorHAnsi"/>
        </w:rPr>
        <w:t>Black</w:t>
      </w:r>
      <w:r w:rsidR="00010A15">
        <w:rPr>
          <w:rFonts w:asciiTheme="minorHAnsi" w:hAnsiTheme="minorHAnsi"/>
        </w:rPr>
        <w:t xml:space="preserve"> Americans</w:t>
      </w:r>
      <w:r w:rsidRPr="000F0BAE">
        <w:rPr>
          <w:rFonts w:asciiTheme="minorHAnsi" w:hAnsiTheme="minorHAnsi"/>
        </w:rPr>
        <w:t xml:space="preserve"> in the U.S. (4</w:t>
      </w:r>
      <w:r w:rsidR="0090214D">
        <w:rPr>
          <w:rFonts w:asciiTheme="minorHAnsi" w:hAnsiTheme="minorHAnsi"/>
        </w:rPr>
        <w:t>47.9</w:t>
      </w:r>
      <w:r w:rsidRPr="000F0BAE">
        <w:rPr>
          <w:rFonts w:asciiTheme="minorHAnsi" w:hAnsiTheme="minorHAnsi"/>
        </w:rPr>
        <w:t xml:space="preserve"> per 100,000</w:t>
      </w:r>
      <w:r>
        <w:rPr>
          <w:rFonts w:asciiTheme="minorHAnsi" w:hAnsiTheme="minorHAnsi"/>
        </w:rPr>
        <w:t xml:space="preserve"> population</w:t>
      </w:r>
      <w:r w:rsidRPr="000F0BAE">
        <w:rPr>
          <w:rFonts w:asciiTheme="minorHAnsi" w:hAnsiTheme="minorHAnsi"/>
        </w:rPr>
        <w:t>).</w:t>
      </w:r>
    </w:p>
    <w:p w14:paraId="2A703F10" w14:textId="62CAEDBA" w:rsidR="005F2DB4" w:rsidRPr="000E4DB8" w:rsidRDefault="000A211D" w:rsidP="006D51FB">
      <w:pPr>
        <w:pStyle w:val="ListParagraph"/>
        <w:numPr>
          <w:ilvl w:val="1"/>
          <w:numId w:val="2"/>
        </w:numPr>
        <w:spacing w:after="80" w:line="240" w:lineRule="auto"/>
        <w:contextualSpacing w:val="0"/>
        <w:rPr>
          <w:rFonts w:asciiTheme="minorHAnsi" w:hAnsiTheme="minorHAnsi"/>
        </w:rPr>
      </w:pPr>
      <w:r w:rsidRPr="000E4DB8">
        <w:rPr>
          <w:rFonts w:asciiTheme="minorHAnsi" w:hAnsiTheme="minorHAnsi"/>
        </w:rPr>
        <w:t>Hispanic</w:t>
      </w:r>
      <w:r w:rsidR="00CE4104" w:rsidRPr="000E4DB8">
        <w:rPr>
          <w:rFonts w:asciiTheme="minorHAnsi" w:hAnsiTheme="minorHAnsi"/>
        </w:rPr>
        <w:t xml:space="preserve"> Delawareans </w:t>
      </w:r>
      <w:r w:rsidR="0070139F">
        <w:rPr>
          <w:rFonts w:asciiTheme="minorHAnsi" w:hAnsiTheme="minorHAnsi"/>
        </w:rPr>
        <w:t>(</w:t>
      </w:r>
      <w:r w:rsidR="00502411" w:rsidRPr="000E4DB8">
        <w:rPr>
          <w:rFonts w:asciiTheme="minorHAnsi" w:hAnsiTheme="minorHAnsi"/>
        </w:rPr>
        <w:t>351.8</w:t>
      </w:r>
      <w:r w:rsidR="005F2DB4" w:rsidRPr="000E4DB8">
        <w:rPr>
          <w:rFonts w:asciiTheme="minorHAnsi" w:hAnsiTheme="minorHAnsi"/>
        </w:rPr>
        <w:t xml:space="preserve"> per 100,000 population) had a higher all-site cancer incidence rate compared to</w:t>
      </w:r>
      <w:r w:rsidR="006D5074" w:rsidRPr="000E4DB8">
        <w:rPr>
          <w:rFonts w:asciiTheme="minorHAnsi" w:hAnsiTheme="minorHAnsi"/>
        </w:rPr>
        <w:t xml:space="preserve"> Hispanic</w:t>
      </w:r>
      <w:r w:rsidR="00D204EE">
        <w:rPr>
          <w:rFonts w:asciiTheme="minorHAnsi" w:hAnsiTheme="minorHAnsi"/>
        </w:rPr>
        <w:t xml:space="preserve"> Americans</w:t>
      </w:r>
      <w:r w:rsidR="006D5074" w:rsidRPr="000E4DB8">
        <w:rPr>
          <w:rFonts w:asciiTheme="minorHAnsi" w:hAnsiTheme="minorHAnsi"/>
        </w:rPr>
        <w:t xml:space="preserve"> </w:t>
      </w:r>
      <w:r w:rsidR="005F2DB4" w:rsidRPr="000E4DB8">
        <w:rPr>
          <w:rFonts w:asciiTheme="minorHAnsi" w:hAnsiTheme="minorHAnsi"/>
        </w:rPr>
        <w:t>in the U.S. (</w:t>
      </w:r>
      <w:r w:rsidR="00502411" w:rsidRPr="000E4DB8">
        <w:rPr>
          <w:rFonts w:asciiTheme="minorHAnsi" w:hAnsiTheme="minorHAnsi"/>
        </w:rPr>
        <w:t>349.9</w:t>
      </w:r>
      <w:r w:rsidR="005F2DB4" w:rsidRPr="000E4DB8">
        <w:rPr>
          <w:rFonts w:asciiTheme="minorHAnsi" w:hAnsiTheme="minorHAnsi"/>
        </w:rPr>
        <w:t xml:space="preserve"> per 100,000 population).</w:t>
      </w:r>
    </w:p>
    <w:p w14:paraId="0B03AA0B" w14:textId="77777777" w:rsidR="00496894" w:rsidRDefault="00496894" w:rsidP="00496894">
      <w:pPr>
        <w:spacing w:after="80" w:line="240" w:lineRule="auto"/>
        <w:rPr>
          <w:rFonts w:asciiTheme="minorHAnsi" w:hAnsiTheme="minorHAnsi"/>
        </w:rPr>
      </w:pPr>
    </w:p>
    <w:p w14:paraId="60C8AF87" w14:textId="77777777" w:rsidR="00496894" w:rsidRDefault="00496894" w:rsidP="00496894">
      <w:pPr>
        <w:spacing w:after="80" w:line="240" w:lineRule="auto"/>
        <w:rPr>
          <w:rFonts w:asciiTheme="minorHAnsi" w:hAnsiTheme="minorHAnsi"/>
        </w:rPr>
      </w:pPr>
    </w:p>
    <w:p w14:paraId="1A70326D" w14:textId="77777777" w:rsidR="00496894" w:rsidRPr="00496894" w:rsidRDefault="00496894" w:rsidP="00496894">
      <w:pPr>
        <w:spacing w:after="80" w:line="240" w:lineRule="auto"/>
        <w:rPr>
          <w:rFonts w:asciiTheme="minorHAnsi" w:hAnsiTheme="minorHAnsi"/>
        </w:rPr>
      </w:pPr>
    </w:p>
    <w:p w14:paraId="55EED0A6" w14:textId="501818FF" w:rsidR="003E5C0A" w:rsidRPr="00CE3F54" w:rsidRDefault="003E5C0A" w:rsidP="000C02FF">
      <w:pPr>
        <w:pStyle w:val="StyleNew1"/>
        <w:rPr>
          <w:rFonts w:asciiTheme="minorHAnsi" w:hAnsiTheme="minorHAnsi"/>
        </w:rPr>
      </w:pPr>
      <w:r w:rsidRPr="00CE3F54">
        <w:rPr>
          <w:rFonts w:asciiTheme="minorHAnsi" w:hAnsiTheme="minorHAnsi"/>
        </w:rPr>
        <w:t>Trends over Time - U.S.</w:t>
      </w:r>
    </w:p>
    <w:p w14:paraId="490CB836" w14:textId="470CF872" w:rsidR="00544232" w:rsidRPr="009106B2" w:rsidRDefault="003E5C0A" w:rsidP="00544232">
      <w:pPr>
        <w:pStyle w:val="Caption"/>
        <w:spacing w:after="0" w:line="240" w:lineRule="auto"/>
        <w:jc w:val="center"/>
        <w:rPr>
          <w:rFonts w:asciiTheme="minorHAnsi" w:hAnsiTheme="minorHAnsi"/>
          <w:b/>
          <w:sz w:val="22"/>
        </w:rPr>
      </w:pPr>
      <w:r w:rsidRPr="009106B2">
        <w:rPr>
          <w:rFonts w:asciiTheme="minorHAnsi" w:hAnsiTheme="minorHAnsi"/>
          <w:b/>
          <w:sz w:val="22"/>
        </w:rPr>
        <w:t xml:space="preserve">Figure </w:t>
      </w:r>
      <w:r w:rsidR="0053223C" w:rsidRPr="009106B2">
        <w:rPr>
          <w:rFonts w:asciiTheme="minorHAnsi" w:hAnsiTheme="minorHAnsi"/>
          <w:b/>
          <w:sz w:val="22"/>
        </w:rPr>
        <w:fldChar w:fldCharType="begin"/>
      </w:r>
      <w:r w:rsidR="0053223C" w:rsidRPr="009106B2">
        <w:rPr>
          <w:rFonts w:asciiTheme="minorHAnsi" w:hAnsiTheme="minorHAnsi"/>
          <w:b/>
          <w:sz w:val="22"/>
        </w:rPr>
        <w:instrText xml:space="preserve"> STYLEREF 1 \s </w:instrText>
      </w:r>
      <w:r w:rsidR="0053223C" w:rsidRPr="009106B2">
        <w:rPr>
          <w:rFonts w:asciiTheme="minorHAnsi" w:hAnsiTheme="minorHAnsi"/>
          <w:b/>
          <w:sz w:val="22"/>
        </w:rPr>
        <w:fldChar w:fldCharType="separate"/>
      </w:r>
      <w:r w:rsidR="006C24CC">
        <w:rPr>
          <w:rFonts w:asciiTheme="minorHAnsi" w:hAnsiTheme="minorHAnsi"/>
          <w:b/>
          <w:noProof/>
          <w:sz w:val="22"/>
        </w:rPr>
        <w:t>2</w:t>
      </w:r>
      <w:r w:rsidR="0053223C" w:rsidRPr="009106B2">
        <w:rPr>
          <w:rFonts w:asciiTheme="minorHAnsi" w:hAnsiTheme="minorHAnsi"/>
          <w:b/>
          <w:sz w:val="22"/>
        </w:rPr>
        <w:fldChar w:fldCharType="end"/>
      </w:r>
      <w:r w:rsidR="0053223C" w:rsidRPr="009106B2">
        <w:rPr>
          <w:rFonts w:asciiTheme="minorHAnsi" w:hAnsiTheme="minorHAnsi"/>
          <w:b/>
          <w:sz w:val="22"/>
        </w:rPr>
        <w:noBreakHyphen/>
      </w:r>
      <w:r w:rsidR="0053223C" w:rsidRPr="009106B2">
        <w:rPr>
          <w:rFonts w:asciiTheme="minorHAnsi" w:hAnsiTheme="minorHAnsi"/>
          <w:b/>
          <w:sz w:val="22"/>
        </w:rPr>
        <w:fldChar w:fldCharType="begin"/>
      </w:r>
      <w:r w:rsidR="0053223C" w:rsidRPr="009106B2">
        <w:rPr>
          <w:rFonts w:asciiTheme="minorHAnsi" w:hAnsiTheme="minorHAnsi"/>
          <w:b/>
          <w:sz w:val="22"/>
        </w:rPr>
        <w:instrText xml:space="preserve"> SEQ Figure \* ARABIC \s 1 </w:instrText>
      </w:r>
      <w:r w:rsidR="0053223C" w:rsidRPr="009106B2">
        <w:rPr>
          <w:rFonts w:asciiTheme="minorHAnsi" w:hAnsiTheme="minorHAnsi"/>
          <w:b/>
          <w:sz w:val="22"/>
        </w:rPr>
        <w:fldChar w:fldCharType="separate"/>
      </w:r>
      <w:r w:rsidR="006C24CC">
        <w:rPr>
          <w:rFonts w:asciiTheme="minorHAnsi" w:hAnsiTheme="minorHAnsi"/>
          <w:b/>
          <w:noProof/>
          <w:sz w:val="22"/>
        </w:rPr>
        <w:t>2</w:t>
      </w:r>
      <w:r w:rsidR="0053223C" w:rsidRPr="009106B2">
        <w:rPr>
          <w:rFonts w:asciiTheme="minorHAnsi" w:hAnsiTheme="minorHAnsi"/>
          <w:b/>
          <w:sz w:val="22"/>
        </w:rPr>
        <w:fldChar w:fldCharType="end"/>
      </w:r>
      <w:r w:rsidRPr="009106B2">
        <w:rPr>
          <w:rFonts w:asciiTheme="minorHAnsi" w:hAnsiTheme="minorHAnsi"/>
          <w:b/>
          <w:sz w:val="22"/>
        </w:rPr>
        <w:t>: Age-Adjusted All-site cancer Incidence Rate</w:t>
      </w:r>
      <w:r w:rsidR="00544232" w:rsidRPr="009106B2">
        <w:rPr>
          <w:rFonts w:asciiTheme="minorHAnsi" w:hAnsiTheme="minorHAnsi"/>
          <w:b/>
          <w:sz w:val="22"/>
        </w:rPr>
        <w:t xml:space="preserve"> Trend</w:t>
      </w:r>
      <w:r w:rsidRPr="009106B2">
        <w:rPr>
          <w:rFonts w:asciiTheme="minorHAnsi" w:hAnsiTheme="minorHAnsi"/>
          <w:b/>
          <w:sz w:val="22"/>
        </w:rPr>
        <w:t xml:space="preserve"> by Sex; </w:t>
      </w:r>
      <w:r w:rsidR="00A460F2" w:rsidRPr="009106B2">
        <w:rPr>
          <w:rFonts w:asciiTheme="minorHAnsi" w:hAnsiTheme="minorHAnsi"/>
          <w:b/>
          <w:sz w:val="22"/>
        </w:rPr>
        <w:t xml:space="preserve">    </w:t>
      </w:r>
    </w:p>
    <w:p w14:paraId="45C74E0A" w14:textId="26B1B897" w:rsidR="003E5C0A" w:rsidRDefault="003E5C0A" w:rsidP="00544232">
      <w:pPr>
        <w:pStyle w:val="Caption"/>
        <w:spacing w:after="0" w:line="240" w:lineRule="auto"/>
        <w:jc w:val="center"/>
        <w:rPr>
          <w:rFonts w:asciiTheme="minorHAnsi" w:hAnsiTheme="minorHAnsi"/>
          <w:b/>
          <w:sz w:val="22"/>
        </w:rPr>
      </w:pPr>
      <w:r w:rsidRPr="009106B2">
        <w:rPr>
          <w:rFonts w:asciiTheme="minorHAnsi" w:hAnsiTheme="minorHAnsi"/>
          <w:b/>
          <w:sz w:val="22"/>
        </w:rPr>
        <w:t xml:space="preserve">U.S., </w:t>
      </w:r>
      <w:r w:rsidR="008C0ABF" w:rsidRPr="009106B2">
        <w:rPr>
          <w:rFonts w:asciiTheme="minorHAnsi" w:hAnsiTheme="minorHAnsi"/>
          <w:b/>
          <w:sz w:val="22"/>
        </w:rPr>
        <w:t>200</w:t>
      </w:r>
      <w:r w:rsidR="00486F5F">
        <w:rPr>
          <w:rFonts w:asciiTheme="minorHAnsi" w:hAnsiTheme="minorHAnsi"/>
          <w:b/>
          <w:sz w:val="22"/>
        </w:rPr>
        <w:t>7</w:t>
      </w:r>
      <w:r w:rsidR="008C0ABF" w:rsidRPr="009106B2">
        <w:rPr>
          <w:rFonts w:asciiTheme="minorHAnsi" w:hAnsiTheme="minorHAnsi"/>
          <w:b/>
          <w:sz w:val="22"/>
        </w:rPr>
        <w:t>-20</w:t>
      </w:r>
      <w:r w:rsidR="002F629D">
        <w:rPr>
          <w:rFonts w:asciiTheme="minorHAnsi" w:hAnsiTheme="minorHAnsi"/>
          <w:b/>
          <w:sz w:val="22"/>
        </w:rPr>
        <w:t>2</w:t>
      </w:r>
      <w:r w:rsidR="00486F5F">
        <w:rPr>
          <w:rFonts w:asciiTheme="minorHAnsi" w:hAnsiTheme="minorHAnsi"/>
          <w:b/>
          <w:sz w:val="22"/>
        </w:rPr>
        <w:t>1</w:t>
      </w:r>
      <w:r w:rsidR="002F629D">
        <w:rPr>
          <w:rFonts w:asciiTheme="minorHAnsi" w:hAnsiTheme="minorHAnsi"/>
          <w:b/>
          <w:sz w:val="22"/>
        </w:rPr>
        <w:t>*</w:t>
      </w:r>
    </w:p>
    <w:p w14:paraId="0A09B864" w14:textId="70F34F1A" w:rsidR="003E5C0A" w:rsidRPr="00E778EA" w:rsidRDefault="002E4F12" w:rsidP="00413065">
      <w:pPr>
        <w:spacing w:after="0" w:line="240" w:lineRule="auto"/>
        <w:jc w:val="center"/>
        <w:rPr>
          <w:color w:val="FFFFFF" w:themeColor="background1"/>
          <w14:textFill>
            <w14:noFill/>
          </w14:textFill>
        </w:rPr>
      </w:pPr>
      <w:r>
        <w:rPr>
          <w:noProof/>
          <w:color w:val="FFFFFF" w:themeColor="background1"/>
          <w14:textFill>
            <w14:noFill/>
          </w14:textFill>
        </w:rPr>
        <w:drawing>
          <wp:inline distT="0" distB="0" distL="0" distR="0" wp14:anchorId="1ECD7B7D" wp14:editId="6DE5FDDC">
            <wp:extent cx="4584700" cy="3213100"/>
            <wp:effectExtent l="0" t="0" r="6350" b="6350"/>
            <wp:docPr id="1681594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84700" cy="3213100"/>
                    </a:xfrm>
                    <a:prstGeom prst="rect">
                      <a:avLst/>
                    </a:prstGeom>
                    <a:noFill/>
                  </pic:spPr>
                </pic:pic>
              </a:graphicData>
            </a:graphic>
          </wp:inline>
        </w:drawing>
      </w:r>
    </w:p>
    <w:p w14:paraId="737DE928" w14:textId="317500E9" w:rsidR="000F0BAE" w:rsidRPr="00D95A9D" w:rsidRDefault="000F0BAE" w:rsidP="000F0BAE">
      <w:pPr>
        <w:pStyle w:val="NoSpacing"/>
        <w:ind w:left="1530" w:right="1523"/>
        <w:rPr>
          <w:rFonts w:asciiTheme="minorHAnsi" w:hAnsiTheme="minorHAnsi" w:cstheme="minorHAnsi"/>
          <w:i/>
          <w:sz w:val="16"/>
          <w:szCs w:val="16"/>
        </w:rPr>
      </w:pPr>
      <w:r w:rsidRPr="00D95A9D">
        <w:rPr>
          <w:rFonts w:asciiTheme="minorHAnsi" w:hAnsiTheme="minorHAnsi"/>
          <w:i/>
          <w:sz w:val="16"/>
          <w:szCs w:val="16"/>
        </w:rPr>
        <w:t xml:space="preserve">Source (U.S.): </w:t>
      </w:r>
      <w:r w:rsidRPr="00D95A9D">
        <w:rPr>
          <w:rFonts w:asciiTheme="minorHAnsi" w:hAnsiTheme="minorHAnsi" w:cstheme="minorHAnsi"/>
          <w:color w:val="000000"/>
          <w:sz w:val="16"/>
          <w:szCs w:val="16"/>
          <w:shd w:val="clear" w:color="auto" w:fill="FFFFFF"/>
        </w:rPr>
        <w:t>National Program of Cancer Registries and Surveillance, Epidemiology, and End Results Program SEER*Stat Database: U.S. Cancer Statistics 2001–20</w:t>
      </w:r>
      <w:r w:rsidR="002F629D">
        <w:rPr>
          <w:rFonts w:asciiTheme="minorHAnsi" w:hAnsiTheme="minorHAnsi" w:cstheme="minorHAnsi"/>
          <w:color w:val="000000"/>
          <w:sz w:val="16"/>
          <w:szCs w:val="16"/>
          <w:shd w:val="clear" w:color="auto" w:fill="FFFFFF"/>
        </w:rPr>
        <w:t>2</w:t>
      </w:r>
      <w:r w:rsidR="00486F5F">
        <w:rPr>
          <w:rFonts w:asciiTheme="minorHAnsi" w:hAnsiTheme="minorHAnsi" w:cstheme="minorHAnsi"/>
          <w:color w:val="000000"/>
          <w:sz w:val="16"/>
          <w:szCs w:val="16"/>
          <w:shd w:val="clear" w:color="auto" w:fill="FFFFFF"/>
        </w:rPr>
        <w:t>1</w:t>
      </w:r>
      <w:r w:rsidRPr="00D95A9D">
        <w:rPr>
          <w:rFonts w:asciiTheme="minorHAnsi" w:hAnsiTheme="minorHAnsi" w:cstheme="minorHAnsi"/>
          <w:color w:val="000000"/>
          <w:sz w:val="16"/>
          <w:szCs w:val="16"/>
          <w:shd w:val="clear" w:color="auto" w:fill="FFFFFF"/>
        </w:rPr>
        <w:t xml:space="preserve"> Public Use Research Database, 202</w:t>
      </w:r>
      <w:r w:rsidR="00486F5F">
        <w:rPr>
          <w:rFonts w:asciiTheme="minorHAnsi" w:hAnsiTheme="minorHAnsi" w:cstheme="minorHAnsi"/>
          <w:color w:val="000000"/>
          <w:sz w:val="16"/>
          <w:szCs w:val="16"/>
          <w:shd w:val="clear" w:color="auto" w:fill="FFFFFF"/>
        </w:rPr>
        <w:t>3</w:t>
      </w:r>
      <w:r w:rsidRPr="00D95A9D">
        <w:rPr>
          <w:rFonts w:asciiTheme="minorHAnsi" w:hAnsiTheme="minorHAnsi" w:cstheme="minorHAnsi"/>
          <w:color w:val="000000"/>
          <w:sz w:val="16"/>
          <w:szCs w:val="16"/>
          <w:shd w:val="clear" w:color="auto" w:fill="FFFFFF"/>
        </w:rPr>
        <w:t xml:space="preserve"> submission</w:t>
      </w:r>
    </w:p>
    <w:p w14:paraId="4066AA7A" w14:textId="79354798" w:rsidR="000F0BAE" w:rsidRPr="006D51FB" w:rsidRDefault="000F0BAE" w:rsidP="000F0BAE">
      <w:pPr>
        <w:pStyle w:val="NoSpacing"/>
        <w:ind w:left="1530" w:right="1523"/>
        <w:rPr>
          <w:rFonts w:asciiTheme="minorHAnsi" w:hAnsiTheme="minorHAnsi"/>
          <w:spacing w:val="-2"/>
          <w:sz w:val="16"/>
          <w:szCs w:val="16"/>
        </w:rPr>
      </w:pPr>
      <w:r w:rsidRPr="006D51FB">
        <w:rPr>
          <w:rFonts w:asciiTheme="minorHAnsi" w:hAnsiTheme="minorHAnsi"/>
          <w:spacing w:val="-2"/>
          <w:sz w:val="16"/>
          <w:szCs w:val="16"/>
        </w:rPr>
        <w:t>Rates are per 100,000 of population age-adjusted to the 2000 U.S. standard populatio</w:t>
      </w:r>
      <w:r w:rsidR="00B35F23" w:rsidRPr="006D51FB">
        <w:rPr>
          <w:rFonts w:asciiTheme="minorHAnsi" w:hAnsiTheme="minorHAnsi"/>
          <w:spacing w:val="-2"/>
          <w:sz w:val="16"/>
          <w:szCs w:val="16"/>
        </w:rPr>
        <w:t>n and are calculated using modified U.S. Census populations available from NCI (</w:t>
      </w:r>
      <w:hyperlink r:id="rId27" w:history="1">
        <w:r w:rsidR="00B35F23" w:rsidRPr="006D51FB">
          <w:rPr>
            <w:rStyle w:val="Hyperlink"/>
            <w:rFonts w:asciiTheme="minorHAnsi" w:hAnsiTheme="minorHAnsi"/>
            <w:spacing w:val="-2"/>
            <w:sz w:val="16"/>
            <w:szCs w:val="16"/>
          </w:rPr>
          <w:t>https://seer.cancer.gov/popdata/</w:t>
        </w:r>
      </w:hyperlink>
      <w:r w:rsidR="00B35F23" w:rsidRPr="006D51FB">
        <w:rPr>
          <w:rFonts w:asciiTheme="minorHAnsi" w:hAnsiTheme="minorHAnsi"/>
          <w:spacing w:val="-2"/>
          <w:sz w:val="16"/>
          <w:szCs w:val="16"/>
        </w:rPr>
        <w:t>).</w:t>
      </w:r>
    </w:p>
    <w:p w14:paraId="0F2F4DAC" w14:textId="4B943B2E" w:rsidR="00D30743" w:rsidRPr="00D95A9D" w:rsidRDefault="005364AF" w:rsidP="004E5822">
      <w:pPr>
        <w:pStyle w:val="NoSpacing"/>
        <w:ind w:left="1530"/>
        <w:rPr>
          <w:rFonts w:asciiTheme="minorHAnsi" w:hAnsiTheme="minorHAnsi"/>
          <w:sz w:val="16"/>
          <w:szCs w:val="16"/>
        </w:rPr>
      </w:pPr>
      <w:r w:rsidRPr="00D95A9D">
        <w:rPr>
          <w:rFonts w:asciiTheme="minorHAnsi" w:hAnsiTheme="minorHAnsi"/>
          <w:sz w:val="16"/>
          <w:szCs w:val="16"/>
        </w:rPr>
        <w:t>*</w:t>
      </w:r>
      <w:r w:rsidR="002F629D">
        <w:rPr>
          <w:rFonts w:asciiTheme="minorHAnsi" w:hAnsiTheme="minorHAnsi"/>
          <w:sz w:val="16"/>
          <w:szCs w:val="16"/>
        </w:rPr>
        <w:t>Incidence rates for year 2020 are plotted but were not used for the analysis of trends</w:t>
      </w:r>
      <w:r w:rsidR="004E5822">
        <w:rPr>
          <w:rFonts w:asciiTheme="minorHAnsi" w:hAnsiTheme="minorHAnsi"/>
          <w:sz w:val="16"/>
          <w:szCs w:val="16"/>
        </w:rPr>
        <w:t xml:space="preserve"> since 2020 was an anomaly and would     bias estimates</w:t>
      </w:r>
      <w:r w:rsidR="002F629D">
        <w:rPr>
          <w:rFonts w:asciiTheme="minorHAnsi" w:hAnsiTheme="minorHAnsi"/>
          <w:sz w:val="16"/>
          <w:szCs w:val="16"/>
        </w:rPr>
        <w:t xml:space="preserve">. </w:t>
      </w:r>
    </w:p>
    <w:p w14:paraId="405ED879" w14:textId="77777777" w:rsidR="00170277" w:rsidRPr="000F0BAE" w:rsidRDefault="00170277" w:rsidP="00486F5F">
      <w:pPr>
        <w:pStyle w:val="NoSpacing"/>
        <w:rPr>
          <w:rFonts w:asciiTheme="minorHAnsi" w:hAnsiTheme="minorHAnsi"/>
          <w:sz w:val="14"/>
        </w:rPr>
      </w:pPr>
    </w:p>
    <w:p w14:paraId="57C46E7A" w14:textId="77777777" w:rsidR="000C7D3D" w:rsidRPr="00CE3F54" w:rsidRDefault="000C7D3D" w:rsidP="0006275D">
      <w:pPr>
        <w:pStyle w:val="NoSpacing"/>
        <w:ind w:left="1800"/>
        <w:rPr>
          <w:rFonts w:asciiTheme="minorHAnsi" w:hAnsiTheme="minorHAnsi"/>
          <w:sz w:val="12"/>
        </w:rPr>
      </w:pPr>
    </w:p>
    <w:p w14:paraId="7C1535D2" w14:textId="0C1782C1" w:rsidR="00486F5F" w:rsidRPr="00486F5F" w:rsidRDefault="00486F5F" w:rsidP="00B21C83">
      <w:pPr>
        <w:pStyle w:val="ListParagraph"/>
        <w:numPr>
          <w:ilvl w:val="0"/>
          <w:numId w:val="30"/>
        </w:numPr>
        <w:spacing w:after="160" w:line="259" w:lineRule="auto"/>
        <w:rPr>
          <w:rFonts w:asciiTheme="minorHAnsi" w:hAnsiTheme="minorHAnsi" w:cstheme="minorHAnsi"/>
        </w:rPr>
      </w:pPr>
      <w:r w:rsidRPr="00486F5F">
        <w:rPr>
          <w:rFonts w:asciiTheme="minorHAnsi" w:hAnsiTheme="minorHAnsi" w:cstheme="minorHAnsi"/>
        </w:rPr>
        <w:t xml:space="preserve">Incidence rates for all-site cancer decreased an average of 0.7% per year in the U.S. between 2007 and 2021. </w:t>
      </w:r>
      <w:r w:rsidR="00660B4D">
        <w:rPr>
          <w:rFonts w:asciiTheme="minorHAnsi" w:hAnsiTheme="minorHAnsi" w:cstheme="minorHAnsi"/>
        </w:rPr>
        <w:t xml:space="preserve"> </w:t>
      </w:r>
      <w:r w:rsidRPr="00486F5F">
        <w:rPr>
          <w:rFonts w:asciiTheme="minorHAnsi" w:hAnsiTheme="minorHAnsi" w:cstheme="minorHAnsi"/>
        </w:rPr>
        <w:t xml:space="preserve">There were three distinct trends in the U.S. during this time period: </w:t>
      </w:r>
    </w:p>
    <w:p w14:paraId="54BEB5AB" w14:textId="1927A3D5" w:rsidR="00486F5F" w:rsidRPr="00486F5F" w:rsidRDefault="00486F5F" w:rsidP="00B21C83">
      <w:pPr>
        <w:pStyle w:val="ListParagraph"/>
        <w:numPr>
          <w:ilvl w:val="1"/>
          <w:numId w:val="30"/>
        </w:numPr>
        <w:spacing w:after="160" w:line="259" w:lineRule="auto"/>
        <w:rPr>
          <w:rFonts w:asciiTheme="minorHAnsi" w:hAnsiTheme="minorHAnsi" w:cstheme="minorHAnsi"/>
        </w:rPr>
      </w:pPr>
      <w:r w:rsidRPr="00486F5F">
        <w:rPr>
          <w:rFonts w:asciiTheme="minorHAnsi" w:hAnsiTheme="minorHAnsi" w:cstheme="minorHAnsi"/>
        </w:rPr>
        <w:t>A 1.1% annual decrease between 2007 and 2013</w:t>
      </w:r>
      <w:r w:rsidR="005F43E7">
        <w:rPr>
          <w:rFonts w:asciiTheme="minorHAnsi" w:hAnsiTheme="minorHAnsi" w:cstheme="minorHAnsi"/>
        </w:rPr>
        <w:t>.</w:t>
      </w:r>
    </w:p>
    <w:p w14:paraId="334C4F0B" w14:textId="6191A8B6" w:rsidR="00486F5F" w:rsidRPr="00486F5F" w:rsidRDefault="00486F5F" w:rsidP="00B21C83">
      <w:pPr>
        <w:pStyle w:val="ListParagraph"/>
        <w:numPr>
          <w:ilvl w:val="1"/>
          <w:numId w:val="30"/>
        </w:numPr>
        <w:spacing w:after="160" w:line="259" w:lineRule="auto"/>
        <w:rPr>
          <w:rFonts w:asciiTheme="minorHAnsi" w:hAnsiTheme="minorHAnsi" w:cstheme="minorHAnsi"/>
        </w:rPr>
      </w:pPr>
      <w:r w:rsidRPr="00486F5F">
        <w:rPr>
          <w:rFonts w:asciiTheme="minorHAnsi" w:hAnsiTheme="minorHAnsi" w:cstheme="minorHAnsi"/>
        </w:rPr>
        <w:t>Stable rates between 2013 and 2018</w:t>
      </w:r>
      <w:r w:rsidR="005F43E7">
        <w:rPr>
          <w:rFonts w:asciiTheme="minorHAnsi" w:hAnsiTheme="minorHAnsi" w:cstheme="minorHAnsi"/>
        </w:rPr>
        <w:t>.</w:t>
      </w:r>
    </w:p>
    <w:p w14:paraId="11811E62" w14:textId="05ECD98B" w:rsidR="00486F5F" w:rsidRPr="00486F5F" w:rsidRDefault="00486F5F" w:rsidP="00B21C83">
      <w:pPr>
        <w:pStyle w:val="ListParagraph"/>
        <w:numPr>
          <w:ilvl w:val="1"/>
          <w:numId w:val="30"/>
        </w:numPr>
        <w:spacing w:after="160" w:line="259" w:lineRule="auto"/>
        <w:rPr>
          <w:rFonts w:asciiTheme="minorHAnsi" w:hAnsiTheme="minorHAnsi" w:cstheme="minorHAnsi"/>
        </w:rPr>
      </w:pPr>
      <w:r w:rsidRPr="00486F5F">
        <w:rPr>
          <w:rFonts w:asciiTheme="minorHAnsi" w:hAnsiTheme="minorHAnsi" w:cstheme="minorHAnsi"/>
        </w:rPr>
        <w:t>A 1.3% annual decrease between 2018 and 2021</w:t>
      </w:r>
      <w:r w:rsidR="00DF623A">
        <w:rPr>
          <w:rFonts w:asciiTheme="minorHAnsi" w:hAnsiTheme="minorHAnsi" w:cstheme="minorHAnsi"/>
        </w:rPr>
        <w:t>.</w:t>
      </w:r>
    </w:p>
    <w:p w14:paraId="217750B9" w14:textId="69B0B143" w:rsidR="00486F5F" w:rsidRPr="00486F5F" w:rsidRDefault="00486F5F" w:rsidP="00B21C83">
      <w:pPr>
        <w:pStyle w:val="ListParagraph"/>
        <w:numPr>
          <w:ilvl w:val="0"/>
          <w:numId w:val="30"/>
        </w:numPr>
        <w:spacing w:after="160" w:line="259" w:lineRule="auto"/>
        <w:rPr>
          <w:rFonts w:asciiTheme="minorHAnsi" w:hAnsiTheme="minorHAnsi" w:cstheme="minorHAnsi"/>
        </w:rPr>
      </w:pPr>
      <w:r w:rsidRPr="00486F5F">
        <w:rPr>
          <w:rFonts w:asciiTheme="minorHAnsi" w:hAnsiTheme="minorHAnsi" w:cstheme="minorHAnsi"/>
        </w:rPr>
        <w:t xml:space="preserve">Incidence rates for all-site cancer decreased an average of 1.4% per year among U.S. males between 2007 and 2021. </w:t>
      </w:r>
      <w:r w:rsidR="00DF623A">
        <w:rPr>
          <w:rFonts w:asciiTheme="minorHAnsi" w:hAnsiTheme="minorHAnsi" w:cstheme="minorHAnsi"/>
        </w:rPr>
        <w:t xml:space="preserve"> </w:t>
      </w:r>
      <w:r w:rsidRPr="00486F5F">
        <w:rPr>
          <w:rFonts w:asciiTheme="minorHAnsi" w:hAnsiTheme="minorHAnsi" w:cstheme="minorHAnsi"/>
        </w:rPr>
        <w:t>There were three distinct trends among U.S. males during this time period:</w:t>
      </w:r>
    </w:p>
    <w:p w14:paraId="796088BE" w14:textId="567DF8A8" w:rsidR="00486F5F" w:rsidRPr="00486F5F" w:rsidRDefault="00486F5F" w:rsidP="00B21C83">
      <w:pPr>
        <w:pStyle w:val="ListParagraph"/>
        <w:numPr>
          <w:ilvl w:val="1"/>
          <w:numId w:val="30"/>
        </w:numPr>
        <w:spacing w:after="160" w:line="259" w:lineRule="auto"/>
        <w:rPr>
          <w:rFonts w:asciiTheme="minorHAnsi" w:hAnsiTheme="minorHAnsi" w:cstheme="minorHAnsi"/>
        </w:rPr>
      </w:pPr>
      <w:r w:rsidRPr="00486F5F">
        <w:rPr>
          <w:rFonts w:asciiTheme="minorHAnsi" w:hAnsiTheme="minorHAnsi" w:cstheme="minorHAnsi"/>
        </w:rPr>
        <w:t>A 2.3% annual decrease between 2007 and 2013</w:t>
      </w:r>
      <w:r w:rsidR="00F71B6A">
        <w:rPr>
          <w:rFonts w:asciiTheme="minorHAnsi" w:hAnsiTheme="minorHAnsi" w:cstheme="minorHAnsi"/>
        </w:rPr>
        <w:t>.</w:t>
      </w:r>
    </w:p>
    <w:p w14:paraId="076AE26E" w14:textId="64F2C175" w:rsidR="00486F5F" w:rsidRPr="00486F5F" w:rsidRDefault="00486F5F" w:rsidP="00B21C83">
      <w:pPr>
        <w:pStyle w:val="ListParagraph"/>
        <w:numPr>
          <w:ilvl w:val="1"/>
          <w:numId w:val="30"/>
        </w:numPr>
        <w:spacing w:after="160" w:line="259" w:lineRule="auto"/>
        <w:rPr>
          <w:rFonts w:asciiTheme="minorHAnsi" w:hAnsiTheme="minorHAnsi" w:cstheme="minorHAnsi"/>
        </w:rPr>
      </w:pPr>
      <w:r w:rsidRPr="00486F5F">
        <w:rPr>
          <w:rFonts w:asciiTheme="minorHAnsi" w:hAnsiTheme="minorHAnsi" w:cstheme="minorHAnsi"/>
        </w:rPr>
        <w:t>Stable rates between 2013 and 2018</w:t>
      </w:r>
      <w:r w:rsidR="00F71B6A">
        <w:rPr>
          <w:rFonts w:asciiTheme="minorHAnsi" w:hAnsiTheme="minorHAnsi" w:cstheme="minorHAnsi"/>
        </w:rPr>
        <w:t>.</w:t>
      </w:r>
    </w:p>
    <w:p w14:paraId="2A7D3DC0" w14:textId="2F35E64C" w:rsidR="00486F5F" w:rsidRPr="00486F5F" w:rsidRDefault="00486F5F" w:rsidP="00B21C83">
      <w:pPr>
        <w:pStyle w:val="ListParagraph"/>
        <w:numPr>
          <w:ilvl w:val="1"/>
          <w:numId w:val="30"/>
        </w:numPr>
        <w:spacing w:after="160" w:line="259" w:lineRule="auto"/>
        <w:rPr>
          <w:rFonts w:asciiTheme="minorHAnsi" w:hAnsiTheme="minorHAnsi" w:cstheme="minorHAnsi"/>
        </w:rPr>
      </w:pPr>
      <w:r w:rsidRPr="00486F5F">
        <w:rPr>
          <w:rFonts w:asciiTheme="minorHAnsi" w:hAnsiTheme="minorHAnsi" w:cstheme="minorHAnsi"/>
        </w:rPr>
        <w:t>A 1.7% annual decrease between 2018 and 2021</w:t>
      </w:r>
      <w:r w:rsidR="00DF623A">
        <w:rPr>
          <w:rFonts w:asciiTheme="minorHAnsi" w:hAnsiTheme="minorHAnsi" w:cstheme="minorHAnsi"/>
        </w:rPr>
        <w:t>.</w:t>
      </w:r>
    </w:p>
    <w:p w14:paraId="21B6B389" w14:textId="286DB02C" w:rsidR="00486F5F" w:rsidRPr="00486F5F" w:rsidRDefault="00486F5F" w:rsidP="00B21C83">
      <w:pPr>
        <w:pStyle w:val="ListParagraph"/>
        <w:numPr>
          <w:ilvl w:val="0"/>
          <w:numId w:val="30"/>
        </w:numPr>
        <w:spacing w:after="160" w:line="259" w:lineRule="auto"/>
        <w:rPr>
          <w:rFonts w:asciiTheme="minorHAnsi" w:hAnsiTheme="minorHAnsi" w:cstheme="minorHAnsi"/>
        </w:rPr>
      </w:pPr>
      <w:r w:rsidRPr="00486F5F">
        <w:rPr>
          <w:rFonts w:asciiTheme="minorHAnsi" w:hAnsiTheme="minorHAnsi" w:cstheme="minorHAnsi"/>
        </w:rPr>
        <w:t xml:space="preserve">The trend in incidence rates for all-site cancer was stable among U.S. females between 2007 and 2021. There were two distinct trends among U.S. females during this </w:t>
      </w:r>
      <w:proofErr w:type="gramStart"/>
      <w:r w:rsidRPr="00486F5F">
        <w:rPr>
          <w:rFonts w:asciiTheme="minorHAnsi" w:hAnsiTheme="minorHAnsi" w:cstheme="minorHAnsi"/>
        </w:rPr>
        <w:t>time period</w:t>
      </w:r>
      <w:proofErr w:type="gramEnd"/>
      <w:r w:rsidR="002E4F12">
        <w:rPr>
          <w:rFonts w:asciiTheme="minorHAnsi" w:hAnsiTheme="minorHAnsi" w:cstheme="minorHAnsi"/>
        </w:rPr>
        <w:t xml:space="preserve"> where there was an increasing trend between 2007 and 2018 and a decreasing trend between 2018 and 2021</w:t>
      </w:r>
      <w:r w:rsidRPr="00486F5F">
        <w:rPr>
          <w:rFonts w:asciiTheme="minorHAnsi" w:hAnsiTheme="minorHAnsi" w:cstheme="minorHAnsi"/>
        </w:rPr>
        <w:t>, but neither were significant.</w:t>
      </w:r>
    </w:p>
    <w:p w14:paraId="424A3D57" w14:textId="77777777" w:rsidR="00486F5F" w:rsidRDefault="00486F5F">
      <w:pPr>
        <w:rPr>
          <w:rFonts w:asciiTheme="minorHAnsi" w:hAnsiTheme="minorHAnsi"/>
          <w:b/>
          <w:caps/>
          <w:color w:val="1A4070" w:themeColor="accent2" w:themeShade="7F"/>
          <w:sz w:val="24"/>
          <w:szCs w:val="24"/>
        </w:rPr>
      </w:pPr>
      <w:r>
        <w:rPr>
          <w:rFonts w:asciiTheme="minorHAnsi" w:hAnsiTheme="minorHAnsi"/>
        </w:rPr>
        <w:br w:type="page"/>
      </w:r>
    </w:p>
    <w:p w14:paraId="0D1FBC6A" w14:textId="0DF9C6BF" w:rsidR="003E5C0A" w:rsidRPr="00CE3F54" w:rsidRDefault="003E5C0A" w:rsidP="000C02FF">
      <w:pPr>
        <w:pStyle w:val="StyleNew1"/>
        <w:rPr>
          <w:rFonts w:asciiTheme="minorHAnsi" w:hAnsiTheme="minorHAnsi"/>
        </w:rPr>
      </w:pPr>
      <w:r w:rsidRPr="00CE3F54">
        <w:rPr>
          <w:rFonts w:asciiTheme="minorHAnsi" w:hAnsiTheme="minorHAnsi"/>
        </w:rPr>
        <w:lastRenderedPageBreak/>
        <w:t xml:space="preserve">Trends over Time - Delaware </w:t>
      </w:r>
    </w:p>
    <w:p w14:paraId="01C733F5" w14:textId="2B7A87FA" w:rsidR="000276CC" w:rsidRPr="009106B2" w:rsidRDefault="000276CC" w:rsidP="000276CC">
      <w:pPr>
        <w:pStyle w:val="Caption"/>
        <w:spacing w:after="0" w:line="240" w:lineRule="auto"/>
        <w:jc w:val="center"/>
        <w:rPr>
          <w:rFonts w:asciiTheme="minorHAnsi" w:hAnsiTheme="minorHAnsi"/>
          <w:b/>
          <w:sz w:val="22"/>
        </w:rPr>
      </w:pPr>
      <w:r w:rsidRPr="000F0BAE">
        <w:rPr>
          <w:rFonts w:asciiTheme="minorHAnsi" w:hAnsiTheme="minorHAnsi"/>
          <w:b/>
          <w:sz w:val="22"/>
        </w:rPr>
        <w:t xml:space="preserve">Figure </w:t>
      </w:r>
      <w:r w:rsidRPr="000F0BAE">
        <w:rPr>
          <w:rFonts w:asciiTheme="minorHAnsi" w:hAnsiTheme="minorHAnsi"/>
          <w:b/>
          <w:sz w:val="22"/>
        </w:rPr>
        <w:fldChar w:fldCharType="begin"/>
      </w:r>
      <w:r w:rsidRPr="000F0BAE">
        <w:rPr>
          <w:rFonts w:asciiTheme="minorHAnsi" w:hAnsiTheme="minorHAnsi"/>
          <w:b/>
          <w:sz w:val="22"/>
        </w:rPr>
        <w:instrText xml:space="preserve"> STYLEREF 1 \s </w:instrText>
      </w:r>
      <w:r w:rsidRPr="000F0BAE">
        <w:rPr>
          <w:rFonts w:asciiTheme="minorHAnsi" w:hAnsiTheme="minorHAnsi"/>
          <w:b/>
          <w:sz w:val="22"/>
        </w:rPr>
        <w:fldChar w:fldCharType="separate"/>
      </w:r>
      <w:r w:rsidR="006C24CC">
        <w:rPr>
          <w:rFonts w:asciiTheme="minorHAnsi" w:hAnsiTheme="minorHAnsi"/>
          <w:b/>
          <w:noProof/>
          <w:sz w:val="22"/>
        </w:rPr>
        <w:t>2</w:t>
      </w:r>
      <w:r w:rsidRPr="000F0BAE">
        <w:rPr>
          <w:rFonts w:asciiTheme="minorHAnsi" w:hAnsiTheme="minorHAnsi"/>
          <w:b/>
          <w:sz w:val="22"/>
        </w:rPr>
        <w:fldChar w:fldCharType="end"/>
      </w:r>
      <w:r w:rsidRPr="000F0BAE">
        <w:rPr>
          <w:rFonts w:asciiTheme="minorHAnsi" w:hAnsiTheme="minorHAnsi"/>
          <w:b/>
          <w:sz w:val="22"/>
        </w:rPr>
        <w:noBreakHyphen/>
      </w:r>
      <w:r w:rsidRPr="000F0BAE">
        <w:rPr>
          <w:rFonts w:asciiTheme="minorHAnsi" w:hAnsiTheme="minorHAnsi"/>
          <w:b/>
          <w:sz w:val="22"/>
        </w:rPr>
        <w:fldChar w:fldCharType="begin"/>
      </w:r>
      <w:r w:rsidRPr="000F0BAE">
        <w:rPr>
          <w:rFonts w:asciiTheme="minorHAnsi" w:hAnsiTheme="minorHAnsi"/>
          <w:b/>
          <w:sz w:val="22"/>
        </w:rPr>
        <w:instrText xml:space="preserve"> SEQ Figure \* ARABIC \s 1 </w:instrText>
      </w:r>
      <w:r w:rsidRPr="000F0BAE">
        <w:rPr>
          <w:rFonts w:asciiTheme="minorHAnsi" w:hAnsiTheme="minorHAnsi"/>
          <w:b/>
          <w:sz w:val="22"/>
        </w:rPr>
        <w:fldChar w:fldCharType="separate"/>
      </w:r>
      <w:r w:rsidR="006C24CC">
        <w:rPr>
          <w:rFonts w:asciiTheme="minorHAnsi" w:hAnsiTheme="minorHAnsi"/>
          <w:b/>
          <w:noProof/>
          <w:sz w:val="22"/>
        </w:rPr>
        <w:t>3</w:t>
      </w:r>
      <w:r w:rsidRPr="000F0BAE">
        <w:rPr>
          <w:rFonts w:asciiTheme="minorHAnsi" w:hAnsiTheme="minorHAnsi"/>
          <w:b/>
          <w:sz w:val="22"/>
        </w:rPr>
        <w:fldChar w:fldCharType="end"/>
      </w:r>
      <w:r w:rsidRPr="000F0BAE">
        <w:rPr>
          <w:rFonts w:asciiTheme="minorHAnsi" w:hAnsiTheme="minorHAnsi"/>
          <w:b/>
          <w:sz w:val="22"/>
        </w:rPr>
        <w:t xml:space="preserve">: </w:t>
      </w:r>
      <w:r w:rsidRPr="009106B2">
        <w:rPr>
          <w:rFonts w:asciiTheme="minorHAnsi" w:hAnsiTheme="minorHAnsi"/>
          <w:b/>
          <w:sz w:val="22"/>
        </w:rPr>
        <w:t xml:space="preserve">Age-Adjusted All-site cancer Incidence Rate Trend by Sex;     </w:t>
      </w:r>
    </w:p>
    <w:p w14:paraId="7536CA7B" w14:textId="32A9D769" w:rsidR="000276CC" w:rsidRDefault="000276CC" w:rsidP="000276CC">
      <w:pPr>
        <w:pStyle w:val="Caption"/>
        <w:spacing w:after="80" w:line="240" w:lineRule="auto"/>
        <w:jc w:val="center"/>
        <w:rPr>
          <w:rFonts w:asciiTheme="minorHAnsi" w:hAnsiTheme="minorHAnsi"/>
          <w:b/>
          <w:sz w:val="22"/>
        </w:rPr>
      </w:pPr>
      <w:r>
        <w:rPr>
          <w:rFonts w:asciiTheme="minorHAnsi" w:hAnsiTheme="minorHAnsi"/>
          <w:b/>
          <w:sz w:val="22"/>
        </w:rPr>
        <w:t>Delaware,</w:t>
      </w:r>
      <w:r w:rsidRPr="009106B2">
        <w:rPr>
          <w:rFonts w:asciiTheme="minorHAnsi" w:hAnsiTheme="minorHAnsi"/>
          <w:b/>
          <w:sz w:val="22"/>
        </w:rPr>
        <w:t xml:space="preserve"> 200</w:t>
      </w:r>
      <w:r>
        <w:rPr>
          <w:rFonts w:asciiTheme="minorHAnsi" w:hAnsiTheme="minorHAnsi"/>
          <w:b/>
          <w:sz w:val="22"/>
        </w:rPr>
        <w:t>7</w:t>
      </w:r>
      <w:r w:rsidRPr="009106B2">
        <w:rPr>
          <w:rFonts w:asciiTheme="minorHAnsi" w:hAnsiTheme="minorHAnsi"/>
          <w:b/>
          <w:sz w:val="22"/>
        </w:rPr>
        <w:t>-20</w:t>
      </w:r>
      <w:r>
        <w:rPr>
          <w:rFonts w:asciiTheme="minorHAnsi" w:hAnsiTheme="minorHAnsi"/>
          <w:b/>
          <w:sz w:val="22"/>
        </w:rPr>
        <w:t>21*</w:t>
      </w:r>
    </w:p>
    <w:p w14:paraId="125E5E49" w14:textId="4CE45F0F" w:rsidR="000276CC" w:rsidRDefault="002E4F12" w:rsidP="000C02FF">
      <w:pPr>
        <w:pStyle w:val="Caption"/>
        <w:spacing w:after="80" w:line="240" w:lineRule="auto"/>
        <w:jc w:val="center"/>
        <w:rPr>
          <w:rFonts w:asciiTheme="minorHAnsi" w:hAnsiTheme="minorHAnsi"/>
          <w:b/>
          <w:sz w:val="22"/>
        </w:rPr>
      </w:pPr>
      <w:r>
        <w:rPr>
          <w:rFonts w:asciiTheme="minorHAnsi" w:hAnsiTheme="minorHAnsi"/>
          <w:b/>
          <w:noProof/>
          <w:sz w:val="22"/>
        </w:rPr>
        <w:drawing>
          <wp:inline distT="0" distB="0" distL="0" distR="0" wp14:anchorId="4558393C" wp14:editId="774001F1">
            <wp:extent cx="4584700" cy="2755900"/>
            <wp:effectExtent l="0" t="0" r="6350" b="6350"/>
            <wp:docPr id="1835824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C2385EA" w14:textId="2C11933C" w:rsidR="00C66B6A" w:rsidRPr="00E778EA" w:rsidRDefault="00C66B6A" w:rsidP="006D51FB">
      <w:pPr>
        <w:pStyle w:val="NoSpacing"/>
        <w:ind w:left="1296"/>
        <w:rPr>
          <w:rFonts w:asciiTheme="minorHAnsi" w:hAnsiTheme="minorHAnsi"/>
          <w:i/>
          <w:sz w:val="16"/>
          <w:szCs w:val="24"/>
        </w:rPr>
      </w:pPr>
      <w:r w:rsidRPr="00E778EA">
        <w:rPr>
          <w:rFonts w:asciiTheme="minorHAnsi" w:hAnsiTheme="minorHAnsi"/>
          <w:i/>
          <w:sz w:val="16"/>
          <w:szCs w:val="24"/>
        </w:rPr>
        <w:t>Source: Delaware Department of Health and Social Services, Division of Public Health, Delaware Cancer Registry, 202</w:t>
      </w:r>
      <w:r w:rsidR="008737FE">
        <w:rPr>
          <w:rFonts w:asciiTheme="minorHAnsi" w:hAnsiTheme="minorHAnsi"/>
          <w:i/>
          <w:sz w:val="16"/>
          <w:szCs w:val="24"/>
        </w:rPr>
        <w:t>4</w:t>
      </w:r>
    </w:p>
    <w:p w14:paraId="1F56E62E" w14:textId="77777777" w:rsidR="008D2811" w:rsidRDefault="00C66B6A" w:rsidP="00EA2BDE">
      <w:pPr>
        <w:pStyle w:val="NoSpacing"/>
        <w:ind w:left="1296"/>
        <w:rPr>
          <w:rFonts w:asciiTheme="minorHAnsi" w:hAnsiTheme="minorHAnsi"/>
          <w:sz w:val="16"/>
          <w:szCs w:val="24"/>
        </w:rPr>
      </w:pPr>
      <w:r w:rsidRPr="00E778EA">
        <w:rPr>
          <w:rFonts w:asciiTheme="minorHAnsi" w:hAnsiTheme="minorHAnsi"/>
          <w:sz w:val="16"/>
          <w:szCs w:val="24"/>
        </w:rPr>
        <w:t xml:space="preserve">Rates are per 100,000 of population using US Census estimates and age-adjusted to the 2000 U.S. standard population </w:t>
      </w:r>
    </w:p>
    <w:p w14:paraId="69D53626" w14:textId="1102467D" w:rsidR="00C66B6A" w:rsidRPr="00E778EA" w:rsidRDefault="00C66B6A" w:rsidP="006D51FB">
      <w:pPr>
        <w:pStyle w:val="NoSpacing"/>
        <w:ind w:left="1296"/>
        <w:rPr>
          <w:rFonts w:asciiTheme="minorHAnsi" w:hAnsiTheme="minorHAnsi"/>
          <w:sz w:val="16"/>
          <w:szCs w:val="24"/>
        </w:rPr>
      </w:pPr>
      <w:r w:rsidRPr="00E778EA">
        <w:rPr>
          <w:rFonts w:asciiTheme="minorHAnsi" w:hAnsiTheme="minorHAnsi"/>
          <w:sz w:val="16"/>
          <w:szCs w:val="24"/>
        </w:rPr>
        <w:t>and are calculated using modified U.S. Census populations available from NCI (</w:t>
      </w:r>
      <w:hyperlink r:id="rId29" w:history="1">
        <w:r w:rsidRPr="00E778EA">
          <w:rPr>
            <w:rStyle w:val="Hyperlink"/>
            <w:rFonts w:asciiTheme="minorHAnsi" w:hAnsiTheme="minorHAnsi"/>
            <w:sz w:val="16"/>
            <w:szCs w:val="24"/>
          </w:rPr>
          <w:t>https://seer.cancer.gov/popdata/</w:t>
        </w:r>
      </w:hyperlink>
      <w:r w:rsidRPr="00E778EA">
        <w:rPr>
          <w:rFonts w:asciiTheme="minorHAnsi" w:hAnsiTheme="minorHAnsi"/>
          <w:sz w:val="16"/>
          <w:szCs w:val="24"/>
        </w:rPr>
        <w:t xml:space="preserve">). </w:t>
      </w:r>
    </w:p>
    <w:p w14:paraId="719B5C85" w14:textId="77777777" w:rsidR="00534203" w:rsidRDefault="00C66B6A" w:rsidP="00EA2BDE">
      <w:pPr>
        <w:pStyle w:val="NoSpacing"/>
        <w:ind w:left="1296"/>
        <w:rPr>
          <w:rFonts w:asciiTheme="minorHAnsi" w:hAnsiTheme="minorHAnsi"/>
          <w:sz w:val="16"/>
          <w:szCs w:val="24"/>
        </w:rPr>
      </w:pPr>
      <w:r w:rsidRPr="00E778EA">
        <w:rPr>
          <w:rFonts w:asciiTheme="minorHAnsi" w:hAnsiTheme="minorHAnsi"/>
          <w:sz w:val="16"/>
          <w:szCs w:val="24"/>
        </w:rPr>
        <w:t>*Incidence rates for year 2020 are plotted but were not used for the analysis of trends</w:t>
      </w:r>
      <w:r w:rsidRPr="00E778EA">
        <w:rPr>
          <w:sz w:val="24"/>
          <w:szCs w:val="24"/>
        </w:rPr>
        <w:t xml:space="preserve"> </w:t>
      </w:r>
      <w:r w:rsidRPr="00E778EA">
        <w:rPr>
          <w:rFonts w:asciiTheme="minorHAnsi" w:hAnsiTheme="minorHAnsi"/>
          <w:sz w:val="16"/>
          <w:szCs w:val="24"/>
        </w:rPr>
        <w:t>since 2020</w:t>
      </w:r>
      <w:r w:rsidRPr="00E778EA">
        <w:rPr>
          <w:sz w:val="24"/>
          <w:szCs w:val="24"/>
        </w:rPr>
        <w:t xml:space="preserve"> </w:t>
      </w:r>
      <w:r w:rsidRPr="00E778EA">
        <w:rPr>
          <w:rFonts w:asciiTheme="minorHAnsi" w:hAnsiTheme="minorHAnsi"/>
          <w:sz w:val="16"/>
          <w:szCs w:val="24"/>
        </w:rPr>
        <w:t xml:space="preserve">was an anomaly and </w:t>
      </w:r>
    </w:p>
    <w:p w14:paraId="338B4F55" w14:textId="38460785" w:rsidR="00C66B6A" w:rsidRPr="00E778EA" w:rsidRDefault="00C66B6A" w:rsidP="006D51FB">
      <w:pPr>
        <w:pStyle w:val="NoSpacing"/>
        <w:ind w:left="1296"/>
        <w:rPr>
          <w:rFonts w:asciiTheme="minorHAnsi" w:hAnsiTheme="minorHAnsi"/>
          <w:sz w:val="16"/>
          <w:szCs w:val="24"/>
        </w:rPr>
      </w:pPr>
      <w:r w:rsidRPr="00E778EA">
        <w:rPr>
          <w:rFonts w:asciiTheme="minorHAnsi" w:hAnsiTheme="minorHAnsi"/>
          <w:sz w:val="16"/>
          <w:szCs w:val="24"/>
        </w:rPr>
        <w:t>would bias</w:t>
      </w:r>
      <w:r>
        <w:rPr>
          <w:rFonts w:asciiTheme="minorHAnsi" w:hAnsiTheme="minorHAnsi"/>
          <w:sz w:val="16"/>
          <w:szCs w:val="24"/>
        </w:rPr>
        <w:t xml:space="preserve"> </w:t>
      </w:r>
      <w:r w:rsidRPr="00E778EA">
        <w:rPr>
          <w:rFonts w:asciiTheme="minorHAnsi" w:hAnsiTheme="minorHAnsi"/>
          <w:sz w:val="16"/>
          <w:szCs w:val="24"/>
        </w:rPr>
        <w:t>estimates.</w:t>
      </w:r>
    </w:p>
    <w:p w14:paraId="325E806F" w14:textId="77777777" w:rsidR="000276CC" w:rsidRPr="00F9366C" w:rsidRDefault="000276CC" w:rsidP="00AA53A0">
      <w:pPr>
        <w:pStyle w:val="Caption"/>
        <w:spacing w:after="0" w:line="240" w:lineRule="auto"/>
        <w:rPr>
          <w:rFonts w:asciiTheme="minorHAnsi" w:hAnsiTheme="minorHAnsi"/>
          <w:b/>
          <w:sz w:val="22"/>
        </w:rPr>
      </w:pPr>
    </w:p>
    <w:p w14:paraId="3D7629C4" w14:textId="6419F2EC" w:rsidR="00940BE1" w:rsidRPr="0068056E" w:rsidRDefault="00C66B6A" w:rsidP="0068056E">
      <w:pPr>
        <w:pStyle w:val="ListParagraph"/>
        <w:numPr>
          <w:ilvl w:val="0"/>
          <w:numId w:val="31"/>
        </w:numPr>
        <w:spacing w:after="160" w:line="259" w:lineRule="auto"/>
      </w:pPr>
      <w:r w:rsidRPr="00C66B6A">
        <w:rPr>
          <w:rFonts w:asciiTheme="minorHAnsi" w:hAnsiTheme="minorHAnsi" w:cstheme="minorHAnsi"/>
        </w:rPr>
        <w:t xml:space="preserve">Incidence rates for all-site cancer decreased an average of 1.1% per year in Delaware between 2007 and 2021 and the trend was consistent over this </w:t>
      </w:r>
      <w:proofErr w:type="gramStart"/>
      <w:r w:rsidRPr="00C66B6A">
        <w:rPr>
          <w:rFonts w:asciiTheme="minorHAnsi" w:hAnsiTheme="minorHAnsi" w:cstheme="minorHAnsi"/>
        </w:rPr>
        <w:t>time period</w:t>
      </w:r>
      <w:proofErr w:type="gramEnd"/>
      <w:r w:rsidRPr="00C66B6A">
        <w:rPr>
          <w:rFonts w:asciiTheme="minorHAnsi" w:hAnsiTheme="minorHAnsi" w:cstheme="minorHAnsi"/>
        </w:rPr>
        <w:t>.</w:t>
      </w:r>
    </w:p>
    <w:p w14:paraId="4700A1D0" w14:textId="170EFF53" w:rsidR="00940BE1" w:rsidRPr="0068056E" w:rsidRDefault="00C66B6A" w:rsidP="0068056E">
      <w:pPr>
        <w:pStyle w:val="ListParagraph"/>
        <w:numPr>
          <w:ilvl w:val="0"/>
          <w:numId w:val="31"/>
        </w:numPr>
        <w:spacing w:after="160" w:line="259" w:lineRule="auto"/>
      </w:pPr>
      <w:r w:rsidRPr="00C66B6A">
        <w:rPr>
          <w:rFonts w:asciiTheme="minorHAnsi" w:hAnsiTheme="minorHAnsi" w:cstheme="minorHAnsi"/>
        </w:rPr>
        <w:t>Incidence rates for all-site cancer decreased an average of 2.0% per year among Delaware males between 2007 and 2021 and the trend was consistent over this time period.</w:t>
      </w:r>
    </w:p>
    <w:p w14:paraId="3F709C3E" w14:textId="3DCD7537" w:rsidR="00C66B6A" w:rsidRPr="00C66B6A" w:rsidRDefault="00C66B6A" w:rsidP="00B21C83">
      <w:pPr>
        <w:pStyle w:val="ListParagraph"/>
        <w:numPr>
          <w:ilvl w:val="0"/>
          <w:numId w:val="31"/>
        </w:numPr>
        <w:spacing w:after="160" w:line="259" w:lineRule="auto"/>
        <w:rPr>
          <w:rFonts w:asciiTheme="minorHAnsi" w:hAnsiTheme="minorHAnsi" w:cstheme="minorHAnsi"/>
          <w:b/>
          <w:bCs/>
        </w:rPr>
      </w:pPr>
      <w:bookmarkStart w:id="26" w:name="_Hlk175651442"/>
      <w:r w:rsidRPr="00C66B6A">
        <w:rPr>
          <w:rFonts w:asciiTheme="minorHAnsi" w:hAnsiTheme="minorHAnsi" w:cstheme="minorHAnsi"/>
        </w:rPr>
        <w:t xml:space="preserve">The trend in incidence rates for all-site cancer was stable among Delaware females </w:t>
      </w:r>
      <w:r w:rsidR="00F67B89">
        <w:rPr>
          <w:rFonts w:asciiTheme="minorHAnsi" w:hAnsiTheme="minorHAnsi" w:cstheme="minorHAnsi"/>
        </w:rPr>
        <w:t>when averaged over the</w:t>
      </w:r>
      <w:r w:rsidRPr="00C66B6A">
        <w:rPr>
          <w:rFonts w:asciiTheme="minorHAnsi" w:hAnsiTheme="minorHAnsi" w:cstheme="minorHAnsi"/>
        </w:rPr>
        <w:t xml:space="preserve"> 2007 and 2021</w:t>
      </w:r>
      <w:r w:rsidR="0068056E">
        <w:rPr>
          <w:rFonts w:asciiTheme="minorHAnsi" w:hAnsiTheme="minorHAnsi" w:cstheme="minorHAnsi"/>
        </w:rPr>
        <w:t xml:space="preserve"> time period</w:t>
      </w:r>
      <w:r w:rsidRPr="00C66B6A">
        <w:rPr>
          <w:rFonts w:asciiTheme="minorHAnsi" w:hAnsiTheme="minorHAnsi" w:cstheme="minorHAnsi"/>
        </w:rPr>
        <w:t xml:space="preserve">. </w:t>
      </w:r>
      <w:r w:rsidR="00113390">
        <w:rPr>
          <w:rFonts w:asciiTheme="minorHAnsi" w:hAnsiTheme="minorHAnsi" w:cstheme="minorHAnsi"/>
        </w:rPr>
        <w:t xml:space="preserve"> </w:t>
      </w:r>
      <w:r w:rsidRPr="00C66B6A">
        <w:rPr>
          <w:rFonts w:asciiTheme="minorHAnsi" w:hAnsiTheme="minorHAnsi" w:cstheme="minorHAnsi"/>
        </w:rPr>
        <w:t>There were two distinct trends among Delaware females during this time period:</w:t>
      </w:r>
    </w:p>
    <w:bookmarkEnd w:id="26"/>
    <w:p w14:paraId="5E26BDDB" w14:textId="0E3AE55C" w:rsidR="00C66B6A" w:rsidRPr="00C66B6A" w:rsidRDefault="00C66B6A" w:rsidP="00B21C83">
      <w:pPr>
        <w:pStyle w:val="ListParagraph"/>
        <w:numPr>
          <w:ilvl w:val="1"/>
          <w:numId w:val="31"/>
        </w:numPr>
        <w:spacing w:after="160" w:line="259" w:lineRule="auto"/>
        <w:rPr>
          <w:rFonts w:asciiTheme="minorHAnsi" w:hAnsiTheme="minorHAnsi" w:cstheme="minorHAnsi"/>
          <w:b/>
          <w:bCs/>
        </w:rPr>
      </w:pPr>
      <w:r w:rsidRPr="00C66B6A">
        <w:rPr>
          <w:rFonts w:asciiTheme="minorHAnsi" w:hAnsiTheme="minorHAnsi" w:cstheme="minorHAnsi"/>
        </w:rPr>
        <w:t>A 0.7% annual increase between 2007 and 2014</w:t>
      </w:r>
      <w:r w:rsidR="009D42EA">
        <w:rPr>
          <w:rFonts w:asciiTheme="minorHAnsi" w:hAnsiTheme="minorHAnsi" w:cstheme="minorHAnsi"/>
        </w:rPr>
        <w:t>.</w:t>
      </w:r>
    </w:p>
    <w:p w14:paraId="0F4E5167" w14:textId="69ED7596" w:rsidR="00C66B6A" w:rsidRPr="00C66B6A" w:rsidRDefault="00C66B6A" w:rsidP="00B21C83">
      <w:pPr>
        <w:pStyle w:val="ListParagraph"/>
        <w:numPr>
          <w:ilvl w:val="1"/>
          <w:numId w:val="31"/>
        </w:numPr>
        <w:spacing w:after="160" w:line="259" w:lineRule="auto"/>
        <w:rPr>
          <w:rFonts w:asciiTheme="minorHAnsi" w:hAnsiTheme="minorHAnsi" w:cstheme="minorHAnsi"/>
          <w:b/>
          <w:bCs/>
        </w:rPr>
      </w:pPr>
      <w:r w:rsidRPr="00C66B6A">
        <w:rPr>
          <w:rFonts w:asciiTheme="minorHAnsi" w:hAnsiTheme="minorHAnsi" w:cstheme="minorHAnsi"/>
        </w:rPr>
        <w:t>A 1.2% annual decrease between 2014 and 2021</w:t>
      </w:r>
      <w:r w:rsidR="00940BE1">
        <w:rPr>
          <w:rFonts w:asciiTheme="minorHAnsi" w:hAnsiTheme="minorHAnsi" w:cstheme="minorHAnsi"/>
        </w:rPr>
        <w:t>.</w:t>
      </w:r>
      <w:r w:rsidRPr="00C66B6A">
        <w:rPr>
          <w:rFonts w:asciiTheme="minorHAnsi" w:hAnsiTheme="minorHAnsi" w:cstheme="minorHAnsi"/>
        </w:rPr>
        <w:t xml:space="preserve"> </w:t>
      </w:r>
    </w:p>
    <w:p w14:paraId="034C1F6F" w14:textId="77777777" w:rsidR="00C66B6A" w:rsidRPr="00C66B6A" w:rsidRDefault="00C66B6A" w:rsidP="00C66B6A"/>
    <w:p w14:paraId="243D1BF1" w14:textId="77777777" w:rsidR="000276CC" w:rsidRDefault="000276CC" w:rsidP="000C02FF">
      <w:pPr>
        <w:pStyle w:val="Caption"/>
        <w:spacing w:after="80" w:line="240" w:lineRule="auto"/>
        <w:jc w:val="center"/>
        <w:rPr>
          <w:rFonts w:asciiTheme="minorHAnsi" w:hAnsiTheme="minorHAnsi"/>
          <w:b/>
          <w:sz w:val="22"/>
        </w:rPr>
      </w:pPr>
    </w:p>
    <w:p w14:paraId="7B87EC28" w14:textId="77777777" w:rsidR="00F67B89" w:rsidRDefault="00F67B89">
      <w:pPr>
        <w:rPr>
          <w:rFonts w:asciiTheme="minorHAnsi" w:hAnsiTheme="minorHAnsi"/>
          <w:b/>
          <w:caps/>
          <w:spacing w:val="10"/>
          <w:szCs w:val="18"/>
        </w:rPr>
      </w:pPr>
      <w:r>
        <w:rPr>
          <w:rFonts w:asciiTheme="minorHAnsi" w:hAnsiTheme="minorHAnsi"/>
          <w:b/>
        </w:rPr>
        <w:br w:type="page"/>
      </w:r>
    </w:p>
    <w:p w14:paraId="158BE62F" w14:textId="761C582C" w:rsidR="003E5C0A" w:rsidRDefault="003E5C0A" w:rsidP="000C02FF">
      <w:pPr>
        <w:pStyle w:val="Caption"/>
        <w:spacing w:after="80" w:line="240" w:lineRule="auto"/>
        <w:jc w:val="center"/>
        <w:rPr>
          <w:rFonts w:asciiTheme="minorHAnsi" w:hAnsiTheme="minorHAnsi"/>
          <w:b/>
          <w:sz w:val="22"/>
        </w:rPr>
      </w:pPr>
      <w:r w:rsidRPr="000F0BAE">
        <w:rPr>
          <w:rFonts w:asciiTheme="minorHAnsi" w:hAnsiTheme="minorHAnsi"/>
          <w:b/>
          <w:sz w:val="22"/>
        </w:rPr>
        <w:lastRenderedPageBreak/>
        <w:t xml:space="preserve">Figure </w:t>
      </w:r>
      <w:r w:rsidR="0053223C" w:rsidRPr="000F0BAE">
        <w:rPr>
          <w:rFonts w:asciiTheme="minorHAnsi" w:hAnsiTheme="minorHAnsi"/>
          <w:b/>
          <w:sz w:val="22"/>
        </w:rPr>
        <w:fldChar w:fldCharType="begin"/>
      </w:r>
      <w:r w:rsidR="0053223C" w:rsidRPr="000F0BAE">
        <w:rPr>
          <w:rFonts w:asciiTheme="minorHAnsi" w:hAnsiTheme="minorHAnsi"/>
          <w:b/>
          <w:sz w:val="22"/>
        </w:rPr>
        <w:instrText xml:space="preserve"> STYLEREF 1 \s </w:instrText>
      </w:r>
      <w:r w:rsidR="0053223C" w:rsidRPr="000F0BAE">
        <w:rPr>
          <w:rFonts w:asciiTheme="minorHAnsi" w:hAnsiTheme="minorHAnsi"/>
          <w:b/>
          <w:sz w:val="22"/>
        </w:rPr>
        <w:fldChar w:fldCharType="separate"/>
      </w:r>
      <w:r w:rsidR="006C24CC">
        <w:rPr>
          <w:rFonts w:asciiTheme="minorHAnsi" w:hAnsiTheme="minorHAnsi"/>
          <w:b/>
          <w:noProof/>
          <w:sz w:val="22"/>
        </w:rPr>
        <w:t>2</w:t>
      </w:r>
      <w:r w:rsidR="0053223C" w:rsidRPr="000F0BAE">
        <w:rPr>
          <w:rFonts w:asciiTheme="minorHAnsi" w:hAnsiTheme="minorHAnsi"/>
          <w:b/>
          <w:sz w:val="22"/>
        </w:rPr>
        <w:fldChar w:fldCharType="end"/>
      </w:r>
      <w:r w:rsidR="0053223C" w:rsidRPr="000F0BAE">
        <w:rPr>
          <w:rFonts w:asciiTheme="minorHAnsi" w:hAnsiTheme="minorHAnsi"/>
          <w:b/>
          <w:sz w:val="22"/>
        </w:rPr>
        <w:noBreakHyphen/>
      </w:r>
      <w:r w:rsidR="0053223C" w:rsidRPr="000F0BAE">
        <w:rPr>
          <w:rFonts w:asciiTheme="minorHAnsi" w:hAnsiTheme="minorHAnsi"/>
          <w:b/>
          <w:sz w:val="22"/>
        </w:rPr>
        <w:fldChar w:fldCharType="begin"/>
      </w:r>
      <w:r w:rsidR="0053223C" w:rsidRPr="000F0BAE">
        <w:rPr>
          <w:rFonts w:asciiTheme="minorHAnsi" w:hAnsiTheme="minorHAnsi"/>
          <w:b/>
          <w:sz w:val="22"/>
        </w:rPr>
        <w:instrText xml:space="preserve"> SEQ Figure \* ARABIC \s 1 </w:instrText>
      </w:r>
      <w:r w:rsidR="0053223C" w:rsidRPr="000F0BAE">
        <w:rPr>
          <w:rFonts w:asciiTheme="minorHAnsi" w:hAnsiTheme="minorHAnsi"/>
          <w:b/>
          <w:sz w:val="22"/>
        </w:rPr>
        <w:fldChar w:fldCharType="separate"/>
      </w:r>
      <w:r w:rsidR="006C24CC">
        <w:rPr>
          <w:rFonts w:asciiTheme="minorHAnsi" w:hAnsiTheme="minorHAnsi"/>
          <w:b/>
          <w:noProof/>
          <w:sz w:val="22"/>
        </w:rPr>
        <w:t>4</w:t>
      </w:r>
      <w:r w:rsidR="0053223C" w:rsidRPr="000F0BAE">
        <w:rPr>
          <w:rFonts w:asciiTheme="minorHAnsi" w:hAnsiTheme="minorHAnsi"/>
          <w:b/>
          <w:sz w:val="22"/>
        </w:rPr>
        <w:fldChar w:fldCharType="end"/>
      </w:r>
      <w:r w:rsidRPr="000F0BAE">
        <w:rPr>
          <w:rFonts w:asciiTheme="minorHAnsi" w:hAnsiTheme="minorHAnsi"/>
          <w:b/>
          <w:sz w:val="22"/>
        </w:rPr>
        <w:t>: Age-Adjusted All-site CANCER INCIDENCE RATE</w:t>
      </w:r>
      <w:r w:rsidR="00544232" w:rsidRPr="000F0BAE">
        <w:rPr>
          <w:rFonts w:asciiTheme="minorHAnsi" w:hAnsiTheme="minorHAnsi"/>
          <w:b/>
          <w:sz w:val="22"/>
        </w:rPr>
        <w:t xml:space="preserve"> Trend</w:t>
      </w:r>
      <w:r w:rsidRPr="000F0BAE">
        <w:rPr>
          <w:rFonts w:asciiTheme="minorHAnsi" w:hAnsiTheme="minorHAnsi"/>
          <w:b/>
          <w:sz w:val="22"/>
        </w:rPr>
        <w:t xml:space="preserve"> </w:t>
      </w:r>
      <w:r w:rsidR="00315A11" w:rsidRPr="000F0BAE">
        <w:rPr>
          <w:rFonts w:asciiTheme="minorHAnsi" w:hAnsiTheme="minorHAnsi"/>
          <w:b/>
          <w:sz w:val="22"/>
        </w:rPr>
        <w:t>BY RACE/ETHNICITY</w:t>
      </w:r>
      <w:r w:rsidRPr="000F0BAE">
        <w:rPr>
          <w:rFonts w:asciiTheme="minorHAnsi" w:hAnsiTheme="minorHAnsi"/>
          <w:b/>
          <w:sz w:val="22"/>
        </w:rPr>
        <w:t>;</w:t>
      </w:r>
      <w:r w:rsidR="00486F5F">
        <w:rPr>
          <w:rFonts w:asciiTheme="minorHAnsi" w:hAnsiTheme="minorHAnsi"/>
          <w:b/>
          <w:sz w:val="22"/>
        </w:rPr>
        <w:t xml:space="preserve"> Males,</w:t>
      </w:r>
      <w:r w:rsidRPr="000F0BAE">
        <w:rPr>
          <w:rFonts w:asciiTheme="minorHAnsi" w:hAnsiTheme="minorHAnsi"/>
          <w:b/>
          <w:sz w:val="22"/>
        </w:rPr>
        <w:t xml:space="preserve"> Delaware, </w:t>
      </w:r>
      <w:r w:rsidR="00320C80">
        <w:rPr>
          <w:rFonts w:asciiTheme="minorHAnsi" w:hAnsiTheme="minorHAnsi"/>
          <w:b/>
          <w:sz w:val="22"/>
        </w:rPr>
        <w:t>200</w:t>
      </w:r>
      <w:r w:rsidR="00486F5F">
        <w:rPr>
          <w:rFonts w:asciiTheme="minorHAnsi" w:hAnsiTheme="minorHAnsi"/>
          <w:b/>
          <w:sz w:val="22"/>
        </w:rPr>
        <w:t>7</w:t>
      </w:r>
      <w:r w:rsidR="00320C80">
        <w:rPr>
          <w:rFonts w:asciiTheme="minorHAnsi" w:hAnsiTheme="minorHAnsi"/>
          <w:b/>
          <w:sz w:val="22"/>
        </w:rPr>
        <w:t>-202</w:t>
      </w:r>
      <w:r w:rsidR="00486F5F">
        <w:rPr>
          <w:rFonts w:asciiTheme="minorHAnsi" w:hAnsiTheme="minorHAnsi"/>
          <w:b/>
          <w:sz w:val="22"/>
        </w:rPr>
        <w:t>1</w:t>
      </w:r>
      <w:r w:rsidR="00320C80">
        <w:rPr>
          <w:rFonts w:asciiTheme="minorHAnsi" w:hAnsiTheme="minorHAnsi"/>
          <w:b/>
          <w:sz w:val="22"/>
        </w:rPr>
        <w:t>*</w:t>
      </w:r>
    </w:p>
    <w:p w14:paraId="7FFFCDF2" w14:textId="2F9CEDA4" w:rsidR="00120F87" w:rsidRPr="00E778EA" w:rsidRDefault="001E4DEA" w:rsidP="00E778EA">
      <w:pPr>
        <w:spacing w:after="0"/>
        <w:jc w:val="center"/>
      </w:pPr>
      <w:r>
        <w:rPr>
          <w:noProof/>
        </w:rPr>
        <w:drawing>
          <wp:inline distT="0" distB="0" distL="0" distR="0" wp14:anchorId="23994BDA" wp14:editId="33AA8429">
            <wp:extent cx="4584700" cy="2755900"/>
            <wp:effectExtent l="0" t="0" r="6350" b="6350"/>
            <wp:docPr id="391638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7CBE1AC" w14:textId="6B66BD87" w:rsidR="00120F87" w:rsidRPr="00534203" w:rsidRDefault="003E5C0A" w:rsidP="006D51FB">
      <w:pPr>
        <w:pStyle w:val="NoSpacing"/>
        <w:ind w:left="1296"/>
        <w:rPr>
          <w:rFonts w:asciiTheme="minorHAnsi" w:hAnsiTheme="minorHAnsi"/>
          <w:i/>
          <w:sz w:val="16"/>
          <w:szCs w:val="16"/>
        </w:rPr>
      </w:pPr>
      <w:r w:rsidRPr="00534203">
        <w:rPr>
          <w:rFonts w:asciiTheme="minorHAnsi" w:hAnsiTheme="minorHAnsi"/>
          <w:i/>
          <w:sz w:val="16"/>
          <w:szCs w:val="16"/>
        </w:rPr>
        <w:t xml:space="preserve">Source: </w:t>
      </w:r>
      <w:r w:rsidR="003A7B99" w:rsidRPr="00534203">
        <w:rPr>
          <w:rFonts w:asciiTheme="minorHAnsi" w:hAnsiTheme="minorHAnsi"/>
          <w:i/>
          <w:sz w:val="16"/>
          <w:szCs w:val="16"/>
        </w:rPr>
        <w:t>Delaware Department of Health and Social Services, Division of Public Health, Delaware Cancer Registry</w:t>
      </w:r>
      <w:r w:rsidR="00E33BCD" w:rsidRPr="00534203">
        <w:rPr>
          <w:rFonts w:asciiTheme="minorHAnsi" w:hAnsiTheme="minorHAnsi"/>
          <w:i/>
          <w:sz w:val="16"/>
          <w:szCs w:val="16"/>
        </w:rPr>
        <w:t>, 20</w:t>
      </w:r>
      <w:r w:rsidR="009C16C3" w:rsidRPr="00534203">
        <w:rPr>
          <w:rFonts w:asciiTheme="minorHAnsi" w:hAnsiTheme="minorHAnsi"/>
          <w:i/>
          <w:sz w:val="16"/>
          <w:szCs w:val="16"/>
        </w:rPr>
        <w:t>2</w:t>
      </w:r>
      <w:r w:rsidR="008737FE" w:rsidRPr="00534203">
        <w:rPr>
          <w:rFonts w:asciiTheme="minorHAnsi" w:hAnsiTheme="minorHAnsi"/>
          <w:i/>
          <w:sz w:val="16"/>
          <w:szCs w:val="16"/>
        </w:rPr>
        <w:t>4</w:t>
      </w:r>
    </w:p>
    <w:p w14:paraId="6A62DC6B" w14:textId="77777777" w:rsidR="0068056E" w:rsidRPr="00534203" w:rsidRDefault="00BC57AB" w:rsidP="0068056E">
      <w:pPr>
        <w:pStyle w:val="NoSpacing"/>
        <w:ind w:left="1296"/>
        <w:rPr>
          <w:rFonts w:asciiTheme="minorHAnsi" w:hAnsiTheme="minorHAnsi"/>
          <w:sz w:val="16"/>
          <w:szCs w:val="16"/>
        </w:rPr>
      </w:pPr>
      <w:r w:rsidRPr="00534203">
        <w:rPr>
          <w:rFonts w:asciiTheme="minorHAnsi" w:hAnsiTheme="minorHAnsi"/>
          <w:sz w:val="16"/>
          <w:szCs w:val="16"/>
        </w:rPr>
        <w:t xml:space="preserve">Rates are per 100,000 of population </w:t>
      </w:r>
      <w:r w:rsidR="002A72C4" w:rsidRPr="00534203">
        <w:rPr>
          <w:rFonts w:asciiTheme="minorHAnsi" w:hAnsiTheme="minorHAnsi"/>
          <w:sz w:val="16"/>
          <w:szCs w:val="16"/>
        </w:rPr>
        <w:t xml:space="preserve">using US Census estimates and </w:t>
      </w:r>
      <w:r w:rsidRPr="00534203">
        <w:rPr>
          <w:rFonts w:asciiTheme="minorHAnsi" w:hAnsiTheme="minorHAnsi"/>
          <w:sz w:val="16"/>
          <w:szCs w:val="16"/>
        </w:rPr>
        <w:t>age-adjusted to the 2000 U.S. standard population</w:t>
      </w:r>
      <w:r w:rsidR="00120F87" w:rsidRPr="00534203">
        <w:rPr>
          <w:rFonts w:asciiTheme="minorHAnsi" w:hAnsiTheme="minorHAnsi"/>
          <w:sz w:val="16"/>
          <w:szCs w:val="16"/>
        </w:rPr>
        <w:t xml:space="preserve"> </w:t>
      </w:r>
    </w:p>
    <w:p w14:paraId="183E5930" w14:textId="4CFB93D3" w:rsidR="003A7B99" w:rsidRPr="00534203" w:rsidRDefault="00120F87" w:rsidP="006D51FB">
      <w:pPr>
        <w:pStyle w:val="NoSpacing"/>
        <w:ind w:left="1296"/>
        <w:rPr>
          <w:rFonts w:asciiTheme="minorHAnsi" w:hAnsiTheme="minorHAnsi"/>
          <w:sz w:val="16"/>
          <w:szCs w:val="16"/>
        </w:rPr>
      </w:pPr>
      <w:r w:rsidRPr="00534203">
        <w:rPr>
          <w:rFonts w:asciiTheme="minorHAnsi" w:hAnsiTheme="minorHAnsi"/>
          <w:sz w:val="16"/>
          <w:szCs w:val="16"/>
        </w:rPr>
        <w:t>and are calculated using modified U.S. Census populations available from NCI (</w:t>
      </w:r>
      <w:hyperlink r:id="rId31" w:history="1">
        <w:r w:rsidRPr="00534203">
          <w:rPr>
            <w:rStyle w:val="Hyperlink"/>
            <w:rFonts w:asciiTheme="minorHAnsi" w:hAnsiTheme="minorHAnsi"/>
            <w:sz w:val="16"/>
            <w:szCs w:val="16"/>
          </w:rPr>
          <w:t>https://seer.cancer.gov/popdata/</w:t>
        </w:r>
      </w:hyperlink>
      <w:r w:rsidRPr="00534203">
        <w:rPr>
          <w:rFonts w:asciiTheme="minorHAnsi" w:hAnsiTheme="minorHAnsi"/>
          <w:sz w:val="16"/>
          <w:szCs w:val="16"/>
        </w:rPr>
        <w:t xml:space="preserve">). </w:t>
      </w:r>
    </w:p>
    <w:p w14:paraId="592BCBC8" w14:textId="77777777" w:rsidR="0068056E" w:rsidRPr="00534203" w:rsidRDefault="005813F4" w:rsidP="0068056E">
      <w:pPr>
        <w:pStyle w:val="NoSpacing"/>
        <w:ind w:left="1296"/>
        <w:rPr>
          <w:rFonts w:asciiTheme="minorHAnsi" w:hAnsiTheme="minorHAnsi"/>
          <w:sz w:val="16"/>
          <w:szCs w:val="16"/>
        </w:rPr>
      </w:pPr>
      <w:r w:rsidRPr="00534203">
        <w:rPr>
          <w:rFonts w:asciiTheme="minorHAnsi" w:hAnsiTheme="minorHAnsi"/>
          <w:sz w:val="16"/>
          <w:szCs w:val="16"/>
        </w:rPr>
        <w:t>*</w:t>
      </w:r>
      <w:r w:rsidR="00320C80" w:rsidRPr="00534203">
        <w:rPr>
          <w:rFonts w:asciiTheme="minorHAnsi" w:hAnsiTheme="minorHAnsi"/>
          <w:sz w:val="16"/>
          <w:szCs w:val="16"/>
        </w:rPr>
        <w:t>Incidence rates for year 2020 are plotted but were not used for the analysis of trend</w:t>
      </w:r>
      <w:r w:rsidR="004121CD" w:rsidRPr="00534203">
        <w:rPr>
          <w:rFonts w:asciiTheme="minorHAnsi" w:hAnsiTheme="minorHAnsi"/>
          <w:sz w:val="16"/>
          <w:szCs w:val="16"/>
        </w:rPr>
        <w:t>s</w:t>
      </w:r>
      <w:r w:rsidR="004E5822" w:rsidRPr="006D51FB">
        <w:rPr>
          <w:sz w:val="16"/>
          <w:szCs w:val="16"/>
        </w:rPr>
        <w:t xml:space="preserve"> </w:t>
      </w:r>
      <w:r w:rsidR="004E5822" w:rsidRPr="00534203">
        <w:rPr>
          <w:rFonts w:asciiTheme="minorHAnsi" w:hAnsiTheme="minorHAnsi"/>
          <w:sz w:val="16"/>
          <w:szCs w:val="16"/>
        </w:rPr>
        <w:t>since 2020</w:t>
      </w:r>
      <w:r w:rsidR="004E5822" w:rsidRPr="006D51FB">
        <w:rPr>
          <w:sz w:val="16"/>
          <w:szCs w:val="16"/>
        </w:rPr>
        <w:t xml:space="preserve"> </w:t>
      </w:r>
      <w:r w:rsidR="004E5822" w:rsidRPr="00534203">
        <w:rPr>
          <w:rFonts w:asciiTheme="minorHAnsi" w:hAnsiTheme="minorHAnsi"/>
          <w:sz w:val="16"/>
          <w:szCs w:val="16"/>
        </w:rPr>
        <w:t xml:space="preserve">was an anomaly and </w:t>
      </w:r>
    </w:p>
    <w:p w14:paraId="22B8E9F9" w14:textId="1F3897FF" w:rsidR="00822222" w:rsidRPr="00534203" w:rsidRDefault="004E5822" w:rsidP="006D51FB">
      <w:pPr>
        <w:pStyle w:val="NoSpacing"/>
        <w:ind w:left="1296"/>
        <w:rPr>
          <w:rFonts w:asciiTheme="minorHAnsi" w:hAnsiTheme="minorHAnsi"/>
          <w:sz w:val="16"/>
          <w:szCs w:val="16"/>
        </w:rPr>
      </w:pPr>
      <w:r w:rsidRPr="00534203">
        <w:rPr>
          <w:rFonts w:asciiTheme="minorHAnsi" w:hAnsiTheme="minorHAnsi"/>
          <w:sz w:val="16"/>
          <w:szCs w:val="16"/>
        </w:rPr>
        <w:t>would bias</w:t>
      </w:r>
      <w:r w:rsidR="00120F87" w:rsidRPr="00534203">
        <w:rPr>
          <w:rFonts w:asciiTheme="minorHAnsi" w:hAnsiTheme="minorHAnsi"/>
          <w:sz w:val="16"/>
          <w:szCs w:val="16"/>
        </w:rPr>
        <w:t xml:space="preserve"> </w:t>
      </w:r>
      <w:r w:rsidRPr="00534203">
        <w:rPr>
          <w:rFonts w:asciiTheme="minorHAnsi" w:hAnsiTheme="minorHAnsi"/>
          <w:sz w:val="16"/>
          <w:szCs w:val="16"/>
        </w:rPr>
        <w:t>estimates</w:t>
      </w:r>
      <w:r w:rsidR="00320C80" w:rsidRPr="00534203">
        <w:rPr>
          <w:rFonts w:asciiTheme="minorHAnsi" w:hAnsiTheme="minorHAnsi"/>
          <w:sz w:val="16"/>
          <w:szCs w:val="16"/>
        </w:rPr>
        <w:t>.</w:t>
      </w:r>
    </w:p>
    <w:p w14:paraId="39BFED9D" w14:textId="537FA858" w:rsidR="003A7B99" w:rsidRDefault="003A7B99" w:rsidP="0006275D">
      <w:pPr>
        <w:pStyle w:val="NoSpacing"/>
        <w:ind w:left="720"/>
        <w:rPr>
          <w:rFonts w:asciiTheme="minorHAnsi" w:hAnsiTheme="minorHAnsi"/>
          <w:sz w:val="14"/>
        </w:rPr>
      </w:pPr>
      <w:r>
        <w:rPr>
          <w:rFonts w:asciiTheme="minorHAnsi" w:hAnsiTheme="minorHAnsi"/>
          <w:sz w:val="14"/>
        </w:rPr>
        <w:t xml:space="preserve">                   </w:t>
      </w:r>
    </w:p>
    <w:p w14:paraId="2B7383D2" w14:textId="77777777" w:rsidR="00534203" w:rsidRPr="009D4144" w:rsidRDefault="00534203" w:rsidP="0006275D">
      <w:pPr>
        <w:pStyle w:val="NoSpacing"/>
        <w:ind w:left="720"/>
        <w:rPr>
          <w:rFonts w:asciiTheme="minorHAnsi" w:hAnsiTheme="minorHAnsi"/>
          <w:i/>
          <w:sz w:val="14"/>
        </w:rPr>
      </w:pPr>
    </w:p>
    <w:p w14:paraId="622944EA" w14:textId="36065C88" w:rsidR="00486F5F" w:rsidRPr="00486F5F" w:rsidRDefault="00486F5F" w:rsidP="00B21C83">
      <w:pPr>
        <w:pStyle w:val="ListParagraph"/>
        <w:numPr>
          <w:ilvl w:val="0"/>
          <w:numId w:val="31"/>
        </w:numPr>
        <w:spacing w:after="160" w:line="259" w:lineRule="auto"/>
        <w:rPr>
          <w:rFonts w:asciiTheme="minorHAnsi" w:hAnsiTheme="minorHAnsi" w:cstheme="minorHAnsi"/>
          <w:b/>
          <w:bCs/>
        </w:rPr>
      </w:pPr>
      <w:r w:rsidRPr="00486F5F">
        <w:rPr>
          <w:rFonts w:asciiTheme="minorHAnsi" w:hAnsiTheme="minorHAnsi" w:cstheme="minorHAnsi"/>
        </w:rPr>
        <w:t xml:space="preserve">Incidence rates for all-site cancer decreased an average of 1.8% per year among </w:t>
      </w:r>
      <w:r w:rsidR="00F71E6E">
        <w:rPr>
          <w:rFonts w:asciiTheme="minorHAnsi" w:hAnsiTheme="minorHAnsi" w:cstheme="minorHAnsi"/>
        </w:rPr>
        <w:t>n</w:t>
      </w:r>
      <w:r w:rsidRPr="00486F5F">
        <w:rPr>
          <w:rFonts w:asciiTheme="minorHAnsi" w:hAnsiTheme="minorHAnsi" w:cstheme="minorHAnsi"/>
        </w:rPr>
        <w:t>on-Hispanic White males in Delaware between 2007 and 2021 and the trend was consistent over this time period.</w:t>
      </w:r>
    </w:p>
    <w:p w14:paraId="6445B480" w14:textId="673B06C8" w:rsidR="00486F5F" w:rsidRPr="00486F5F" w:rsidRDefault="00486F5F" w:rsidP="00B21C83">
      <w:pPr>
        <w:pStyle w:val="ListParagraph"/>
        <w:numPr>
          <w:ilvl w:val="0"/>
          <w:numId w:val="31"/>
        </w:numPr>
        <w:spacing w:after="160" w:line="259" w:lineRule="auto"/>
        <w:rPr>
          <w:rFonts w:asciiTheme="minorHAnsi" w:hAnsiTheme="minorHAnsi" w:cstheme="minorHAnsi"/>
          <w:b/>
          <w:bCs/>
        </w:rPr>
      </w:pPr>
      <w:r w:rsidRPr="00486F5F">
        <w:rPr>
          <w:rFonts w:asciiTheme="minorHAnsi" w:hAnsiTheme="minorHAnsi" w:cstheme="minorHAnsi"/>
        </w:rPr>
        <w:t xml:space="preserve">Incidence rates for all-site cancer decreased an average of 3.0% per year among </w:t>
      </w:r>
      <w:r w:rsidR="00AC71E3">
        <w:rPr>
          <w:rFonts w:asciiTheme="minorHAnsi" w:hAnsiTheme="minorHAnsi" w:cstheme="minorHAnsi"/>
        </w:rPr>
        <w:t>non</w:t>
      </w:r>
      <w:r w:rsidRPr="00486F5F">
        <w:rPr>
          <w:rFonts w:asciiTheme="minorHAnsi" w:hAnsiTheme="minorHAnsi" w:cstheme="minorHAnsi"/>
        </w:rPr>
        <w:t>-Hispanic Black males in Delaware between 2007 and 2021 and the trend was consistent over this time period.</w:t>
      </w:r>
    </w:p>
    <w:p w14:paraId="612A7721" w14:textId="77777777" w:rsidR="00486F5F" w:rsidRPr="00486F5F" w:rsidRDefault="00486F5F" w:rsidP="00B21C83">
      <w:pPr>
        <w:pStyle w:val="ListParagraph"/>
        <w:numPr>
          <w:ilvl w:val="0"/>
          <w:numId w:val="31"/>
        </w:numPr>
        <w:spacing w:after="160" w:line="259" w:lineRule="auto"/>
        <w:rPr>
          <w:rFonts w:asciiTheme="minorHAnsi" w:hAnsiTheme="minorHAnsi" w:cstheme="minorHAnsi"/>
        </w:rPr>
      </w:pPr>
      <w:bookmarkStart w:id="27" w:name="_Hlk173327326"/>
      <w:r w:rsidRPr="00486F5F">
        <w:rPr>
          <w:rFonts w:asciiTheme="minorHAnsi" w:hAnsiTheme="minorHAnsi" w:cstheme="minorHAnsi"/>
        </w:rPr>
        <w:t xml:space="preserve">Incidence rates for all-site cancer decreased an average of 2.9% per year among Hispanic males in Delaware between 2007 and 2021. </w:t>
      </w:r>
      <w:bookmarkEnd w:id="27"/>
      <w:r w:rsidRPr="00486F5F">
        <w:rPr>
          <w:rFonts w:asciiTheme="minorHAnsi" w:hAnsiTheme="minorHAnsi" w:cstheme="minorHAnsi"/>
        </w:rPr>
        <w:t>There were two distinct trends among Hispanic males during this time period:</w:t>
      </w:r>
    </w:p>
    <w:p w14:paraId="352904A8" w14:textId="5E3169B0" w:rsidR="00486F5F" w:rsidRPr="00486F5F" w:rsidRDefault="00486F5F" w:rsidP="00B21C83">
      <w:pPr>
        <w:pStyle w:val="ListParagraph"/>
        <w:numPr>
          <w:ilvl w:val="1"/>
          <w:numId w:val="31"/>
        </w:numPr>
        <w:spacing w:after="160" w:line="259" w:lineRule="auto"/>
        <w:rPr>
          <w:rFonts w:asciiTheme="minorHAnsi" w:hAnsiTheme="minorHAnsi" w:cstheme="minorHAnsi"/>
        </w:rPr>
      </w:pPr>
      <w:r w:rsidRPr="00486F5F">
        <w:rPr>
          <w:rFonts w:asciiTheme="minorHAnsi" w:hAnsiTheme="minorHAnsi" w:cstheme="minorHAnsi"/>
        </w:rPr>
        <w:t>Stable rates between 2007 and 2016</w:t>
      </w:r>
      <w:r w:rsidR="00543CC7">
        <w:rPr>
          <w:rFonts w:asciiTheme="minorHAnsi" w:hAnsiTheme="minorHAnsi" w:cstheme="minorHAnsi"/>
        </w:rPr>
        <w:t>.</w:t>
      </w:r>
    </w:p>
    <w:p w14:paraId="01A46871" w14:textId="5982A6F4" w:rsidR="00486F5F" w:rsidRDefault="00486F5F" w:rsidP="00B21C83">
      <w:pPr>
        <w:pStyle w:val="ListParagraph"/>
        <w:numPr>
          <w:ilvl w:val="1"/>
          <w:numId w:val="31"/>
        </w:numPr>
        <w:spacing w:after="160" w:line="259" w:lineRule="auto"/>
        <w:rPr>
          <w:rFonts w:asciiTheme="minorHAnsi" w:hAnsiTheme="minorHAnsi" w:cstheme="minorHAnsi"/>
        </w:rPr>
      </w:pPr>
      <w:r w:rsidRPr="00486F5F">
        <w:rPr>
          <w:rFonts w:asciiTheme="minorHAnsi" w:hAnsiTheme="minorHAnsi" w:cstheme="minorHAnsi"/>
        </w:rPr>
        <w:t>A 7.5% annual decrease between 2016 and 2021</w:t>
      </w:r>
      <w:r w:rsidR="00DA532A">
        <w:rPr>
          <w:rFonts w:asciiTheme="minorHAnsi" w:hAnsiTheme="minorHAnsi" w:cstheme="minorHAnsi"/>
        </w:rPr>
        <w:t>.</w:t>
      </w:r>
    </w:p>
    <w:p w14:paraId="4BE3856F" w14:textId="77777777" w:rsidR="00486F5F" w:rsidRDefault="00486F5F">
      <w:pPr>
        <w:rPr>
          <w:rFonts w:asciiTheme="minorHAnsi" w:hAnsiTheme="minorHAnsi"/>
          <w:b/>
          <w:caps/>
          <w:spacing w:val="10"/>
          <w:szCs w:val="18"/>
        </w:rPr>
      </w:pPr>
      <w:r>
        <w:rPr>
          <w:rFonts w:asciiTheme="minorHAnsi" w:hAnsiTheme="minorHAnsi"/>
          <w:b/>
        </w:rPr>
        <w:br w:type="page"/>
      </w:r>
    </w:p>
    <w:p w14:paraId="54745531" w14:textId="139E9794" w:rsidR="00486F5F" w:rsidRDefault="00486F5F" w:rsidP="00486F5F">
      <w:pPr>
        <w:pStyle w:val="Caption"/>
        <w:spacing w:after="80" w:line="240" w:lineRule="auto"/>
        <w:jc w:val="center"/>
        <w:rPr>
          <w:rFonts w:asciiTheme="minorHAnsi" w:hAnsiTheme="minorHAnsi"/>
          <w:b/>
          <w:sz w:val="22"/>
        </w:rPr>
      </w:pPr>
      <w:r w:rsidRPr="000F0BAE">
        <w:rPr>
          <w:rFonts w:asciiTheme="minorHAnsi" w:hAnsiTheme="minorHAnsi"/>
          <w:b/>
          <w:sz w:val="22"/>
        </w:rPr>
        <w:lastRenderedPageBreak/>
        <w:t xml:space="preserve">Figure </w:t>
      </w:r>
      <w:r w:rsidRPr="000F0BAE">
        <w:rPr>
          <w:rFonts w:asciiTheme="minorHAnsi" w:hAnsiTheme="minorHAnsi"/>
          <w:b/>
          <w:sz w:val="22"/>
        </w:rPr>
        <w:fldChar w:fldCharType="begin"/>
      </w:r>
      <w:r w:rsidRPr="000F0BAE">
        <w:rPr>
          <w:rFonts w:asciiTheme="minorHAnsi" w:hAnsiTheme="minorHAnsi"/>
          <w:b/>
          <w:sz w:val="22"/>
        </w:rPr>
        <w:instrText xml:space="preserve"> STYLEREF 1 \s </w:instrText>
      </w:r>
      <w:r w:rsidRPr="000F0BAE">
        <w:rPr>
          <w:rFonts w:asciiTheme="minorHAnsi" w:hAnsiTheme="minorHAnsi"/>
          <w:b/>
          <w:sz w:val="22"/>
        </w:rPr>
        <w:fldChar w:fldCharType="separate"/>
      </w:r>
      <w:r w:rsidR="006C24CC">
        <w:rPr>
          <w:rFonts w:asciiTheme="minorHAnsi" w:hAnsiTheme="minorHAnsi"/>
          <w:b/>
          <w:noProof/>
          <w:sz w:val="22"/>
        </w:rPr>
        <w:t>2</w:t>
      </w:r>
      <w:r w:rsidRPr="000F0BAE">
        <w:rPr>
          <w:rFonts w:asciiTheme="minorHAnsi" w:hAnsiTheme="minorHAnsi"/>
          <w:b/>
          <w:sz w:val="22"/>
        </w:rPr>
        <w:fldChar w:fldCharType="end"/>
      </w:r>
      <w:r w:rsidRPr="000F0BAE">
        <w:rPr>
          <w:rFonts w:asciiTheme="minorHAnsi" w:hAnsiTheme="minorHAnsi"/>
          <w:b/>
          <w:sz w:val="22"/>
        </w:rPr>
        <w:noBreakHyphen/>
      </w:r>
      <w:r w:rsidRPr="000F0BAE">
        <w:rPr>
          <w:rFonts w:asciiTheme="minorHAnsi" w:hAnsiTheme="minorHAnsi"/>
          <w:b/>
          <w:sz w:val="22"/>
        </w:rPr>
        <w:fldChar w:fldCharType="begin"/>
      </w:r>
      <w:r w:rsidRPr="000F0BAE">
        <w:rPr>
          <w:rFonts w:asciiTheme="minorHAnsi" w:hAnsiTheme="minorHAnsi"/>
          <w:b/>
          <w:sz w:val="22"/>
        </w:rPr>
        <w:instrText xml:space="preserve"> SEQ Figure \* ARABIC \s 1 </w:instrText>
      </w:r>
      <w:r w:rsidRPr="000F0BAE">
        <w:rPr>
          <w:rFonts w:asciiTheme="minorHAnsi" w:hAnsiTheme="minorHAnsi"/>
          <w:b/>
          <w:sz w:val="22"/>
        </w:rPr>
        <w:fldChar w:fldCharType="separate"/>
      </w:r>
      <w:r w:rsidR="006C24CC">
        <w:rPr>
          <w:rFonts w:asciiTheme="minorHAnsi" w:hAnsiTheme="minorHAnsi"/>
          <w:b/>
          <w:noProof/>
          <w:sz w:val="22"/>
        </w:rPr>
        <w:t>5</w:t>
      </w:r>
      <w:r w:rsidRPr="000F0BAE">
        <w:rPr>
          <w:rFonts w:asciiTheme="minorHAnsi" w:hAnsiTheme="minorHAnsi"/>
          <w:b/>
          <w:sz w:val="22"/>
        </w:rPr>
        <w:fldChar w:fldCharType="end"/>
      </w:r>
      <w:r w:rsidRPr="000F0BAE">
        <w:rPr>
          <w:rFonts w:asciiTheme="minorHAnsi" w:hAnsiTheme="minorHAnsi"/>
          <w:b/>
          <w:sz w:val="22"/>
        </w:rPr>
        <w:t>: Age-Adjusted All-site CANCER INCIDENCE RATE Trend BY RACE/ETHNICITY;</w:t>
      </w:r>
      <w:r>
        <w:rPr>
          <w:rFonts w:asciiTheme="minorHAnsi" w:hAnsiTheme="minorHAnsi"/>
          <w:b/>
          <w:sz w:val="22"/>
        </w:rPr>
        <w:t xml:space="preserve"> feMales,</w:t>
      </w:r>
      <w:r w:rsidRPr="000F0BAE">
        <w:rPr>
          <w:rFonts w:asciiTheme="minorHAnsi" w:hAnsiTheme="minorHAnsi"/>
          <w:b/>
          <w:sz w:val="22"/>
        </w:rPr>
        <w:t xml:space="preserve"> Delaware, </w:t>
      </w:r>
      <w:r>
        <w:rPr>
          <w:rFonts w:asciiTheme="minorHAnsi" w:hAnsiTheme="minorHAnsi"/>
          <w:b/>
          <w:sz w:val="22"/>
        </w:rPr>
        <w:t>2007-2021*</w:t>
      </w:r>
    </w:p>
    <w:p w14:paraId="2616F978" w14:textId="19DB15BF" w:rsidR="00486F5F" w:rsidRPr="00486F5F" w:rsidRDefault="007332B9" w:rsidP="00486F5F">
      <w:pPr>
        <w:jc w:val="center"/>
      </w:pPr>
      <w:r>
        <w:rPr>
          <w:noProof/>
        </w:rPr>
        <w:drawing>
          <wp:inline distT="0" distB="0" distL="0" distR="0" wp14:anchorId="02CF5003" wp14:editId="70056405">
            <wp:extent cx="4584700" cy="2664460"/>
            <wp:effectExtent l="0" t="0" r="6350" b="2540"/>
            <wp:docPr id="12779448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84700" cy="2664460"/>
                    </a:xfrm>
                    <a:prstGeom prst="rect">
                      <a:avLst/>
                    </a:prstGeom>
                    <a:noFill/>
                  </pic:spPr>
                </pic:pic>
              </a:graphicData>
            </a:graphic>
          </wp:inline>
        </w:drawing>
      </w:r>
    </w:p>
    <w:p w14:paraId="7CBABCF3" w14:textId="1557940D" w:rsidR="00486F5F" w:rsidRPr="00E778EA" w:rsidRDefault="00486F5F" w:rsidP="006D51FB">
      <w:pPr>
        <w:pStyle w:val="NoSpacing"/>
        <w:ind w:left="1296"/>
        <w:rPr>
          <w:rFonts w:asciiTheme="minorHAnsi" w:hAnsiTheme="minorHAnsi"/>
          <w:i/>
          <w:sz w:val="16"/>
          <w:szCs w:val="24"/>
        </w:rPr>
      </w:pPr>
      <w:r w:rsidRPr="00E778EA">
        <w:rPr>
          <w:rFonts w:asciiTheme="minorHAnsi" w:hAnsiTheme="minorHAnsi"/>
          <w:i/>
          <w:sz w:val="16"/>
          <w:szCs w:val="24"/>
        </w:rPr>
        <w:t>Source: Delaware Department of Health and Social Services, Division of Public Health, Delaware Cancer Registry, 202</w:t>
      </w:r>
      <w:r w:rsidR="008737FE">
        <w:rPr>
          <w:rFonts w:asciiTheme="minorHAnsi" w:hAnsiTheme="minorHAnsi"/>
          <w:i/>
          <w:sz w:val="16"/>
          <w:szCs w:val="24"/>
        </w:rPr>
        <w:t>4</w:t>
      </w:r>
    </w:p>
    <w:p w14:paraId="6CA57AFD" w14:textId="77777777" w:rsidR="00303E44" w:rsidRDefault="00486F5F" w:rsidP="00303E44">
      <w:pPr>
        <w:pStyle w:val="NoSpacing"/>
        <w:ind w:left="1296"/>
        <w:rPr>
          <w:rFonts w:asciiTheme="minorHAnsi" w:hAnsiTheme="minorHAnsi"/>
          <w:sz w:val="16"/>
          <w:szCs w:val="24"/>
        </w:rPr>
      </w:pPr>
      <w:r w:rsidRPr="00E778EA">
        <w:rPr>
          <w:rFonts w:asciiTheme="minorHAnsi" w:hAnsiTheme="minorHAnsi"/>
          <w:sz w:val="16"/>
          <w:szCs w:val="24"/>
        </w:rPr>
        <w:t xml:space="preserve">Rates are per 100,000 of population using US Census estimates and age-adjusted to the 2000 U.S. standard population </w:t>
      </w:r>
    </w:p>
    <w:p w14:paraId="22EF9F1B" w14:textId="0A6C026B" w:rsidR="00486F5F" w:rsidRPr="00E778EA" w:rsidRDefault="00486F5F" w:rsidP="006D51FB">
      <w:pPr>
        <w:pStyle w:val="NoSpacing"/>
        <w:ind w:left="1296"/>
        <w:rPr>
          <w:rFonts w:asciiTheme="minorHAnsi" w:hAnsiTheme="minorHAnsi"/>
          <w:sz w:val="16"/>
          <w:szCs w:val="24"/>
        </w:rPr>
      </w:pPr>
      <w:r w:rsidRPr="00E778EA">
        <w:rPr>
          <w:rFonts w:asciiTheme="minorHAnsi" w:hAnsiTheme="minorHAnsi"/>
          <w:sz w:val="16"/>
          <w:szCs w:val="24"/>
        </w:rPr>
        <w:t>and are calculated using modified U.S. Census populations available from NCI (</w:t>
      </w:r>
      <w:hyperlink r:id="rId33" w:history="1">
        <w:r w:rsidRPr="00E778EA">
          <w:rPr>
            <w:rStyle w:val="Hyperlink"/>
            <w:rFonts w:asciiTheme="minorHAnsi" w:hAnsiTheme="minorHAnsi"/>
            <w:sz w:val="16"/>
            <w:szCs w:val="24"/>
          </w:rPr>
          <w:t>https://seer.cancer.gov/popdata/</w:t>
        </w:r>
      </w:hyperlink>
      <w:r w:rsidRPr="00E778EA">
        <w:rPr>
          <w:rFonts w:asciiTheme="minorHAnsi" w:hAnsiTheme="minorHAnsi"/>
          <w:sz w:val="16"/>
          <w:szCs w:val="24"/>
        </w:rPr>
        <w:t xml:space="preserve">). </w:t>
      </w:r>
    </w:p>
    <w:p w14:paraId="744A0CFB" w14:textId="77777777" w:rsidR="00303E44" w:rsidRDefault="00486F5F" w:rsidP="00303E44">
      <w:pPr>
        <w:pStyle w:val="NoSpacing"/>
        <w:ind w:left="1296"/>
        <w:rPr>
          <w:rFonts w:asciiTheme="minorHAnsi" w:hAnsiTheme="minorHAnsi"/>
          <w:sz w:val="16"/>
          <w:szCs w:val="24"/>
        </w:rPr>
      </w:pPr>
      <w:r w:rsidRPr="00E778EA">
        <w:rPr>
          <w:rFonts w:asciiTheme="minorHAnsi" w:hAnsiTheme="minorHAnsi"/>
          <w:sz w:val="16"/>
          <w:szCs w:val="24"/>
        </w:rPr>
        <w:t>*Incidence rates for year 2020 are plotted but were not used for the analysis of trends</w:t>
      </w:r>
      <w:r w:rsidRPr="00E778EA">
        <w:rPr>
          <w:sz w:val="24"/>
          <w:szCs w:val="24"/>
        </w:rPr>
        <w:t xml:space="preserve"> </w:t>
      </w:r>
      <w:r w:rsidRPr="00E778EA">
        <w:rPr>
          <w:rFonts w:asciiTheme="minorHAnsi" w:hAnsiTheme="minorHAnsi"/>
          <w:sz w:val="16"/>
          <w:szCs w:val="24"/>
        </w:rPr>
        <w:t>since 2020</w:t>
      </w:r>
      <w:r w:rsidRPr="00E778EA">
        <w:rPr>
          <w:sz w:val="24"/>
          <w:szCs w:val="24"/>
        </w:rPr>
        <w:t xml:space="preserve"> </w:t>
      </w:r>
      <w:r w:rsidRPr="00E778EA">
        <w:rPr>
          <w:rFonts w:asciiTheme="minorHAnsi" w:hAnsiTheme="minorHAnsi"/>
          <w:sz w:val="16"/>
          <w:szCs w:val="24"/>
        </w:rPr>
        <w:t xml:space="preserve">was an anomaly and </w:t>
      </w:r>
    </w:p>
    <w:p w14:paraId="2AFA3289" w14:textId="25A98B19" w:rsidR="00486F5F" w:rsidRDefault="00486F5F" w:rsidP="00303E44">
      <w:pPr>
        <w:pStyle w:val="NoSpacing"/>
        <w:ind w:left="1296"/>
        <w:rPr>
          <w:rFonts w:asciiTheme="minorHAnsi" w:hAnsiTheme="minorHAnsi"/>
          <w:sz w:val="16"/>
          <w:szCs w:val="24"/>
        </w:rPr>
      </w:pPr>
      <w:r w:rsidRPr="00E778EA">
        <w:rPr>
          <w:rFonts w:asciiTheme="minorHAnsi" w:hAnsiTheme="minorHAnsi"/>
          <w:sz w:val="16"/>
          <w:szCs w:val="24"/>
        </w:rPr>
        <w:t>would bias</w:t>
      </w:r>
      <w:r>
        <w:rPr>
          <w:rFonts w:asciiTheme="minorHAnsi" w:hAnsiTheme="minorHAnsi"/>
          <w:sz w:val="16"/>
          <w:szCs w:val="24"/>
        </w:rPr>
        <w:t xml:space="preserve"> </w:t>
      </w:r>
      <w:r w:rsidRPr="00E778EA">
        <w:rPr>
          <w:rFonts w:asciiTheme="minorHAnsi" w:hAnsiTheme="minorHAnsi"/>
          <w:sz w:val="16"/>
          <w:szCs w:val="24"/>
        </w:rPr>
        <w:t>estimates.</w:t>
      </w:r>
    </w:p>
    <w:p w14:paraId="5011DE2D" w14:textId="77777777" w:rsidR="00303E44" w:rsidRDefault="00303E44" w:rsidP="006D51FB">
      <w:pPr>
        <w:pStyle w:val="NoSpacing"/>
        <w:ind w:left="1296"/>
        <w:rPr>
          <w:rFonts w:asciiTheme="minorHAnsi" w:hAnsiTheme="minorHAnsi"/>
          <w:sz w:val="16"/>
          <w:szCs w:val="24"/>
        </w:rPr>
      </w:pPr>
    </w:p>
    <w:p w14:paraId="2721135F" w14:textId="77777777" w:rsidR="00486F5F" w:rsidRPr="00486F5F" w:rsidRDefault="00486F5F" w:rsidP="00486F5F">
      <w:pPr>
        <w:pStyle w:val="NoSpacing"/>
        <w:ind w:left="720"/>
        <w:rPr>
          <w:rFonts w:asciiTheme="minorHAnsi" w:hAnsiTheme="minorHAnsi"/>
          <w:sz w:val="16"/>
          <w:szCs w:val="24"/>
        </w:rPr>
      </w:pPr>
    </w:p>
    <w:p w14:paraId="28D8694F" w14:textId="0F3B7AC0" w:rsidR="00486F5F" w:rsidRPr="00486F5F" w:rsidRDefault="00486F5F" w:rsidP="00B21C83">
      <w:pPr>
        <w:pStyle w:val="ListParagraph"/>
        <w:numPr>
          <w:ilvl w:val="0"/>
          <w:numId w:val="31"/>
        </w:numPr>
        <w:spacing w:after="160" w:line="259" w:lineRule="auto"/>
        <w:rPr>
          <w:rFonts w:asciiTheme="minorHAnsi" w:hAnsiTheme="minorHAnsi" w:cstheme="minorHAnsi"/>
          <w:b/>
          <w:bCs/>
        </w:rPr>
      </w:pPr>
      <w:r w:rsidRPr="00486F5F">
        <w:rPr>
          <w:rFonts w:asciiTheme="minorHAnsi" w:hAnsiTheme="minorHAnsi" w:cstheme="minorHAnsi"/>
        </w:rPr>
        <w:t xml:space="preserve">The trend in incidence rates for all-site cancer was stable among </w:t>
      </w:r>
      <w:r w:rsidR="00F71E6E">
        <w:rPr>
          <w:rFonts w:asciiTheme="minorHAnsi" w:hAnsiTheme="minorHAnsi" w:cstheme="minorHAnsi"/>
        </w:rPr>
        <w:t>n</w:t>
      </w:r>
      <w:r w:rsidRPr="00486F5F">
        <w:rPr>
          <w:rFonts w:asciiTheme="minorHAnsi" w:hAnsiTheme="minorHAnsi" w:cstheme="minorHAnsi"/>
        </w:rPr>
        <w:t xml:space="preserve">on-Hispanic White females in Delaware between 2007 and 2021. </w:t>
      </w:r>
      <w:r w:rsidR="001A27A6">
        <w:rPr>
          <w:rFonts w:asciiTheme="minorHAnsi" w:hAnsiTheme="minorHAnsi" w:cstheme="minorHAnsi"/>
        </w:rPr>
        <w:t xml:space="preserve"> </w:t>
      </w:r>
      <w:r w:rsidRPr="00486F5F">
        <w:rPr>
          <w:rFonts w:asciiTheme="minorHAnsi" w:hAnsiTheme="minorHAnsi" w:cstheme="minorHAnsi"/>
        </w:rPr>
        <w:t xml:space="preserve">There were two distinct trends among </w:t>
      </w:r>
      <w:r w:rsidR="00AC71E3">
        <w:rPr>
          <w:rFonts w:asciiTheme="minorHAnsi" w:hAnsiTheme="minorHAnsi" w:cstheme="minorHAnsi"/>
        </w:rPr>
        <w:t>non</w:t>
      </w:r>
      <w:r w:rsidRPr="00486F5F">
        <w:rPr>
          <w:rFonts w:asciiTheme="minorHAnsi" w:hAnsiTheme="minorHAnsi" w:cstheme="minorHAnsi"/>
        </w:rPr>
        <w:t>-Hispanic White females in Delaware during this time period:</w:t>
      </w:r>
    </w:p>
    <w:p w14:paraId="114CC189" w14:textId="410324A3" w:rsidR="00486F5F" w:rsidRPr="00486F5F" w:rsidRDefault="00486F5F" w:rsidP="00B21C83">
      <w:pPr>
        <w:pStyle w:val="ListParagraph"/>
        <w:numPr>
          <w:ilvl w:val="1"/>
          <w:numId w:val="31"/>
        </w:numPr>
        <w:spacing w:after="160" w:line="259" w:lineRule="auto"/>
        <w:rPr>
          <w:rFonts w:asciiTheme="minorHAnsi" w:hAnsiTheme="minorHAnsi" w:cstheme="minorHAnsi"/>
          <w:b/>
          <w:bCs/>
        </w:rPr>
      </w:pPr>
      <w:r w:rsidRPr="00486F5F">
        <w:rPr>
          <w:rFonts w:asciiTheme="minorHAnsi" w:hAnsiTheme="minorHAnsi" w:cstheme="minorHAnsi"/>
        </w:rPr>
        <w:t>A 1.2% annual increase between 2007 and 2013</w:t>
      </w:r>
      <w:r w:rsidR="009E70C7">
        <w:rPr>
          <w:rFonts w:asciiTheme="minorHAnsi" w:hAnsiTheme="minorHAnsi" w:cstheme="minorHAnsi"/>
        </w:rPr>
        <w:t>.</w:t>
      </w:r>
    </w:p>
    <w:p w14:paraId="48A96356" w14:textId="0A38EA03" w:rsidR="00486F5F" w:rsidRPr="00486F5F" w:rsidRDefault="00486F5F" w:rsidP="00B21C83">
      <w:pPr>
        <w:pStyle w:val="ListParagraph"/>
        <w:numPr>
          <w:ilvl w:val="1"/>
          <w:numId w:val="31"/>
        </w:numPr>
        <w:spacing w:after="160" w:line="259" w:lineRule="auto"/>
        <w:rPr>
          <w:rFonts w:asciiTheme="minorHAnsi" w:hAnsiTheme="minorHAnsi" w:cstheme="minorHAnsi"/>
          <w:b/>
          <w:bCs/>
        </w:rPr>
      </w:pPr>
      <w:r w:rsidRPr="00486F5F">
        <w:rPr>
          <w:rFonts w:asciiTheme="minorHAnsi" w:hAnsiTheme="minorHAnsi" w:cstheme="minorHAnsi"/>
        </w:rPr>
        <w:t>A 0.9% annual decrease between 2013 and 2021</w:t>
      </w:r>
      <w:r w:rsidR="00303E44">
        <w:rPr>
          <w:rFonts w:asciiTheme="minorHAnsi" w:hAnsiTheme="minorHAnsi" w:cstheme="minorHAnsi"/>
        </w:rPr>
        <w:t>.</w:t>
      </w:r>
      <w:r w:rsidRPr="00486F5F">
        <w:rPr>
          <w:rFonts w:asciiTheme="minorHAnsi" w:hAnsiTheme="minorHAnsi" w:cstheme="minorHAnsi"/>
        </w:rPr>
        <w:t xml:space="preserve"> </w:t>
      </w:r>
    </w:p>
    <w:p w14:paraId="60118EA1" w14:textId="4FE025F3" w:rsidR="00486F5F" w:rsidRPr="00486F5F" w:rsidRDefault="00486F5F" w:rsidP="00B21C83">
      <w:pPr>
        <w:pStyle w:val="ListParagraph"/>
        <w:numPr>
          <w:ilvl w:val="0"/>
          <w:numId w:val="31"/>
        </w:numPr>
        <w:spacing w:after="160" w:line="259" w:lineRule="auto"/>
        <w:rPr>
          <w:rFonts w:asciiTheme="minorHAnsi" w:hAnsiTheme="minorHAnsi" w:cstheme="minorHAnsi"/>
        </w:rPr>
      </w:pPr>
      <w:r w:rsidRPr="00486F5F">
        <w:rPr>
          <w:rFonts w:asciiTheme="minorHAnsi" w:hAnsiTheme="minorHAnsi" w:cstheme="minorHAnsi"/>
        </w:rPr>
        <w:t xml:space="preserve">The trend in incidence rates for all-site cancer was stable among both </w:t>
      </w:r>
      <w:r w:rsidR="009E70C7">
        <w:rPr>
          <w:rFonts w:asciiTheme="minorHAnsi" w:hAnsiTheme="minorHAnsi" w:cstheme="minorHAnsi"/>
        </w:rPr>
        <w:t>n</w:t>
      </w:r>
      <w:r w:rsidRPr="00486F5F">
        <w:rPr>
          <w:rFonts w:asciiTheme="minorHAnsi" w:hAnsiTheme="minorHAnsi" w:cstheme="minorHAnsi"/>
        </w:rPr>
        <w:t>on-Hispanic Black and Hispanic females in Delaware between 2007 and 2021.</w:t>
      </w:r>
    </w:p>
    <w:p w14:paraId="493A229E" w14:textId="77777777" w:rsidR="00486F5F" w:rsidRDefault="00486F5F">
      <w:pPr>
        <w:rPr>
          <w:rFonts w:asciiTheme="minorHAnsi" w:hAnsiTheme="minorHAnsi"/>
          <w:b/>
          <w:caps/>
          <w:color w:val="1A4070" w:themeColor="accent2" w:themeShade="7F"/>
          <w:sz w:val="24"/>
          <w:szCs w:val="24"/>
        </w:rPr>
      </w:pPr>
      <w:r>
        <w:rPr>
          <w:rFonts w:asciiTheme="minorHAnsi" w:hAnsiTheme="minorHAnsi"/>
        </w:rPr>
        <w:br w:type="page"/>
      </w:r>
    </w:p>
    <w:p w14:paraId="547C6DA5" w14:textId="3AF0F6D5" w:rsidR="003E5C0A" w:rsidRPr="00870BFE" w:rsidRDefault="003E5C0A" w:rsidP="000C02FF">
      <w:pPr>
        <w:pStyle w:val="StyleNew1"/>
        <w:rPr>
          <w:rFonts w:asciiTheme="minorHAnsi" w:hAnsiTheme="minorHAnsi"/>
        </w:rPr>
      </w:pPr>
      <w:r w:rsidRPr="00870BFE">
        <w:rPr>
          <w:rFonts w:asciiTheme="minorHAnsi" w:hAnsiTheme="minorHAnsi"/>
        </w:rPr>
        <w:lastRenderedPageBreak/>
        <w:t>Age-Specific Incidence Rates – Delaware</w:t>
      </w:r>
    </w:p>
    <w:p w14:paraId="44873300" w14:textId="2CACAD89" w:rsidR="003E5C0A" w:rsidRPr="00CE3F54" w:rsidRDefault="003E5C0A" w:rsidP="000C02FF">
      <w:pPr>
        <w:pStyle w:val="Caption"/>
        <w:spacing w:after="120" w:line="240" w:lineRule="auto"/>
        <w:jc w:val="center"/>
        <w:rPr>
          <w:rFonts w:asciiTheme="minorHAnsi" w:hAnsiTheme="minorHAnsi"/>
          <w:b/>
          <w:sz w:val="22"/>
        </w:rPr>
      </w:pPr>
      <w:r w:rsidRPr="000403C3">
        <w:rPr>
          <w:rFonts w:asciiTheme="minorHAnsi" w:hAnsiTheme="minorHAnsi"/>
          <w:b/>
          <w:sz w:val="22"/>
        </w:rPr>
        <w:t xml:space="preserve">Figure </w:t>
      </w:r>
      <w:r w:rsidR="0053223C" w:rsidRPr="000403C3">
        <w:rPr>
          <w:rFonts w:asciiTheme="minorHAnsi" w:hAnsiTheme="minorHAnsi"/>
          <w:b/>
          <w:sz w:val="22"/>
        </w:rPr>
        <w:fldChar w:fldCharType="begin"/>
      </w:r>
      <w:r w:rsidR="0053223C" w:rsidRPr="000403C3">
        <w:rPr>
          <w:rFonts w:asciiTheme="minorHAnsi" w:hAnsiTheme="minorHAnsi"/>
          <w:b/>
          <w:sz w:val="22"/>
        </w:rPr>
        <w:instrText xml:space="preserve"> STYLEREF 1 \s </w:instrText>
      </w:r>
      <w:r w:rsidR="0053223C" w:rsidRPr="000403C3">
        <w:rPr>
          <w:rFonts w:asciiTheme="minorHAnsi" w:hAnsiTheme="minorHAnsi"/>
          <w:b/>
          <w:sz w:val="22"/>
        </w:rPr>
        <w:fldChar w:fldCharType="separate"/>
      </w:r>
      <w:r w:rsidR="006C24CC">
        <w:rPr>
          <w:rFonts w:asciiTheme="minorHAnsi" w:hAnsiTheme="minorHAnsi"/>
          <w:b/>
          <w:noProof/>
          <w:sz w:val="22"/>
        </w:rPr>
        <w:t>2</w:t>
      </w:r>
      <w:r w:rsidR="0053223C" w:rsidRPr="000403C3">
        <w:rPr>
          <w:rFonts w:asciiTheme="minorHAnsi" w:hAnsiTheme="minorHAnsi"/>
          <w:b/>
          <w:sz w:val="22"/>
        </w:rPr>
        <w:fldChar w:fldCharType="end"/>
      </w:r>
      <w:r w:rsidR="0053223C" w:rsidRPr="000403C3">
        <w:rPr>
          <w:rFonts w:asciiTheme="minorHAnsi" w:hAnsiTheme="minorHAnsi"/>
          <w:b/>
          <w:sz w:val="22"/>
        </w:rPr>
        <w:noBreakHyphen/>
      </w:r>
      <w:r w:rsidR="0053223C" w:rsidRPr="000403C3">
        <w:rPr>
          <w:rFonts w:asciiTheme="minorHAnsi" w:hAnsiTheme="minorHAnsi"/>
          <w:b/>
          <w:sz w:val="22"/>
        </w:rPr>
        <w:fldChar w:fldCharType="begin"/>
      </w:r>
      <w:r w:rsidR="0053223C" w:rsidRPr="000403C3">
        <w:rPr>
          <w:rFonts w:asciiTheme="minorHAnsi" w:hAnsiTheme="minorHAnsi"/>
          <w:b/>
          <w:sz w:val="22"/>
        </w:rPr>
        <w:instrText xml:space="preserve"> SEQ Figure \* ARABIC \s 1 </w:instrText>
      </w:r>
      <w:r w:rsidR="0053223C" w:rsidRPr="000403C3">
        <w:rPr>
          <w:rFonts w:asciiTheme="minorHAnsi" w:hAnsiTheme="minorHAnsi"/>
          <w:b/>
          <w:sz w:val="22"/>
        </w:rPr>
        <w:fldChar w:fldCharType="separate"/>
      </w:r>
      <w:r w:rsidR="006C24CC">
        <w:rPr>
          <w:rFonts w:asciiTheme="minorHAnsi" w:hAnsiTheme="minorHAnsi"/>
          <w:b/>
          <w:noProof/>
          <w:sz w:val="22"/>
        </w:rPr>
        <w:t>6</w:t>
      </w:r>
      <w:r w:rsidR="0053223C" w:rsidRPr="000403C3">
        <w:rPr>
          <w:rFonts w:asciiTheme="minorHAnsi" w:hAnsiTheme="minorHAnsi"/>
          <w:b/>
          <w:sz w:val="22"/>
        </w:rPr>
        <w:fldChar w:fldCharType="end"/>
      </w:r>
      <w:r w:rsidRPr="000403C3">
        <w:rPr>
          <w:rFonts w:asciiTheme="minorHAnsi" w:hAnsiTheme="minorHAnsi"/>
          <w:b/>
          <w:sz w:val="22"/>
        </w:rPr>
        <w:t xml:space="preserve">: Age-Specific All-site cancer Incidence Rates by Sex; Delaware, </w:t>
      </w:r>
      <w:r w:rsidR="00D403E9" w:rsidRPr="000403C3">
        <w:rPr>
          <w:rFonts w:asciiTheme="minorHAnsi" w:hAnsiTheme="minorHAnsi"/>
          <w:b/>
          <w:sz w:val="22"/>
        </w:rPr>
        <w:t>201</w:t>
      </w:r>
      <w:r w:rsidR="009408E3">
        <w:rPr>
          <w:rFonts w:asciiTheme="minorHAnsi" w:hAnsiTheme="minorHAnsi"/>
          <w:b/>
          <w:sz w:val="22"/>
        </w:rPr>
        <w:t>7</w:t>
      </w:r>
      <w:r w:rsidR="00D403E9" w:rsidRPr="000403C3">
        <w:rPr>
          <w:rFonts w:asciiTheme="minorHAnsi" w:hAnsiTheme="minorHAnsi"/>
          <w:b/>
          <w:sz w:val="22"/>
        </w:rPr>
        <w:t>-20</w:t>
      </w:r>
      <w:r w:rsidR="00C3487C">
        <w:rPr>
          <w:rFonts w:asciiTheme="minorHAnsi" w:hAnsiTheme="minorHAnsi"/>
          <w:b/>
          <w:sz w:val="22"/>
        </w:rPr>
        <w:t>2</w:t>
      </w:r>
      <w:r w:rsidR="009408E3">
        <w:rPr>
          <w:rFonts w:asciiTheme="minorHAnsi" w:hAnsiTheme="minorHAnsi"/>
          <w:b/>
          <w:sz w:val="22"/>
        </w:rPr>
        <w:t>1</w:t>
      </w:r>
    </w:p>
    <w:p w14:paraId="44E147BE" w14:textId="156DF1BE" w:rsidR="001F1FE6" w:rsidRDefault="001A228F" w:rsidP="001A228F">
      <w:pPr>
        <w:pStyle w:val="NoSpacing"/>
        <w:ind w:left="1440" w:right="-7"/>
        <w:rPr>
          <w:rFonts w:asciiTheme="minorHAnsi" w:hAnsiTheme="minorHAnsi"/>
          <w:i/>
          <w:sz w:val="16"/>
          <w:szCs w:val="16"/>
        </w:rPr>
      </w:pPr>
      <w:r>
        <w:rPr>
          <w:rFonts w:asciiTheme="minorHAnsi" w:hAnsiTheme="minorHAnsi"/>
          <w:i/>
          <w:noProof/>
          <w:sz w:val="16"/>
          <w:szCs w:val="16"/>
        </w:rPr>
        <w:drawing>
          <wp:inline distT="0" distB="0" distL="0" distR="0" wp14:anchorId="44A46899" wp14:editId="6178E532">
            <wp:extent cx="4773105" cy="2979420"/>
            <wp:effectExtent l="0" t="0" r="8890" b="0"/>
            <wp:docPr id="10583929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75849" cy="2981133"/>
                    </a:xfrm>
                    <a:prstGeom prst="rect">
                      <a:avLst/>
                    </a:prstGeom>
                    <a:noFill/>
                  </pic:spPr>
                </pic:pic>
              </a:graphicData>
            </a:graphic>
          </wp:inline>
        </w:drawing>
      </w:r>
    </w:p>
    <w:p w14:paraId="0212B2D6" w14:textId="651CCD3E" w:rsidR="003E5C0A" w:rsidRPr="00D95A9D" w:rsidRDefault="003E5C0A" w:rsidP="00D95A9D">
      <w:pPr>
        <w:pStyle w:val="NoSpacing"/>
        <w:ind w:left="1530" w:right="1523"/>
        <w:rPr>
          <w:rFonts w:asciiTheme="minorHAnsi" w:hAnsiTheme="minorHAnsi"/>
          <w:i/>
          <w:sz w:val="16"/>
          <w:szCs w:val="16"/>
        </w:rPr>
      </w:pPr>
      <w:r w:rsidRPr="00D95A9D">
        <w:rPr>
          <w:rFonts w:asciiTheme="minorHAnsi" w:hAnsiTheme="minorHAnsi"/>
          <w:i/>
          <w:sz w:val="16"/>
          <w:szCs w:val="16"/>
        </w:rPr>
        <w:t xml:space="preserve">Source: </w:t>
      </w:r>
      <w:r w:rsidR="00CB2583" w:rsidRPr="00D95A9D">
        <w:rPr>
          <w:rFonts w:asciiTheme="minorHAnsi" w:hAnsiTheme="minorHAnsi"/>
          <w:i/>
          <w:sz w:val="16"/>
          <w:szCs w:val="16"/>
        </w:rPr>
        <w:t>Delaware Department of Health and Social Services, Division of Public Health, Delaware Cancer Registry</w:t>
      </w:r>
      <w:r w:rsidR="00E33BCD" w:rsidRPr="00D95A9D">
        <w:rPr>
          <w:rFonts w:asciiTheme="minorHAnsi" w:hAnsiTheme="minorHAnsi"/>
          <w:i/>
          <w:sz w:val="16"/>
          <w:szCs w:val="16"/>
        </w:rPr>
        <w:t>, 20</w:t>
      </w:r>
      <w:r w:rsidR="009C16C3" w:rsidRPr="00D95A9D">
        <w:rPr>
          <w:rFonts w:asciiTheme="minorHAnsi" w:hAnsiTheme="minorHAnsi"/>
          <w:i/>
          <w:sz w:val="16"/>
          <w:szCs w:val="16"/>
        </w:rPr>
        <w:t>2</w:t>
      </w:r>
      <w:r w:rsidR="00F701B3">
        <w:rPr>
          <w:rFonts w:asciiTheme="minorHAnsi" w:hAnsiTheme="minorHAnsi"/>
          <w:i/>
          <w:sz w:val="16"/>
          <w:szCs w:val="16"/>
        </w:rPr>
        <w:t>4</w:t>
      </w:r>
    </w:p>
    <w:p w14:paraId="2E7730B2" w14:textId="77777777" w:rsidR="00E44AC3" w:rsidRPr="00D95A9D" w:rsidRDefault="00E44AC3" w:rsidP="00E44AC3">
      <w:pPr>
        <w:pStyle w:val="NoSpacing"/>
        <w:ind w:left="1530" w:right="1523"/>
        <w:rPr>
          <w:rFonts w:asciiTheme="minorHAnsi" w:hAnsiTheme="minorHAnsi"/>
          <w:sz w:val="16"/>
          <w:szCs w:val="16"/>
        </w:rPr>
      </w:pPr>
      <w:r w:rsidRPr="00D95A9D">
        <w:rPr>
          <w:rFonts w:asciiTheme="minorHAnsi" w:hAnsiTheme="minorHAnsi"/>
          <w:sz w:val="16"/>
          <w:szCs w:val="16"/>
        </w:rPr>
        <w:t>Rates are per 100,000 of population age-adjusted to the 2000 U.S. standard populatio</w:t>
      </w:r>
      <w:r>
        <w:rPr>
          <w:rFonts w:asciiTheme="minorHAnsi" w:hAnsiTheme="minorHAnsi"/>
          <w:sz w:val="16"/>
          <w:szCs w:val="16"/>
        </w:rPr>
        <w:t>n and are calculated using modified U.S. Census populations available from NCI (</w:t>
      </w:r>
      <w:hyperlink r:id="rId35" w:history="1">
        <w:r w:rsidRPr="00ED4EF5">
          <w:rPr>
            <w:rStyle w:val="Hyperlink"/>
            <w:rFonts w:asciiTheme="minorHAnsi" w:hAnsiTheme="minorHAnsi"/>
            <w:sz w:val="16"/>
            <w:szCs w:val="16"/>
          </w:rPr>
          <w:t>https://seer.cancer.gov/popdata/</w:t>
        </w:r>
      </w:hyperlink>
      <w:r>
        <w:rPr>
          <w:rFonts w:asciiTheme="minorHAnsi" w:hAnsiTheme="minorHAnsi"/>
          <w:sz w:val="16"/>
          <w:szCs w:val="16"/>
        </w:rPr>
        <w:t>).</w:t>
      </w:r>
    </w:p>
    <w:p w14:paraId="2169CB8E" w14:textId="77777777" w:rsidR="005020A1" w:rsidRDefault="005020A1" w:rsidP="007001FE">
      <w:pPr>
        <w:pStyle w:val="NoSpacing"/>
        <w:spacing w:after="120"/>
        <w:rPr>
          <w:rFonts w:asciiTheme="minorHAnsi" w:hAnsiTheme="minorHAnsi"/>
          <w:sz w:val="14"/>
        </w:rPr>
      </w:pPr>
    </w:p>
    <w:p w14:paraId="289E29C0" w14:textId="77777777" w:rsidR="001D6D73" w:rsidRPr="003A7EFE" w:rsidRDefault="001D6D73" w:rsidP="007001FE">
      <w:pPr>
        <w:pStyle w:val="NoSpacing"/>
        <w:spacing w:after="120"/>
        <w:rPr>
          <w:rFonts w:asciiTheme="minorHAnsi" w:hAnsiTheme="minorHAnsi"/>
          <w:sz w:val="14"/>
        </w:rPr>
      </w:pPr>
    </w:p>
    <w:p w14:paraId="7BEA4860" w14:textId="365AF305" w:rsidR="00F92DDF" w:rsidRDefault="0056297A" w:rsidP="00B21C83">
      <w:pPr>
        <w:pStyle w:val="ListParagraph"/>
        <w:numPr>
          <w:ilvl w:val="0"/>
          <w:numId w:val="3"/>
        </w:numPr>
        <w:spacing w:after="120" w:line="240" w:lineRule="auto"/>
        <w:ind w:left="360"/>
        <w:contextualSpacing w:val="0"/>
        <w:rPr>
          <w:rFonts w:asciiTheme="minorHAnsi" w:hAnsiTheme="minorHAnsi"/>
        </w:rPr>
      </w:pPr>
      <w:r>
        <w:rPr>
          <w:rFonts w:asciiTheme="minorHAnsi" w:hAnsiTheme="minorHAnsi"/>
        </w:rPr>
        <w:t>In 201</w:t>
      </w:r>
      <w:r w:rsidR="00AA2810">
        <w:rPr>
          <w:rFonts w:asciiTheme="minorHAnsi" w:hAnsiTheme="minorHAnsi"/>
        </w:rPr>
        <w:t>7</w:t>
      </w:r>
      <w:r>
        <w:rPr>
          <w:rFonts w:asciiTheme="minorHAnsi" w:hAnsiTheme="minorHAnsi"/>
        </w:rPr>
        <w:t>-20</w:t>
      </w:r>
      <w:r w:rsidR="002D36D5">
        <w:rPr>
          <w:rFonts w:asciiTheme="minorHAnsi" w:hAnsiTheme="minorHAnsi"/>
        </w:rPr>
        <w:t>2</w:t>
      </w:r>
      <w:r w:rsidR="00AA2810">
        <w:rPr>
          <w:rFonts w:asciiTheme="minorHAnsi" w:hAnsiTheme="minorHAnsi"/>
        </w:rPr>
        <w:t>1</w:t>
      </w:r>
      <w:r w:rsidR="005020A1">
        <w:rPr>
          <w:rFonts w:asciiTheme="minorHAnsi" w:hAnsiTheme="minorHAnsi"/>
        </w:rPr>
        <w:t xml:space="preserve"> in Delaware</w:t>
      </w:r>
      <w:r>
        <w:rPr>
          <w:rFonts w:asciiTheme="minorHAnsi" w:hAnsiTheme="minorHAnsi"/>
        </w:rPr>
        <w:t>, t</w:t>
      </w:r>
      <w:r w:rsidR="00F9711A" w:rsidRPr="000403C3">
        <w:rPr>
          <w:rFonts w:asciiTheme="minorHAnsi" w:hAnsiTheme="minorHAnsi"/>
        </w:rPr>
        <w:t>he all-site cancer incidence rate</w:t>
      </w:r>
      <w:r w:rsidR="00351E39" w:rsidRPr="000403C3">
        <w:rPr>
          <w:rFonts w:asciiTheme="minorHAnsi" w:hAnsiTheme="minorHAnsi"/>
        </w:rPr>
        <w:t xml:space="preserve"> wa</w:t>
      </w:r>
      <w:r w:rsidR="00F9711A" w:rsidRPr="000403C3">
        <w:rPr>
          <w:rFonts w:asciiTheme="minorHAnsi" w:hAnsiTheme="minorHAnsi"/>
        </w:rPr>
        <w:t xml:space="preserve">s highest for males 85 years of age and older and for females </w:t>
      </w:r>
      <w:r w:rsidR="00972548" w:rsidRPr="000403C3">
        <w:rPr>
          <w:rFonts w:asciiTheme="minorHAnsi" w:hAnsiTheme="minorHAnsi"/>
        </w:rPr>
        <w:t xml:space="preserve">between </w:t>
      </w:r>
      <w:r w:rsidR="00F9711A" w:rsidRPr="000403C3">
        <w:rPr>
          <w:rFonts w:asciiTheme="minorHAnsi" w:hAnsiTheme="minorHAnsi"/>
        </w:rPr>
        <w:t>75</w:t>
      </w:r>
      <w:r w:rsidR="00972548" w:rsidRPr="000403C3">
        <w:rPr>
          <w:rFonts w:asciiTheme="minorHAnsi" w:hAnsiTheme="minorHAnsi"/>
        </w:rPr>
        <w:t xml:space="preserve"> and</w:t>
      </w:r>
      <w:r w:rsidR="00123A51" w:rsidRPr="000403C3">
        <w:rPr>
          <w:rFonts w:asciiTheme="minorHAnsi" w:hAnsiTheme="minorHAnsi"/>
        </w:rPr>
        <w:t xml:space="preserve"> </w:t>
      </w:r>
      <w:r w:rsidR="00F9711A" w:rsidRPr="000403C3">
        <w:rPr>
          <w:rFonts w:asciiTheme="minorHAnsi" w:hAnsiTheme="minorHAnsi"/>
        </w:rPr>
        <w:t>84 years of age</w:t>
      </w:r>
      <w:r w:rsidR="003E5C0A" w:rsidRPr="000403C3">
        <w:rPr>
          <w:rFonts w:asciiTheme="minorHAnsi" w:hAnsiTheme="minorHAnsi"/>
        </w:rPr>
        <w:t xml:space="preserve">. </w:t>
      </w:r>
    </w:p>
    <w:p w14:paraId="10890202" w14:textId="0675BFA2" w:rsidR="008C6215" w:rsidRDefault="008C6215" w:rsidP="008C6215">
      <w:pPr>
        <w:spacing w:after="120" w:line="240" w:lineRule="auto"/>
        <w:rPr>
          <w:rFonts w:asciiTheme="minorHAnsi" w:hAnsiTheme="minorHAnsi"/>
        </w:rPr>
      </w:pPr>
    </w:p>
    <w:p w14:paraId="6E4553A9" w14:textId="74A761DE" w:rsidR="008C6215" w:rsidRDefault="008C6215" w:rsidP="008C6215">
      <w:pPr>
        <w:spacing w:after="120" w:line="240" w:lineRule="auto"/>
        <w:rPr>
          <w:rFonts w:asciiTheme="minorHAnsi" w:hAnsiTheme="minorHAnsi"/>
        </w:rPr>
      </w:pPr>
    </w:p>
    <w:p w14:paraId="54627C01" w14:textId="613C2407" w:rsidR="008C6215" w:rsidRDefault="008C6215" w:rsidP="008C6215">
      <w:pPr>
        <w:spacing w:after="120" w:line="240" w:lineRule="auto"/>
        <w:rPr>
          <w:rFonts w:asciiTheme="minorHAnsi" w:hAnsiTheme="minorHAnsi"/>
        </w:rPr>
      </w:pPr>
    </w:p>
    <w:p w14:paraId="5B3F0F6F" w14:textId="1D400EEF" w:rsidR="008C6215" w:rsidRDefault="008C6215" w:rsidP="008C6215">
      <w:pPr>
        <w:spacing w:after="120" w:line="240" w:lineRule="auto"/>
        <w:rPr>
          <w:rFonts w:asciiTheme="minorHAnsi" w:hAnsiTheme="minorHAnsi"/>
        </w:rPr>
      </w:pPr>
    </w:p>
    <w:p w14:paraId="3D89B919" w14:textId="678EB87D" w:rsidR="008C6215" w:rsidRDefault="008C6215" w:rsidP="008C6215">
      <w:pPr>
        <w:spacing w:after="120" w:line="240" w:lineRule="auto"/>
        <w:rPr>
          <w:rFonts w:asciiTheme="minorHAnsi" w:hAnsiTheme="minorHAnsi"/>
        </w:rPr>
      </w:pPr>
    </w:p>
    <w:p w14:paraId="69488D64" w14:textId="1F652A71" w:rsidR="008C6215" w:rsidRDefault="008C6215" w:rsidP="008C6215">
      <w:pPr>
        <w:spacing w:after="120" w:line="240" w:lineRule="auto"/>
        <w:rPr>
          <w:rFonts w:asciiTheme="minorHAnsi" w:hAnsiTheme="minorHAnsi"/>
        </w:rPr>
      </w:pPr>
    </w:p>
    <w:p w14:paraId="071A0739" w14:textId="0C93C4D7" w:rsidR="008C6215" w:rsidRDefault="008C6215" w:rsidP="008C6215">
      <w:pPr>
        <w:spacing w:after="120" w:line="240" w:lineRule="auto"/>
        <w:rPr>
          <w:rFonts w:asciiTheme="minorHAnsi" w:hAnsiTheme="minorHAnsi"/>
        </w:rPr>
      </w:pPr>
    </w:p>
    <w:p w14:paraId="1BF32940" w14:textId="5A82381E" w:rsidR="008C6215" w:rsidRDefault="008C6215" w:rsidP="008C6215">
      <w:pPr>
        <w:spacing w:after="120" w:line="240" w:lineRule="auto"/>
        <w:rPr>
          <w:rFonts w:asciiTheme="minorHAnsi" w:hAnsiTheme="minorHAnsi"/>
        </w:rPr>
      </w:pPr>
    </w:p>
    <w:p w14:paraId="50AFB5C2" w14:textId="7FDCABAA" w:rsidR="008C6215" w:rsidRDefault="008C6215" w:rsidP="008C6215">
      <w:pPr>
        <w:spacing w:after="120" w:line="240" w:lineRule="auto"/>
        <w:rPr>
          <w:rFonts w:asciiTheme="minorHAnsi" w:hAnsiTheme="minorHAnsi"/>
        </w:rPr>
      </w:pPr>
    </w:p>
    <w:p w14:paraId="4FB290F1" w14:textId="24A9A0CF" w:rsidR="008C6215" w:rsidRDefault="008C6215" w:rsidP="008C6215">
      <w:pPr>
        <w:spacing w:after="120" w:line="240" w:lineRule="auto"/>
        <w:rPr>
          <w:rFonts w:asciiTheme="minorHAnsi" w:hAnsiTheme="minorHAnsi"/>
        </w:rPr>
      </w:pPr>
    </w:p>
    <w:p w14:paraId="1A8AFBAB" w14:textId="77777777" w:rsidR="007001FE" w:rsidRDefault="007001FE" w:rsidP="008C6215">
      <w:pPr>
        <w:spacing w:after="120" w:line="240" w:lineRule="auto"/>
        <w:rPr>
          <w:rFonts w:asciiTheme="minorHAnsi" w:hAnsiTheme="minorHAnsi"/>
        </w:rPr>
      </w:pPr>
    </w:p>
    <w:p w14:paraId="1A1801B9" w14:textId="2606E2B6" w:rsidR="008C6215" w:rsidRDefault="008C6215" w:rsidP="008C6215">
      <w:pPr>
        <w:spacing w:after="120" w:line="240" w:lineRule="auto"/>
        <w:rPr>
          <w:rFonts w:asciiTheme="minorHAnsi" w:hAnsiTheme="minorHAnsi"/>
        </w:rPr>
      </w:pPr>
    </w:p>
    <w:p w14:paraId="7134250C" w14:textId="787E41C1" w:rsidR="008C6215" w:rsidRDefault="008C6215" w:rsidP="008C6215">
      <w:pPr>
        <w:spacing w:after="120" w:line="240" w:lineRule="auto"/>
        <w:rPr>
          <w:rFonts w:asciiTheme="minorHAnsi" w:hAnsiTheme="minorHAnsi"/>
        </w:rPr>
      </w:pPr>
    </w:p>
    <w:p w14:paraId="1EAD87D2" w14:textId="02403CC3" w:rsidR="008C6215" w:rsidRDefault="008C6215" w:rsidP="008C6215">
      <w:pPr>
        <w:spacing w:after="120" w:line="240" w:lineRule="auto"/>
        <w:rPr>
          <w:rFonts w:asciiTheme="minorHAnsi" w:hAnsiTheme="minorHAnsi"/>
        </w:rPr>
      </w:pPr>
    </w:p>
    <w:p w14:paraId="76A47D67" w14:textId="77777777" w:rsidR="008C6215" w:rsidRPr="008C6215" w:rsidRDefault="008C6215" w:rsidP="008C6215">
      <w:pPr>
        <w:spacing w:after="120" w:line="240" w:lineRule="auto"/>
        <w:rPr>
          <w:rFonts w:asciiTheme="minorHAnsi" w:hAnsiTheme="minorHAnsi"/>
        </w:rPr>
      </w:pPr>
    </w:p>
    <w:p w14:paraId="75E7E9FD" w14:textId="77777777" w:rsidR="00663AAB" w:rsidRDefault="00663AAB">
      <w:pPr>
        <w:rPr>
          <w:rFonts w:asciiTheme="minorHAnsi" w:hAnsiTheme="minorHAnsi"/>
          <w:b/>
          <w:caps/>
          <w:spacing w:val="10"/>
          <w:szCs w:val="18"/>
        </w:rPr>
      </w:pPr>
      <w:r>
        <w:rPr>
          <w:rFonts w:asciiTheme="minorHAnsi" w:hAnsiTheme="minorHAnsi"/>
          <w:b/>
        </w:rPr>
        <w:br w:type="page"/>
      </w:r>
    </w:p>
    <w:p w14:paraId="37F4B3E4" w14:textId="16271F49" w:rsidR="001143E0" w:rsidRPr="000403C3" w:rsidRDefault="003E5C0A" w:rsidP="00DF3257">
      <w:pPr>
        <w:pStyle w:val="Caption"/>
        <w:spacing w:after="0" w:line="240" w:lineRule="auto"/>
        <w:jc w:val="center"/>
        <w:rPr>
          <w:rFonts w:asciiTheme="minorHAnsi" w:hAnsiTheme="minorHAnsi"/>
          <w:b/>
          <w:sz w:val="22"/>
        </w:rPr>
      </w:pPr>
      <w:r w:rsidRPr="000403C3">
        <w:rPr>
          <w:rFonts w:asciiTheme="minorHAnsi" w:hAnsiTheme="minorHAnsi"/>
          <w:b/>
          <w:sz w:val="22"/>
        </w:rPr>
        <w:lastRenderedPageBreak/>
        <w:t xml:space="preserve">Figure </w:t>
      </w:r>
      <w:r w:rsidR="0053223C" w:rsidRPr="000403C3">
        <w:rPr>
          <w:rFonts w:asciiTheme="minorHAnsi" w:hAnsiTheme="minorHAnsi"/>
          <w:b/>
          <w:sz w:val="22"/>
        </w:rPr>
        <w:fldChar w:fldCharType="begin"/>
      </w:r>
      <w:r w:rsidR="0053223C" w:rsidRPr="000403C3">
        <w:rPr>
          <w:rFonts w:asciiTheme="minorHAnsi" w:hAnsiTheme="minorHAnsi"/>
          <w:b/>
          <w:sz w:val="22"/>
        </w:rPr>
        <w:instrText xml:space="preserve"> STYLEREF 1 \s </w:instrText>
      </w:r>
      <w:r w:rsidR="0053223C" w:rsidRPr="000403C3">
        <w:rPr>
          <w:rFonts w:asciiTheme="minorHAnsi" w:hAnsiTheme="minorHAnsi"/>
          <w:b/>
          <w:sz w:val="22"/>
        </w:rPr>
        <w:fldChar w:fldCharType="separate"/>
      </w:r>
      <w:r w:rsidR="006C24CC">
        <w:rPr>
          <w:rFonts w:asciiTheme="minorHAnsi" w:hAnsiTheme="minorHAnsi"/>
          <w:b/>
          <w:noProof/>
          <w:sz w:val="22"/>
        </w:rPr>
        <w:t>2</w:t>
      </w:r>
      <w:r w:rsidR="0053223C" w:rsidRPr="000403C3">
        <w:rPr>
          <w:rFonts w:asciiTheme="minorHAnsi" w:hAnsiTheme="minorHAnsi"/>
          <w:b/>
          <w:sz w:val="22"/>
        </w:rPr>
        <w:fldChar w:fldCharType="end"/>
      </w:r>
      <w:r w:rsidR="0053223C" w:rsidRPr="000403C3">
        <w:rPr>
          <w:rFonts w:asciiTheme="minorHAnsi" w:hAnsiTheme="minorHAnsi"/>
          <w:b/>
          <w:sz w:val="22"/>
        </w:rPr>
        <w:noBreakHyphen/>
      </w:r>
      <w:r w:rsidR="0053223C" w:rsidRPr="000403C3">
        <w:rPr>
          <w:rFonts w:asciiTheme="minorHAnsi" w:hAnsiTheme="minorHAnsi"/>
          <w:b/>
          <w:sz w:val="22"/>
        </w:rPr>
        <w:fldChar w:fldCharType="begin"/>
      </w:r>
      <w:r w:rsidR="0053223C" w:rsidRPr="000403C3">
        <w:rPr>
          <w:rFonts w:asciiTheme="minorHAnsi" w:hAnsiTheme="minorHAnsi"/>
          <w:b/>
          <w:sz w:val="22"/>
        </w:rPr>
        <w:instrText xml:space="preserve"> SEQ Figure \* ARABIC \s 1 </w:instrText>
      </w:r>
      <w:r w:rsidR="0053223C" w:rsidRPr="000403C3">
        <w:rPr>
          <w:rFonts w:asciiTheme="minorHAnsi" w:hAnsiTheme="minorHAnsi"/>
          <w:b/>
          <w:sz w:val="22"/>
        </w:rPr>
        <w:fldChar w:fldCharType="separate"/>
      </w:r>
      <w:r w:rsidR="006C24CC">
        <w:rPr>
          <w:rFonts w:asciiTheme="minorHAnsi" w:hAnsiTheme="minorHAnsi"/>
          <w:b/>
          <w:noProof/>
          <w:sz w:val="22"/>
        </w:rPr>
        <w:t>7</w:t>
      </w:r>
      <w:r w:rsidR="0053223C" w:rsidRPr="000403C3">
        <w:rPr>
          <w:rFonts w:asciiTheme="minorHAnsi" w:hAnsiTheme="minorHAnsi"/>
          <w:b/>
          <w:sz w:val="22"/>
        </w:rPr>
        <w:fldChar w:fldCharType="end"/>
      </w:r>
      <w:r w:rsidRPr="000403C3">
        <w:rPr>
          <w:rFonts w:asciiTheme="minorHAnsi" w:hAnsiTheme="minorHAnsi"/>
          <w:b/>
          <w:sz w:val="22"/>
        </w:rPr>
        <w:t>: Age-Specific All-site cancer Incidence Rates by Race</w:t>
      </w:r>
      <w:r w:rsidR="00C27F86" w:rsidRPr="000403C3">
        <w:rPr>
          <w:rFonts w:asciiTheme="minorHAnsi" w:hAnsiTheme="minorHAnsi"/>
          <w:b/>
          <w:sz w:val="22"/>
        </w:rPr>
        <w:t>/ethnicity</w:t>
      </w:r>
      <w:r w:rsidRPr="000403C3">
        <w:rPr>
          <w:rFonts w:asciiTheme="minorHAnsi" w:hAnsiTheme="minorHAnsi"/>
          <w:b/>
          <w:sz w:val="22"/>
        </w:rPr>
        <w:t xml:space="preserve">; </w:t>
      </w:r>
    </w:p>
    <w:p w14:paraId="6C6DBB23" w14:textId="00659C60" w:rsidR="003E5C0A" w:rsidRDefault="003E5C0A" w:rsidP="000C02FF">
      <w:pPr>
        <w:pStyle w:val="Caption"/>
        <w:spacing w:after="120" w:line="240" w:lineRule="auto"/>
        <w:jc w:val="center"/>
        <w:rPr>
          <w:rFonts w:asciiTheme="minorHAnsi" w:hAnsiTheme="minorHAnsi"/>
          <w:b/>
          <w:sz w:val="22"/>
        </w:rPr>
      </w:pPr>
      <w:r w:rsidRPr="000403C3">
        <w:rPr>
          <w:rFonts w:asciiTheme="minorHAnsi" w:hAnsiTheme="minorHAnsi"/>
          <w:b/>
          <w:sz w:val="22"/>
        </w:rPr>
        <w:t xml:space="preserve">Delaware, </w:t>
      </w:r>
      <w:r w:rsidR="00D403E9" w:rsidRPr="000403C3">
        <w:rPr>
          <w:rFonts w:asciiTheme="minorHAnsi" w:hAnsiTheme="minorHAnsi"/>
          <w:b/>
          <w:sz w:val="22"/>
        </w:rPr>
        <w:t>201</w:t>
      </w:r>
      <w:r w:rsidR="00442586">
        <w:rPr>
          <w:rFonts w:asciiTheme="minorHAnsi" w:hAnsiTheme="minorHAnsi"/>
          <w:b/>
          <w:sz w:val="22"/>
        </w:rPr>
        <w:t>7</w:t>
      </w:r>
      <w:r w:rsidR="00D403E9" w:rsidRPr="000403C3">
        <w:rPr>
          <w:rFonts w:asciiTheme="minorHAnsi" w:hAnsiTheme="minorHAnsi"/>
          <w:b/>
          <w:sz w:val="22"/>
        </w:rPr>
        <w:t>-20</w:t>
      </w:r>
      <w:r w:rsidR="008308A8">
        <w:rPr>
          <w:rFonts w:asciiTheme="minorHAnsi" w:hAnsiTheme="minorHAnsi"/>
          <w:b/>
          <w:sz w:val="22"/>
        </w:rPr>
        <w:t>2</w:t>
      </w:r>
      <w:r w:rsidR="00442586">
        <w:rPr>
          <w:rFonts w:asciiTheme="minorHAnsi" w:hAnsiTheme="minorHAnsi"/>
          <w:b/>
          <w:sz w:val="22"/>
        </w:rPr>
        <w:t>1</w:t>
      </w:r>
    </w:p>
    <w:p w14:paraId="48B12586" w14:textId="51AE386E" w:rsidR="003E5C0A" w:rsidRPr="00F92DDF" w:rsidRDefault="005F0A13" w:rsidP="00F92DDF">
      <w:pPr>
        <w:spacing w:after="0"/>
        <w:jc w:val="center"/>
      </w:pPr>
      <w:r>
        <w:rPr>
          <w:noProof/>
        </w:rPr>
        <w:drawing>
          <wp:inline distT="0" distB="0" distL="0" distR="0" wp14:anchorId="0E52B010" wp14:editId="5468C083">
            <wp:extent cx="5145405" cy="3127375"/>
            <wp:effectExtent l="0" t="0" r="0" b="0"/>
            <wp:docPr id="18583556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45405" cy="3127375"/>
                    </a:xfrm>
                    <a:prstGeom prst="rect">
                      <a:avLst/>
                    </a:prstGeom>
                    <a:noFill/>
                  </pic:spPr>
                </pic:pic>
              </a:graphicData>
            </a:graphic>
          </wp:inline>
        </w:drawing>
      </w:r>
    </w:p>
    <w:p w14:paraId="6EC3103B" w14:textId="1CFAA7EE" w:rsidR="00DB310F" w:rsidRDefault="003E5C0A" w:rsidP="003C320F">
      <w:pPr>
        <w:pStyle w:val="NoSpacing"/>
        <w:ind w:left="1170" w:right="1523"/>
        <w:rPr>
          <w:rFonts w:asciiTheme="minorHAnsi" w:hAnsiTheme="minorHAnsi"/>
          <w:i/>
          <w:sz w:val="16"/>
          <w:szCs w:val="16"/>
        </w:rPr>
      </w:pPr>
      <w:r w:rsidRPr="00D95A9D">
        <w:rPr>
          <w:rFonts w:asciiTheme="minorHAnsi" w:hAnsiTheme="minorHAnsi"/>
          <w:i/>
          <w:sz w:val="16"/>
          <w:szCs w:val="16"/>
        </w:rPr>
        <w:t xml:space="preserve">Source: </w:t>
      </w:r>
      <w:r w:rsidR="00AB4F6C" w:rsidRPr="00D95A9D">
        <w:rPr>
          <w:rFonts w:asciiTheme="minorHAnsi" w:hAnsiTheme="minorHAnsi"/>
          <w:i/>
          <w:sz w:val="16"/>
          <w:szCs w:val="16"/>
        </w:rPr>
        <w:t>Delaware Department of Health and Social Services, Division of Public Health, Delaware Cancer Registry</w:t>
      </w:r>
      <w:r w:rsidR="00E33BCD" w:rsidRPr="00D95A9D">
        <w:rPr>
          <w:rFonts w:asciiTheme="minorHAnsi" w:hAnsiTheme="minorHAnsi"/>
          <w:i/>
          <w:sz w:val="16"/>
          <w:szCs w:val="16"/>
        </w:rPr>
        <w:t>, 20</w:t>
      </w:r>
      <w:r w:rsidR="009C16C3" w:rsidRPr="00D95A9D">
        <w:rPr>
          <w:rFonts w:asciiTheme="minorHAnsi" w:hAnsiTheme="minorHAnsi"/>
          <w:i/>
          <w:sz w:val="16"/>
          <w:szCs w:val="16"/>
        </w:rPr>
        <w:t>2</w:t>
      </w:r>
      <w:r w:rsidR="00442586">
        <w:rPr>
          <w:rFonts w:asciiTheme="minorHAnsi" w:hAnsiTheme="minorHAnsi"/>
          <w:i/>
          <w:sz w:val="16"/>
          <w:szCs w:val="16"/>
        </w:rPr>
        <w:t>4</w:t>
      </w:r>
      <w:r w:rsidR="003C320F">
        <w:rPr>
          <w:rFonts w:asciiTheme="minorHAnsi" w:hAnsiTheme="minorHAnsi"/>
          <w:i/>
          <w:sz w:val="16"/>
          <w:szCs w:val="16"/>
        </w:rPr>
        <w:t xml:space="preserve"> </w:t>
      </w:r>
    </w:p>
    <w:p w14:paraId="2C2C5252" w14:textId="4DCDE47B" w:rsidR="0025516C" w:rsidRPr="003C320F" w:rsidRDefault="0025516C" w:rsidP="003C320F">
      <w:pPr>
        <w:pStyle w:val="NoSpacing"/>
        <w:ind w:left="1170" w:right="1523"/>
        <w:rPr>
          <w:rFonts w:asciiTheme="minorHAnsi" w:hAnsiTheme="minorHAnsi"/>
          <w:i/>
          <w:sz w:val="16"/>
          <w:szCs w:val="16"/>
        </w:rPr>
      </w:pPr>
      <w:r w:rsidRPr="00D95A9D">
        <w:rPr>
          <w:rFonts w:asciiTheme="minorHAnsi" w:hAnsiTheme="minorHAnsi"/>
          <w:sz w:val="16"/>
          <w:szCs w:val="16"/>
        </w:rPr>
        <w:t>Rates are per 100,000 of population age-adjusted to the 2000 U.S. standard populatio</w:t>
      </w:r>
      <w:r>
        <w:rPr>
          <w:rFonts w:asciiTheme="minorHAnsi" w:hAnsiTheme="minorHAnsi"/>
          <w:sz w:val="16"/>
          <w:szCs w:val="16"/>
        </w:rPr>
        <w:t>n and are calculated using modified U.S. Census populations available from NCI (</w:t>
      </w:r>
      <w:hyperlink r:id="rId37" w:history="1">
        <w:r w:rsidRPr="00ED4EF5">
          <w:rPr>
            <w:rStyle w:val="Hyperlink"/>
            <w:rFonts w:asciiTheme="minorHAnsi" w:hAnsiTheme="minorHAnsi"/>
            <w:sz w:val="16"/>
            <w:szCs w:val="16"/>
          </w:rPr>
          <w:t>https://seer.cancer.gov/popdata/</w:t>
        </w:r>
      </w:hyperlink>
      <w:r>
        <w:rPr>
          <w:rFonts w:asciiTheme="minorHAnsi" w:hAnsiTheme="minorHAnsi"/>
          <w:sz w:val="16"/>
          <w:szCs w:val="16"/>
        </w:rPr>
        <w:t>).</w:t>
      </w:r>
    </w:p>
    <w:p w14:paraId="76D4A0B1" w14:textId="77777777" w:rsidR="007D74D6" w:rsidRPr="00CE3F54" w:rsidRDefault="007D74D6" w:rsidP="00F92DDF">
      <w:pPr>
        <w:pStyle w:val="NoSpacing"/>
        <w:rPr>
          <w:rFonts w:asciiTheme="minorHAnsi" w:hAnsiTheme="minorHAnsi"/>
          <w:sz w:val="14"/>
        </w:rPr>
      </w:pPr>
    </w:p>
    <w:p w14:paraId="5C00548B" w14:textId="77777777" w:rsidR="004E540C" w:rsidRPr="001916B4" w:rsidRDefault="004E540C" w:rsidP="0006275D">
      <w:pPr>
        <w:pStyle w:val="ListParagraph"/>
        <w:spacing w:after="120" w:line="240" w:lineRule="auto"/>
        <w:contextualSpacing w:val="0"/>
        <w:rPr>
          <w:rFonts w:asciiTheme="minorHAnsi" w:hAnsiTheme="minorHAnsi"/>
          <w:sz w:val="2"/>
          <w:szCs w:val="2"/>
        </w:rPr>
      </w:pPr>
    </w:p>
    <w:p w14:paraId="3799A7D9" w14:textId="5DC24D04" w:rsidR="00B9398E" w:rsidRPr="00123C29" w:rsidRDefault="005020A1" w:rsidP="00B21C83">
      <w:pPr>
        <w:pStyle w:val="ListParagraph"/>
        <w:numPr>
          <w:ilvl w:val="0"/>
          <w:numId w:val="3"/>
        </w:numPr>
        <w:spacing w:after="120" w:line="240" w:lineRule="auto"/>
        <w:ind w:left="360"/>
        <w:contextualSpacing w:val="0"/>
        <w:rPr>
          <w:rFonts w:asciiTheme="minorHAnsi" w:hAnsiTheme="minorHAnsi"/>
        </w:rPr>
      </w:pPr>
      <w:r w:rsidRPr="00123C29">
        <w:rPr>
          <w:rFonts w:asciiTheme="minorHAnsi" w:hAnsiTheme="minorHAnsi"/>
        </w:rPr>
        <w:t xml:space="preserve">Delaware’s </w:t>
      </w:r>
      <w:r w:rsidR="0056297A" w:rsidRPr="00123C29">
        <w:rPr>
          <w:rFonts w:asciiTheme="minorHAnsi" w:hAnsiTheme="minorHAnsi"/>
        </w:rPr>
        <w:t>201</w:t>
      </w:r>
      <w:r w:rsidR="00D90F5B" w:rsidRPr="00123C29">
        <w:rPr>
          <w:rFonts w:asciiTheme="minorHAnsi" w:hAnsiTheme="minorHAnsi"/>
        </w:rPr>
        <w:t>7</w:t>
      </w:r>
      <w:r w:rsidR="0056297A" w:rsidRPr="00123C29">
        <w:rPr>
          <w:rFonts w:asciiTheme="minorHAnsi" w:hAnsiTheme="minorHAnsi"/>
        </w:rPr>
        <w:t>-20</w:t>
      </w:r>
      <w:r w:rsidR="002D36D5" w:rsidRPr="00123C29">
        <w:rPr>
          <w:rFonts w:asciiTheme="minorHAnsi" w:hAnsiTheme="minorHAnsi"/>
        </w:rPr>
        <w:t>2</w:t>
      </w:r>
      <w:r w:rsidR="00D90F5B" w:rsidRPr="00123C29">
        <w:rPr>
          <w:rFonts w:asciiTheme="minorHAnsi" w:hAnsiTheme="minorHAnsi"/>
        </w:rPr>
        <w:t>1</w:t>
      </w:r>
      <w:r w:rsidR="0056297A" w:rsidRPr="00123C29">
        <w:rPr>
          <w:rFonts w:asciiTheme="minorHAnsi" w:hAnsiTheme="minorHAnsi"/>
        </w:rPr>
        <w:t xml:space="preserve"> </w:t>
      </w:r>
      <w:r w:rsidR="005B5CAD" w:rsidRPr="00123C29">
        <w:rPr>
          <w:rFonts w:asciiTheme="minorHAnsi" w:hAnsiTheme="minorHAnsi"/>
        </w:rPr>
        <w:t xml:space="preserve">all-site cancer incidence rate was highest for </w:t>
      </w:r>
      <w:r w:rsidR="003B25DD" w:rsidRPr="00123C29">
        <w:rPr>
          <w:rFonts w:asciiTheme="minorHAnsi" w:hAnsiTheme="minorHAnsi"/>
        </w:rPr>
        <w:t>n</w:t>
      </w:r>
      <w:r w:rsidR="005B5CAD" w:rsidRPr="00123C29">
        <w:rPr>
          <w:rFonts w:asciiTheme="minorHAnsi" w:hAnsiTheme="minorHAnsi"/>
        </w:rPr>
        <w:t xml:space="preserve">on-Hispanic </w:t>
      </w:r>
      <w:r w:rsidR="00BB3D69" w:rsidRPr="00123C29">
        <w:rPr>
          <w:rFonts w:asciiTheme="minorHAnsi" w:hAnsiTheme="minorHAnsi"/>
        </w:rPr>
        <w:t>White</w:t>
      </w:r>
      <w:r w:rsidR="005B5CAD" w:rsidRPr="00123C29">
        <w:rPr>
          <w:rFonts w:asciiTheme="minorHAnsi" w:hAnsiTheme="minorHAnsi"/>
        </w:rPr>
        <w:t xml:space="preserve">, </w:t>
      </w:r>
      <w:r w:rsidR="003B25DD" w:rsidRPr="00123C29">
        <w:rPr>
          <w:rFonts w:asciiTheme="minorHAnsi" w:hAnsiTheme="minorHAnsi"/>
        </w:rPr>
        <w:t>n</w:t>
      </w:r>
      <w:r w:rsidR="005B5CAD" w:rsidRPr="00123C29">
        <w:rPr>
          <w:rFonts w:asciiTheme="minorHAnsi" w:hAnsiTheme="minorHAnsi"/>
        </w:rPr>
        <w:t xml:space="preserve">on-Hispanic </w:t>
      </w:r>
      <w:r w:rsidR="00BB3D69" w:rsidRPr="00123C29">
        <w:rPr>
          <w:rFonts w:asciiTheme="minorHAnsi" w:hAnsiTheme="minorHAnsi"/>
        </w:rPr>
        <w:t>Black</w:t>
      </w:r>
      <w:r w:rsidR="005B5CAD" w:rsidRPr="00123C29">
        <w:rPr>
          <w:rFonts w:asciiTheme="minorHAnsi" w:hAnsiTheme="minorHAnsi"/>
        </w:rPr>
        <w:t>, and Hispanic</w:t>
      </w:r>
      <w:r w:rsidR="00123C29" w:rsidRPr="00123C29">
        <w:rPr>
          <w:rFonts w:asciiTheme="minorHAnsi" w:hAnsiTheme="minorHAnsi"/>
        </w:rPr>
        <w:t xml:space="preserve"> Delawareans</w:t>
      </w:r>
      <w:r w:rsidR="005B5CAD" w:rsidRPr="00123C29">
        <w:rPr>
          <w:rFonts w:asciiTheme="minorHAnsi" w:hAnsiTheme="minorHAnsi"/>
        </w:rPr>
        <w:t xml:space="preserve"> between 75</w:t>
      </w:r>
      <w:r w:rsidR="00972548" w:rsidRPr="00123C29">
        <w:rPr>
          <w:rFonts w:asciiTheme="minorHAnsi" w:hAnsiTheme="minorHAnsi"/>
        </w:rPr>
        <w:t xml:space="preserve"> and </w:t>
      </w:r>
      <w:r w:rsidR="005B5CAD" w:rsidRPr="00123C29">
        <w:rPr>
          <w:rFonts w:asciiTheme="minorHAnsi" w:hAnsiTheme="minorHAnsi"/>
        </w:rPr>
        <w:t xml:space="preserve">84 years of age. </w:t>
      </w:r>
    </w:p>
    <w:p w14:paraId="6CC8A844" w14:textId="77777777" w:rsidR="00B9398E" w:rsidRPr="001916B4" w:rsidRDefault="00B9398E" w:rsidP="001916B4">
      <w:pPr>
        <w:spacing w:after="120" w:line="240" w:lineRule="auto"/>
        <w:rPr>
          <w:sz w:val="14"/>
          <w:szCs w:val="14"/>
        </w:rPr>
      </w:pPr>
    </w:p>
    <w:p w14:paraId="00E5954D" w14:textId="643B71D0" w:rsidR="00821945" w:rsidRPr="000403C3" w:rsidRDefault="003E5C0A" w:rsidP="00DF3257">
      <w:pPr>
        <w:pStyle w:val="Caption"/>
        <w:spacing w:after="0" w:line="240" w:lineRule="auto"/>
        <w:jc w:val="center"/>
        <w:rPr>
          <w:rFonts w:asciiTheme="minorHAnsi" w:hAnsiTheme="minorHAnsi"/>
          <w:b/>
          <w:sz w:val="22"/>
        </w:rPr>
      </w:pPr>
      <w:r w:rsidRPr="000403C3">
        <w:rPr>
          <w:rFonts w:asciiTheme="minorHAnsi" w:hAnsiTheme="minorHAnsi"/>
          <w:b/>
          <w:sz w:val="22"/>
        </w:rPr>
        <w:t xml:space="preserve">Table </w:t>
      </w:r>
      <w:r w:rsidR="001A19D6" w:rsidRPr="000403C3">
        <w:rPr>
          <w:rFonts w:asciiTheme="minorHAnsi" w:hAnsiTheme="minorHAnsi"/>
          <w:b/>
          <w:sz w:val="22"/>
        </w:rPr>
        <w:fldChar w:fldCharType="begin"/>
      </w:r>
      <w:r w:rsidR="001A19D6" w:rsidRPr="000403C3">
        <w:rPr>
          <w:rFonts w:asciiTheme="minorHAnsi" w:hAnsiTheme="minorHAnsi"/>
          <w:b/>
          <w:sz w:val="22"/>
        </w:rPr>
        <w:instrText xml:space="preserve"> STYLEREF 1 \s </w:instrText>
      </w:r>
      <w:r w:rsidR="001A19D6" w:rsidRPr="000403C3">
        <w:rPr>
          <w:rFonts w:asciiTheme="minorHAnsi" w:hAnsiTheme="minorHAnsi"/>
          <w:b/>
          <w:sz w:val="22"/>
        </w:rPr>
        <w:fldChar w:fldCharType="separate"/>
      </w:r>
      <w:r w:rsidR="006C24CC">
        <w:rPr>
          <w:rFonts w:asciiTheme="minorHAnsi" w:hAnsiTheme="minorHAnsi"/>
          <w:b/>
          <w:noProof/>
          <w:sz w:val="22"/>
        </w:rPr>
        <w:t>2</w:t>
      </w:r>
      <w:r w:rsidR="001A19D6" w:rsidRPr="000403C3">
        <w:rPr>
          <w:rFonts w:asciiTheme="minorHAnsi" w:hAnsiTheme="minorHAnsi"/>
          <w:b/>
          <w:sz w:val="22"/>
        </w:rPr>
        <w:fldChar w:fldCharType="end"/>
      </w:r>
      <w:r w:rsidR="001A19D6" w:rsidRPr="000403C3">
        <w:rPr>
          <w:rFonts w:asciiTheme="minorHAnsi" w:hAnsiTheme="minorHAnsi"/>
          <w:b/>
          <w:sz w:val="22"/>
        </w:rPr>
        <w:noBreakHyphen/>
      </w:r>
      <w:r w:rsidR="001A19D6" w:rsidRPr="000403C3">
        <w:rPr>
          <w:rFonts w:asciiTheme="minorHAnsi" w:hAnsiTheme="minorHAnsi"/>
          <w:b/>
          <w:sz w:val="22"/>
        </w:rPr>
        <w:fldChar w:fldCharType="begin"/>
      </w:r>
      <w:r w:rsidR="001A19D6" w:rsidRPr="000403C3">
        <w:rPr>
          <w:rFonts w:asciiTheme="minorHAnsi" w:hAnsiTheme="minorHAnsi"/>
          <w:b/>
          <w:sz w:val="22"/>
        </w:rPr>
        <w:instrText xml:space="preserve"> SEQ Table \* ARABIC \s 1 </w:instrText>
      </w:r>
      <w:r w:rsidR="001A19D6" w:rsidRPr="000403C3">
        <w:rPr>
          <w:rFonts w:asciiTheme="minorHAnsi" w:hAnsiTheme="minorHAnsi"/>
          <w:b/>
          <w:sz w:val="22"/>
        </w:rPr>
        <w:fldChar w:fldCharType="separate"/>
      </w:r>
      <w:r w:rsidR="006C24CC">
        <w:rPr>
          <w:rFonts w:asciiTheme="minorHAnsi" w:hAnsiTheme="minorHAnsi"/>
          <w:b/>
          <w:noProof/>
          <w:sz w:val="22"/>
        </w:rPr>
        <w:t>3</w:t>
      </w:r>
      <w:r w:rsidR="001A19D6" w:rsidRPr="000403C3">
        <w:rPr>
          <w:rFonts w:asciiTheme="minorHAnsi" w:hAnsiTheme="minorHAnsi"/>
          <w:b/>
          <w:sz w:val="22"/>
        </w:rPr>
        <w:fldChar w:fldCharType="end"/>
      </w:r>
      <w:r w:rsidRPr="000403C3">
        <w:rPr>
          <w:rFonts w:asciiTheme="minorHAnsi" w:hAnsiTheme="minorHAnsi"/>
          <w:b/>
          <w:sz w:val="22"/>
        </w:rPr>
        <w:t xml:space="preserve">: Age-Specific All-site cancer Incidence Rates </w:t>
      </w:r>
      <w:r w:rsidR="00315A11" w:rsidRPr="000403C3">
        <w:rPr>
          <w:rFonts w:asciiTheme="minorHAnsi" w:hAnsiTheme="minorHAnsi"/>
          <w:b/>
          <w:sz w:val="22"/>
        </w:rPr>
        <w:t>BY SEX AND RACE/ETHNICITY</w:t>
      </w:r>
      <w:r w:rsidRPr="000403C3">
        <w:rPr>
          <w:rFonts w:asciiTheme="minorHAnsi" w:hAnsiTheme="minorHAnsi"/>
          <w:b/>
          <w:sz w:val="22"/>
        </w:rPr>
        <w:t xml:space="preserve">; </w:t>
      </w:r>
    </w:p>
    <w:p w14:paraId="1A426F6E" w14:textId="7E858A0B" w:rsidR="003E5C0A" w:rsidRDefault="003E5C0A" w:rsidP="000C02FF">
      <w:pPr>
        <w:pStyle w:val="Caption"/>
        <w:spacing w:after="120" w:line="240" w:lineRule="auto"/>
        <w:jc w:val="center"/>
        <w:rPr>
          <w:rFonts w:asciiTheme="minorHAnsi" w:hAnsiTheme="minorHAnsi"/>
          <w:b/>
          <w:sz w:val="22"/>
        </w:rPr>
      </w:pPr>
      <w:r w:rsidRPr="000403C3">
        <w:rPr>
          <w:rFonts w:asciiTheme="minorHAnsi" w:hAnsiTheme="minorHAnsi"/>
          <w:b/>
          <w:sz w:val="22"/>
        </w:rPr>
        <w:t xml:space="preserve">Delaware, </w:t>
      </w:r>
      <w:r w:rsidR="00D403E9" w:rsidRPr="000403C3">
        <w:rPr>
          <w:rFonts w:asciiTheme="minorHAnsi" w:hAnsiTheme="minorHAnsi"/>
          <w:b/>
          <w:sz w:val="22"/>
        </w:rPr>
        <w:t>201</w:t>
      </w:r>
      <w:r w:rsidR="00AA6342">
        <w:rPr>
          <w:rFonts w:asciiTheme="minorHAnsi" w:hAnsiTheme="minorHAnsi"/>
          <w:b/>
          <w:sz w:val="22"/>
        </w:rPr>
        <w:t>7</w:t>
      </w:r>
      <w:r w:rsidR="00D403E9" w:rsidRPr="000403C3">
        <w:rPr>
          <w:rFonts w:asciiTheme="minorHAnsi" w:hAnsiTheme="minorHAnsi"/>
          <w:b/>
          <w:sz w:val="22"/>
        </w:rPr>
        <w:t>-20</w:t>
      </w:r>
      <w:r w:rsidR="00A76BC0">
        <w:rPr>
          <w:rFonts w:asciiTheme="minorHAnsi" w:hAnsiTheme="minorHAnsi"/>
          <w:b/>
          <w:sz w:val="22"/>
        </w:rPr>
        <w:t>2</w:t>
      </w:r>
      <w:r w:rsidR="00AA6342">
        <w:rPr>
          <w:rFonts w:asciiTheme="minorHAnsi" w:hAnsiTheme="minorHAnsi"/>
          <w:b/>
          <w:sz w:val="22"/>
        </w:rPr>
        <w:t>1</w:t>
      </w:r>
    </w:p>
    <w:tbl>
      <w:tblPr>
        <w:tblStyle w:val="MediumGrid1-Accent2"/>
        <w:tblW w:w="9980" w:type="dxa"/>
        <w:tblLayout w:type="fixed"/>
        <w:tblLook w:val="04A0" w:firstRow="1" w:lastRow="0" w:firstColumn="1" w:lastColumn="0" w:noHBand="0" w:noVBand="1"/>
      </w:tblPr>
      <w:tblGrid>
        <w:gridCol w:w="1088"/>
        <w:gridCol w:w="972"/>
        <w:gridCol w:w="1080"/>
        <w:gridCol w:w="994"/>
        <w:gridCol w:w="994"/>
        <w:gridCol w:w="1080"/>
        <w:gridCol w:w="904"/>
        <w:gridCol w:w="990"/>
        <w:gridCol w:w="1080"/>
        <w:gridCol w:w="798"/>
      </w:tblGrid>
      <w:tr w:rsidR="00782AB3" w:rsidRPr="00CE377D" w14:paraId="53B1A149" w14:textId="77777777" w:rsidTr="00554873">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8" w:type="dxa"/>
            <w:vMerge w:val="restart"/>
            <w:hideMark/>
          </w:tcPr>
          <w:p w14:paraId="3366411B" w14:textId="77777777" w:rsidR="002419AC" w:rsidRPr="00554873" w:rsidRDefault="002419AC" w:rsidP="002419AC">
            <w:pPr>
              <w:jc w:val="center"/>
              <w:rPr>
                <w:rFonts w:ascii="Calibri" w:eastAsia="Times New Roman" w:hAnsi="Calibri" w:cs="Calibri"/>
                <w:color w:val="000000"/>
                <w:sz w:val="18"/>
                <w:szCs w:val="18"/>
              </w:rPr>
            </w:pPr>
            <w:r w:rsidRPr="00554873">
              <w:rPr>
                <w:rFonts w:ascii="Calibri" w:eastAsia="Times New Roman" w:hAnsi="Calibri" w:cs="Calibri"/>
                <w:color w:val="000000"/>
                <w:sz w:val="18"/>
                <w:szCs w:val="18"/>
              </w:rPr>
              <w:t>Age at Diagnosis</w:t>
            </w:r>
          </w:p>
        </w:tc>
        <w:tc>
          <w:tcPr>
            <w:tcW w:w="3046" w:type="dxa"/>
            <w:gridSpan w:val="3"/>
            <w:hideMark/>
          </w:tcPr>
          <w:p w14:paraId="74DC6E1D" w14:textId="02B71FF1" w:rsidR="002419AC" w:rsidRPr="00554873" w:rsidRDefault="004E540C" w:rsidP="002419A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54873">
              <w:rPr>
                <w:rFonts w:ascii="Calibri" w:eastAsia="Times New Roman" w:hAnsi="Calibri" w:cs="Calibri"/>
                <w:color w:val="000000"/>
                <w:sz w:val="18"/>
                <w:szCs w:val="18"/>
              </w:rPr>
              <w:t xml:space="preserve">Non-Hispanic </w:t>
            </w:r>
            <w:r w:rsidR="00BB3D69">
              <w:rPr>
                <w:rFonts w:ascii="Calibri" w:eastAsia="Times New Roman" w:hAnsi="Calibri" w:cs="Calibri"/>
                <w:color w:val="000000"/>
                <w:sz w:val="18"/>
                <w:szCs w:val="18"/>
              </w:rPr>
              <w:t>White</w:t>
            </w:r>
          </w:p>
        </w:tc>
        <w:tc>
          <w:tcPr>
            <w:tcW w:w="2978" w:type="dxa"/>
            <w:gridSpan w:val="3"/>
            <w:hideMark/>
          </w:tcPr>
          <w:p w14:paraId="47794F69" w14:textId="63ECD630" w:rsidR="002419AC" w:rsidRPr="00554873" w:rsidRDefault="004E540C" w:rsidP="002419A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54873">
              <w:rPr>
                <w:rFonts w:ascii="Calibri" w:eastAsia="Times New Roman" w:hAnsi="Calibri" w:cs="Calibri"/>
                <w:color w:val="000000"/>
                <w:sz w:val="18"/>
                <w:szCs w:val="18"/>
              </w:rPr>
              <w:t xml:space="preserve">Non-Hispanic </w:t>
            </w:r>
            <w:r w:rsidR="00BB3D69">
              <w:rPr>
                <w:rFonts w:ascii="Calibri" w:eastAsia="Times New Roman" w:hAnsi="Calibri" w:cs="Calibri"/>
                <w:color w:val="000000"/>
                <w:sz w:val="18"/>
                <w:szCs w:val="18"/>
              </w:rPr>
              <w:t>Black</w:t>
            </w:r>
          </w:p>
        </w:tc>
        <w:tc>
          <w:tcPr>
            <w:tcW w:w="2868" w:type="dxa"/>
            <w:gridSpan w:val="3"/>
            <w:hideMark/>
          </w:tcPr>
          <w:p w14:paraId="13E8592C" w14:textId="77777777" w:rsidR="002419AC" w:rsidRPr="00554873" w:rsidRDefault="002419AC" w:rsidP="002419A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54873">
              <w:rPr>
                <w:rFonts w:ascii="Calibri" w:eastAsia="Times New Roman" w:hAnsi="Calibri" w:cs="Calibri"/>
                <w:color w:val="000000"/>
                <w:sz w:val="18"/>
                <w:szCs w:val="18"/>
              </w:rPr>
              <w:t>Hispanic</w:t>
            </w:r>
          </w:p>
        </w:tc>
      </w:tr>
      <w:tr w:rsidR="00782AB3" w:rsidRPr="00CE377D" w14:paraId="124A2931" w14:textId="77777777" w:rsidTr="0055487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8" w:type="dxa"/>
            <w:vMerge/>
            <w:hideMark/>
          </w:tcPr>
          <w:p w14:paraId="60853F1D" w14:textId="77777777" w:rsidR="002419AC" w:rsidRPr="00554873" w:rsidRDefault="002419AC" w:rsidP="002419AC">
            <w:pPr>
              <w:rPr>
                <w:rFonts w:ascii="Calibri" w:eastAsia="Times New Roman" w:hAnsi="Calibri" w:cs="Calibri"/>
                <w:color w:val="000000"/>
                <w:sz w:val="18"/>
                <w:szCs w:val="18"/>
              </w:rPr>
            </w:pPr>
          </w:p>
        </w:tc>
        <w:tc>
          <w:tcPr>
            <w:tcW w:w="972" w:type="dxa"/>
            <w:hideMark/>
          </w:tcPr>
          <w:p w14:paraId="72D33451" w14:textId="77777777" w:rsidR="002419AC" w:rsidRPr="00554873" w:rsidRDefault="002419AC" w:rsidP="002419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rPr>
            </w:pPr>
            <w:r w:rsidRPr="00554873">
              <w:rPr>
                <w:rFonts w:ascii="Calibri" w:eastAsia="Times New Roman" w:hAnsi="Calibri" w:cs="Calibri"/>
                <w:b/>
                <w:bCs/>
                <w:color w:val="000000"/>
                <w:sz w:val="18"/>
                <w:szCs w:val="18"/>
              </w:rPr>
              <w:t>All</w:t>
            </w:r>
          </w:p>
        </w:tc>
        <w:tc>
          <w:tcPr>
            <w:tcW w:w="1080" w:type="dxa"/>
            <w:hideMark/>
          </w:tcPr>
          <w:p w14:paraId="2B8B0023" w14:textId="77777777" w:rsidR="002419AC" w:rsidRPr="00554873" w:rsidRDefault="002419AC" w:rsidP="002419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rPr>
            </w:pPr>
            <w:r w:rsidRPr="00554873">
              <w:rPr>
                <w:rFonts w:ascii="Calibri" w:eastAsia="Times New Roman" w:hAnsi="Calibri" w:cs="Calibri"/>
                <w:b/>
                <w:bCs/>
                <w:color w:val="000000"/>
                <w:sz w:val="18"/>
                <w:szCs w:val="18"/>
              </w:rPr>
              <w:t>Male</w:t>
            </w:r>
          </w:p>
        </w:tc>
        <w:tc>
          <w:tcPr>
            <w:tcW w:w="994" w:type="dxa"/>
            <w:hideMark/>
          </w:tcPr>
          <w:p w14:paraId="0E910A2C" w14:textId="77777777" w:rsidR="002419AC" w:rsidRPr="00554873" w:rsidRDefault="002419AC" w:rsidP="002419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rPr>
            </w:pPr>
            <w:r w:rsidRPr="00554873">
              <w:rPr>
                <w:rFonts w:ascii="Calibri" w:eastAsia="Times New Roman" w:hAnsi="Calibri" w:cs="Calibri"/>
                <w:b/>
                <w:bCs/>
                <w:color w:val="000000"/>
                <w:sz w:val="18"/>
                <w:szCs w:val="18"/>
              </w:rPr>
              <w:t>Female</w:t>
            </w:r>
          </w:p>
        </w:tc>
        <w:tc>
          <w:tcPr>
            <w:tcW w:w="994" w:type="dxa"/>
            <w:hideMark/>
          </w:tcPr>
          <w:p w14:paraId="6D3FEA16" w14:textId="77777777" w:rsidR="002419AC" w:rsidRPr="00554873" w:rsidRDefault="002419AC" w:rsidP="002419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rPr>
            </w:pPr>
            <w:r w:rsidRPr="00554873">
              <w:rPr>
                <w:rFonts w:ascii="Calibri" w:eastAsia="Times New Roman" w:hAnsi="Calibri" w:cs="Calibri"/>
                <w:b/>
                <w:bCs/>
                <w:color w:val="000000"/>
                <w:sz w:val="18"/>
                <w:szCs w:val="18"/>
              </w:rPr>
              <w:t>All</w:t>
            </w:r>
          </w:p>
        </w:tc>
        <w:tc>
          <w:tcPr>
            <w:tcW w:w="1080" w:type="dxa"/>
            <w:hideMark/>
          </w:tcPr>
          <w:p w14:paraId="48043F5C" w14:textId="77777777" w:rsidR="002419AC" w:rsidRPr="00554873" w:rsidRDefault="002419AC" w:rsidP="002419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rPr>
            </w:pPr>
            <w:r w:rsidRPr="00554873">
              <w:rPr>
                <w:rFonts w:ascii="Calibri" w:eastAsia="Times New Roman" w:hAnsi="Calibri" w:cs="Calibri"/>
                <w:b/>
                <w:bCs/>
                <w:color w:val="000000"/>
                <w:sz w:val="18"/>
                <w:szCs w:val="18"/>
              </w:rPr>
              <w:t>Male</w:t>
            </w:r>
          </w:p>
        </w:tc>
        <w:tc>
          <w:tcPr>
            <w:tcW w:w="904" w:type="dxa"/>
            <w:hideMark/>
          </w:tcPr>
          <w:p w14:paraId="65FF7F84" w14:textId="77777777" w:rsidR="002419AC" w:rsidRPr="00554873" w:rsidRDefault="002419AC" w:rsidP="002419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rPr>
            </w:pPr>
            <w:r w:rsidRPr="00554873">
              <w:rPr>
                <w:rFonts w:ascii="Calibri" w:eastAsia="Times New Roman" w:hAnsi="Calibri" w:cs="Calibri"/>
                <w:b/>
                <w:bCs/>
                <w:color w:val="000000"/>
                <w:sz w:val="18"/>
                <w:szCs w:val="18"/>
              </w:rPr>
              <w:t>Female</w:t>
            </w:r>
          </w:p>
        </w:tc>
        <w:tc>
          <w:tcPr>
            <w:tcW w:w="990" w:type="dxa"/>
            <w:hideMark/>
          </w:tcPr>
          <w:p w14:paraId="15CBD5A7" w14:textId="77777777" w:rsidR="002419AC" w:rsidRPr="00554873" w:rsidRDefault="002419AC" w:rsidP="002419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rPr>
            </w:pPr>
            <w:r w:rsidRPr="00554873">
              <w:rPr>
                <w:rFonts w:ascii="Calibri" w:eastAsia="Times New Roman" w:hAnsi="Calibri" w:cs="Calibri"/>
                <w:b/>
                <w:bCs/>
                <w:color w:val="000000"/>
                <w:sz w:val="18"/>
                <w:szCs w:val="18"/>
              </w:rPr>
              <w:t>All</w:t>
            </w:r>
          </w:p>
        </w:tc>
        <w:tc>
          <w:tcPr>
            <w:tcW w:w="1080" w:type="dxa"/>
            <w:hideMark/>
          </w:tcPr>
          <w:p w14:paraId="47D03452" w14:textId="77777777" w:rsidR="002419AC" w:rsidRPr="00554873" w:rsidRDefault="002419AC" w:rsidP="002419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rPr>
            </w:pPr>
            <w:r w:rsidRPr="00554873">
              <w:rPr>
                <w:rFonts w:ascii="Calibri" w:eastAsia="Times New Roman" w:hAnsi="Calibri" w:cs="Calibri"/>
                <w:b/>
                <w:bCs/>
                <w:color w:val="000000"/>
                <w:sz w:val="18"/>
                <w:szCs w:val="18"/>
              </w:rPr>
              <w:t>Male</w:t>
            </w:r>
          </w:p>
        </w:tc>
        <w:tc>
          <w:tcPr>
            <w:tcW w:w="798" w:type="dxa"/>
            <w:hideMark/>
          </w:tcPr>
          <w:p w14:paraId="197400AA" w14:textId="77777777" w:rsidR="002419AC" w:rsidRPr="00554873" w:rsidRDefault="002419AC" w:rsidP="002419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rPr>
            </w:pPr>
            <w:r w:rsidRPr="00554873">
              <w:rPr>
                <w:rFonts w:ascii="Calibri" w:eastAsia="Times New Roman" w:hAnsi="Calibri" w:cs="Calibri"/>
                <w:b/>
                <w:bCs/>
                <w:color w:val="000000"/>
                <w:sz w:val="18"/>
                <w:szCs w:val="18"/>
              </w:rPr>
              <w:t>Female</w:t>
            </w:r>
          </w:p>
        </w:tc>
      </w:tr>
      <w:tr w:rsidR="00130172" w:rsidRPr="00CE377D" w14:paraId="4E574142" w14:textId="77777777" w:rsidTr="00130172">
        <w:trPr>
          <w:trHeight w:val="311"/>
        </w:trPr>
        <w:tc>
          <w:tcPr>
            <w:cnfStyle w:val="001000000000" w:firstRow="0" w:lastRow="0" w:firstColumn="1" w:lastColumn="0" w:oddVBand="0" w:evenVBand="0" w:oddHBand="0" w:evenHBand="0" w:firstRowFirstColumn="0" w:firstRowLastColumn="0" w:lastRowFirstColumn="0" w:lastRowLastColumn="0"/>
            <w:tcW w:w="1088" w:type="dxa"/>
            <w:vAlign w:val="center"/>
            <w:hideMark/>
          </w:tcPr>
          <w:p w14:paraId="421AEF74" w14:textId="77777777" w:rsidR="00130172" w:rsidRPr="00554873" w:rsidRDefault="00130172" w:rsidP="00130172">
            <w:pPr>
              <w:jc w:val="center"/>
              <w:rPr>
                <w:rFonts w:ascii="Calibri" w:eastAsia="Times New Roman" w:hAnsi="Calibri" w:cs="Calibri"/>
                <w:color w:val="000000"/>
                <w:sz w:val="18"/>
                <w:szCs w:val="18"/>
              </w:rPr>
            </w:pPr>
            <w:r w:rsidRPr="00554873">
              <w:rPr>
                <w:rFonts w:ascii="Calibri" w:eastAsia="Times New Roman" w:hAnsi="Calibri" w:cs="Calibri"/>
                <w:color w:val="000000"/>
                <w:sz w:val="18"/>
                <w:szCs w:val="18"/>
              </w:rPr>
              <w:t>0-39</w:t>
            </w:r>
          </w:p>
        </w:tc>
        <w:tc>
          <w:tcPr>
            <w:tcW w:w="972" w:type="dxa"/>
            <w:vAlign w:val="bottom"/>
          </w:tcPr>
          <w:p w14:paraId="1E6106E4" w14:textId="40A63D8B"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61.3</w:t>
            </w:r>
          </w:p>
        </w:tc>
        <w:tc>
          <w:tcPr>
            <w:tcW w:w="1080" w:type="dxa"/>
            <w:vAlign w:val="bottom"/>
          </w:tcPr>
          <w:p w14:paraId="0B5212D3" w14:textId="75266204"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43.5</w:t>
            </w:r>
          </w:p>
        </w:tc>
        <w:tc>
          <w:tcPr>
            <w:tcW w:w="994" w:type="dxa"/>
            <w:vAlign w:val="bottom"/>
          </w:tcPr>
          <w:p w14:paraId="66A8F2C1" w14:textId="6371C3F7"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79.2</w:t>
            </w:r>
          </w:p>
        </w:tc>
        <w:tc>
          <w:tcPr>
            <w:tcW w:w="994" w:type="dxa"/>
            <w:vAlign w:val="bottom"/>
          </w:tcPr>
          <w:p w14:paraId="7A75C89A" w14:textId="752B4A9C"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42.9</w:t>
            </w:r>
          </w:p>
        </w:tc>
        <w:tc>
          <w:tcPr>
            <w:tcW w:w="1080" w:type="dxa"/>
            <w:vAlign w:val="bottom"/>
          </w:tcPr>
          <w:p w14:paraId="139DAAC4" w14:textId="0492A7C0"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37.4</w:t>
            </w:r>
          </w:p>
        </w:tc>
        <w:tc>
          <w:tcPr>
            <w:tcW w:w="904" w:type="dxa"/>
            <w:vAlign w:val="bottom"/>
          </w:tcPr>
          <w:p w14:paraId="22ACED8F" w14:textId="14C94B0D"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47.6</w:t>
            </w:r>
          </w:p>
        </w:tc>
        <w:tc>
          <w:tcPr>
            <w:tcW w:w="990" w:type="dxa"/>
            <w:vAlign w:val="bottom"/>
          </w:tcPr>
          <w:p w14:paraId="5F223DF2" w14:textId="7E9E10E5"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48.9</w:t>
            </w:r>
          </w:p>
        </w:tc>
        <w:tc>
          <w:tcPr>
            <w:tcW w:w="1080" w:type="dxa"/>
            <w:vAlign w:val="bottom"/>
          </w:tcPr>
          <w:p w14:paraId="3FAF5331" w14:textId="0D7F0E8B"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30.2</w:t>
            </w:r>
          </w:p>
        </w:tc>
        <w:tc>
          <w:tcPr>
            <w:tcW w:w="798" w:type="dxa"/>
            <w:vAlign w:val="bottom"/>
          </w:tcPr>
          <w:p w14:paraId="44175651" w14:textId="47D2D305"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69.4</w:t>
            </w:r>
          </w:p>
        </w:tc>
      </w:tr>
      <w:tr w:rsidR="00130172" w:rsidRPr="00CE377D" w14:paraId="2A4D9990" w14:textId="77777777" w:rsidTr="0013017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088" w:type="dxa"/>
            <w:vAlign w:val="center"/>
            <w:hideMark/>
          </w:tcPr>
          <w:p w14:paraId="046F6708" w14:textId="77777777" w:rsidR="00130172" w:rsidRPr="00554873" w:rsidRDefault="00130172" w:rsidP="00130172">
            <w:pPr>
              <w:jc w:val="center"/>
              <w:rPr>
                <w:rFonts w:ascii="Calibri" w:eastAsia="Times New Roman" w:hAnsi="Calibri" w:cs="Calibri"/>
                <w:color w:val="000000"/>
                <w:sz w:val="18"/>
                <w:szCs w:val="18"/>
              </w:rPr>
            </w:pPr>
            <w:r w:rsidRPr="00554873">
              <w:rPr>
                <w:rFonts w:ascii="Calibri" w:eastAsia="Times New Roman" w:hAnsi="Calibri" w:cs="Calibri"/>
                <w:color w:val="000000"/>
                <w:sz w:val="18"/>
                <w:szCs w:val="18"/>
              </w:rPr>
              <w:t>40-64</w:t>
            </w:r>
          </w:p>
        </w:tc>
        <w:tc>
          <w:tcPr>
            <w:tcW w:w="972" w:type="dxa"/>
            <w:vAlign w:val="bottom"/>
          </w:tcPr>
          <w:p w14:paraId="40D06085" w14:textId="6877BD18" w:rsidR="00130172" w:rsidRPr="005D3BDF" w:rsidRDefault="00130172" w:rsidP="001301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581.8</w:t>
            </w:r>
          </w:p>
        </w:tc>
        <w:tc>
          <w:tcPr>
            <w:tcW w:w="1080" w:type="dxa"/>
            <w:vAlign w:val="bottom"/>
          </w:tcPr>
          <w:p w14:paraId="15139427" w14:textId="51ECFF1A" w:rsidR="00130172" w:rsidRPr="005D3BDF" w:rsidRDefault="00130172" w:rsidP="001301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547.4</w:t>
            </w:r>
          </w:p>
        </w:tc>
        <w:tc>
          <w:tcPr>
            <w:tcW w:w="994" w:type="dxa"/>
            <w:vAlign w:val="bottom"/>
          </w:tcPr>
          <w:p w14:paraId="2B275ABC" w14:textId="796E15B9" w:rsidR="00130172" w:rsidRPr="005D3BDF" w:rsidRDefault="00130172" w:rsidP="001301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616.4</w:t>
            </w:r>
          </w:p>
        </w:tc>
        <w:tc>
          <w:tcPr>
            <w:tcW w:w="994" w:type="dxa"/>
            <w:vAlign w:val="bottom"/>
          </w:tcPr>
          <w:p w14:paraId="1FD0AB7A" w14:textId="4A19D93D" w:rsidR="00130172" w:rsidRPr="005D3BDF" w:rsidRDefault="00130172" w:rsidP="001301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568.0</w:t>
            </w:r>
          </w:p>
        </w:tc>
        <w:tc>
          <w:tcPr>
            <w:tcW w:w="1080" w:type="dxa"/>
            <w:vAlign w:val="bottom"/>
          </w:tcPr>
          <w:p w14:paraId="234F1E3F" w14:textId="618909CC" w:rsidR="00130172" w:rsidRPr="005D3BDF" w:rsidRDefault="00130172" w:rsidP="001301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588.2</w:t>
            </w:r>
          </w:p>
        </w:tc>
        <w:tc>
          <w:tcPr>
            <w:tcW w:w="904" w:type="dxa"/>
            <w:vAlign w:val="bottom"/>
          </w:tcPr>
          <w:p w14:paraId="2D480FD5" w14:textId="66BC61EB" w:rsidR="00130172" w:rsidRPr="005D3BDF" w:rsidRDefault="00130172" w:rsidP="001301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551.9</w:t>
            </w:r>
          </w:p>
        </w:tc>
        <w:tc>
          <w:tcPr>
            <w:tcW w:w="990" w:type="dxa"/>
            <w:vAlign w:val="bottom"/>
          </w:tcPr>
          <w:p w14:paraId="40943A04" w14:textId="3B065A3F" w:rsidR="00130172" w:rsidRPr="005D3BDF" w:rsidRDefault="00130172" w:rsidP="001301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413.3</w:t>
            </w:r>
          </w:p>
        </w:tc>
        <w:tc>
          <w:tcPr>
            <w:tcW w:w="1080" w:type="dxa"/>
            <w:vAlign w:val="bottom"/>
          </w:tcPr>
          <w:p w14:paraId="11828AEA" w14:textId="6E842A8F" w:rsidR="00130172" w:rsidRPr="005D3BDF" w:rsidRDefault="00130172" w:rsidP="001301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347.9</w:t>
            </w:r>
          </w:p>
        </w:tc>
        <w:tc>
          <w:tcPr>
            <w:tcW w:w="798" w:type="dxa"/>
            <w:vAlign w:val="bottom"/>
          </w:tcPr>
          <w:p w14:paraId="5817F638" w14:textId="4200164B" w:rsidR="00130172" w:rsidRPr="005D3BDF" w:rsidRDefault="00130172" w:rsidP="001301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483.5</w:t>
            </w:r>
          </w:p>
        </w:tc>
      </w:tr>
      <w:tr w:rsidR="00130172" w:rsidRPr="00CE377D" w14:paraId="501673B6" w14:textId="77777777" w:rsidTr="00130172">
        <w:trPr>
          <w:trHeight w:val="311"/>
        </w:trPr>
        <w:tc>
          <w:tcPr>
            <w:cnfStyle w:val="001000000000" w:firstRow="0" w:lastRow="0" w:firstColumn="1" w:lastColumn="0" w:oddVBand="0" w:evenVBand="0" w:oddHBand="0" w:evenHBand="0" w:firstRowFirstColumn="0" w:firstRowLastColumn="0" w:lastRowFirstColumn="0" w:lastRowLastColumn="0"/>
            <w:tcW w:w="1088" w:type="dxa"/>
            <w:vAlign w:val="center"/>
            <w:hideMark/>
          </w:tcPr>
          <w:p w14:paraId="7E08ED45" w14:textId="77777777" w:rsidR="00130172" w:rsidRPr="00554873" w:rsidRDefault="00130172" w:rsidP="00130172">
            <w:pPr>
              <w:jc w:val="center"/>
              <w:rPr>
                <w:rFonts w:ascii="Calibri" w:eastAsia="Times New Roman" w:hAnsi="Calibri" w:cs="Calibri"/>
                <w:color w:val="000000"/>
                <w:sz w:val="18"/>
                <w:szCs w:val="18"/>
              </w:rPr>
            </w:pPr>
            <w:r w:rsidRPr="00554873">
              <w:rPr>
                <w:rFonts w:ascii="Calibri" w:eastAsia="Times New Roman" w:hAnsi="Calibri" w:cs="Calibri"/>
                <w:color w:val="000000"/>
                <w:sz w:val="18"/>
                <w:szCs w:val="18"/>
              </w:rPr>
              <w:t>65-74</w:t>
            </w:r>
          </w:p>
        </w:tc>
        <w:tc>
          <w:tcPr>
            <w:tcW w:w="972" w:type="dxa"/>
            <w:vAlign w:val="bottom"/>
          </w:tcPr>
          <w:p w14:paraId="3783669B" w14:textId="537853EE"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1866.3</w:t>
            </w:r>
          </w:p>
        </w:tc>
        <w:tc>
          <w:tcPr>
            <w:tcW w:w="1080" w:type="dxa"/>
            <w:vAlign w:val="bottom"/>
          </w:tcPr>
          <w:p w14:paraId="47040992" w14:textId="7B7AD5DB"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2195.2</w:t>
            </w:r>
          </w:p>
        </w:tc>
        <w:tc>
          <w:tcPr>
            <w:tcW w:w="994" w:type="dxa"/>
            <w:vAlign w:val="bottom"/>
          </w:tcPr>
          <w:p w14:paraId="00F007E6" w14:textId="559B53C1"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1572.5</w:t>
            </w:r>
          </w:p>
        </w:tc>
        <w:tc>
          <w:tcPr>
            <w:tcW w:w="994" w:type="dxa"/>
            <w:vAlign w:val="bottom"/>
          </w:tcPr>
          <w:p w14:paraId="136BBE93" w14:textId="0049969D"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1832.9</w:t>
            </w:r>
          </w:p>
        </w:tc>
        <w:tc>
          <w:tcPr>
            <w:tcW w:w="1080" w:type="dxa"/>
            <w:vAlign w:val="bottom"/>
          </w:tcPr>
          <w:p w14:paraId="277AD3D7" w14:textId="4F78AA9E"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2398.3</w:t>
            </w:r>
          </w:p>
        </w:tc>
        <w:tc>
          <w:tcPr>
            <w:tcW w:w="904" w:type="dxa"/>
            <w:vAlign w:val="bottom"/>
          </w:tcPr>
          <w:p w14:paraId="2E1D9432" w14:textId="33A4A658"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1407.8</w:t>
            </w:r>
          </w:p>
        </w:tc>
        <w:tc>
          <w:tcPr>
            <w:tcW w:w="990" w:type="dxa"/>
            <w:vAlign w:val="bottom"/>
          </w:tcPr>
          <w:p w14:paraId="3FCAFD05" w14:textId="43336FBF"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1398.9</w:t>
            </w:r>
          </w:p>
        </w:tc>
        <w:tc>
          <w:tcPr>
            <w:tcW w:w="1080" w:type="dxa"/>
            <w:vAlign w:val="bottom"/>
          </w:tcPr>
          <w:p w14:paraId="69598982" w14:textId="2D4F4BCE"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1484.6</w:t>
            </w:r>
          </w:p>
        </w:tc>
        <w:tc>
          <w:tcPr>
            <w:tcW w:w="798" w:type="dxa"/>
            <w:vAlign w:val="bottom"/>
          </w:tcPr>
          <w:p w14:paraId="2AFD3CE9" w14:textId="090AE442"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1317.4</w:t>
            </w:r>
          </w:p>
        </w:tc>
      </w:tr>
      <w:tr w:rsidR="00130172" w:rsidRPr="00CE377D" w14:paraId="6361EF98" w14:textId="77777777" w:rsidTr="0013017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088" w:type="dxa"/>
            <w:vAlign w:val="center"/>
            <w:hideMark/>
          </w:tcPr>
          <w:p w14:paraId="0861E862" w14:textId="77777777" w:rsidR="00130172" w:rsidRPr="00554873" w:rsidRDefault="00130172" w:rsidP="00130172">
            <w:pPr>
              <w:jc w:val="center"/>
              <w:rPr>
                <w:rFonts w:ascii="Calibri" w:eastAsia="Times New Roman" w:hAnsi="Calibri" w:cs="Calibri"/>
                <w:color w:val="000000"/>
                <w:sz w:val="18"/>
                <w:szCs w:val="18"/>
              </w:rPr>
            </w:pPr>
            <w:r w:rsidRPr="00554873">
              <w:rPr>
                <w:rFonts w:ascii="Calibri" w:eastAsia="Times New Roman" w:hAnsi="Calibri" w:cs="Calibri"/>
                <w:color w:val="000000"/>
                <w:sz w:val="18"/>
                <w:szCs w:val="18"/>
              </w:rPr>
              <w:t>75-84</w:t>
            </w:r>
          </w:p>
        </w:tc>
        <w:tc>
          <w:tcPr>
            <w:tcW w:w="972" w:type="dxa"/>
            <w:vAlign w:val="bottom"/>
          </w:tcPr>
          <w:p w14:paraId="2F1CB438" w14:textId="0C113927" w:rsidR="00130172" w:rsidRPr="005D3BDF" w:rsidRDefault="00130172" w:rsidP="001301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2374.4</w:t>
            </w:r>
          </w:p>
        </w:tc>
        <w:tc>
          <w:tcPr>
            <w:tcW w:w="1080" w:type="dxa"/>
            <w:vAlign w:val="bottom"/>
          </w:tcPr>
          <w:p w14:paraId="7B3AA028" w14:textId="6A91B1EC" w:rsidR="00130172" w:rsidRPr="005D3BDF" w:rsidRDefault="00130172" w:rsidP="001301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2808.7</w:t>
            </w:r>
          </w:p>
        </w:tc>
        <w:tc>
          <w:tcPr>
            <w:tcW w:w="994" w:type="dxa"/>
            <w:vAlign w:val="bottom"/>
          </w:tcPr>
          <w:p w14:paraId="131F1A3E" w14:textId="71BD002F" w:rsidR="00130172" w:rsidRPr="005D3BDF" w:rsidRDefault="00130172" w:rsidP="001301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2013.7</w:t>
            </w:r>
          </w:p>
        </w:tc>
        <w:tc>
          <w:tcPr>
            <w:tcW w:w="994" w:type="dxa"/>
            <w:vAlign w:val="bottom"/>
          </w:tcPr>
          <w:p w14:paraId="2B3E6BCE" w14:textId="3F9A893B" w:rsidR="00130172" w:rsidRPr="005D3BDF" w:rsidRDefault="00130172" w:rsidP="001301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1968.7</w:t>
            </w:r>
          </w:p>
        </w:tc>
        <w:tc>
          <w:tcPr>
            <w:tcW w:w="1080" w:type="dxa"/>
            <w:vAlign w:val="bottom"/>
          </w:tcPr>
          <w:p w14:paraId="14BA88EB" w14:textId="6ACA154E" w:rsidR="00130172" w:rsidRPr="005D3BDF" w:rsidRDefault="00130172" w:rsidP="001301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2370.7</w:t>
            </w:r>
          </w:p>
        </w:tc>
        <w:tc>
          <w:tcPr>
            <w:tcW w:w="904" w:type="dxa"/>
            <w:vAlign w:val="bottom"/>
          </w:tcPr>
          <w:p w14:paraId="532352FF" w14:textId="4DECE05A" w:rsidR="00130172" w:rsidRPr="005D3BDF" w:rsidRDefault="00130172" w:rsidP="001301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1691.1</w:t>
            </w:r>
          </w:p>
        </w:tc>
        <w:tc>
          <w:tcPr>
            <w:tcW w:w="990" w:type="dxa"/>
            <w:vAlign w:val="bottom"/>
          </w:tcPr>
          <w:p w14:paraId="0D33E040" w14:textId="0C625C7D" w:rsidR="00130172" w:rsidRPr="005D3BDF" w:rsidRDefault="00130172" w:rsidP="001301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1838.3</w:t>
            </w:r>
          </w:p>
        </w:tc>
        <w:tc>
          <w:tcPr>
            <w:tcW w:w="1080" w:type="dxa"/>
            <w:vAlign w:val="bottom"/>
          </w:tcPr>
          <w:p w14:paraId="1A2EA209" w14:textId="1C199C5F" w:rsidR="00130172" w:rsidRPr="005D3BDF" w:rsidRDefault="00130172" w:rsidP="001301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1805.7</w:t>
            </w:r>
          </w:p>
        </w:tc>
        <w:tc>
          <w:tcPr>
            <w:tcW w:w="798" w:type="dxa"/>
            <w:vAlign w:val="bottom"/>
          </w:tcPr>
          <w:p w14:paraId="0A0B023F" w14:textId="50F65C7C" w:rsidR="00130172" w:rsidRPr="005D3BDF" w:rsidRDefault="00130172" w:rsidP="001301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1864.8</w:t>
            </w:r>
          </w:p>
        </w:tc>
      </w:tr>
      <w:tr w:rsidR="00130172" w:rsidRPr="00CE377D" w14:paraId="1BF59CC4" w14:textId="77777777" w:rsidTr="00130172">
        <w:trPr>
          <w:trHeight w:val="311"/>
        </w:trPr>
        <w:tc>
          <w:tcPr>
            <w:cnfStyle w:val="001000000000" w:firstRow="0" w:lastRow="0" w:firstColumn="1" w:lastColumn="0" w:oddVBand="0" w:evenVBand="0" w:oddHBand="0" w:evenHBand="0" w:firstRowFirstColumn="0" w:firstRowLastColumn="0" w:lastRowFirstColumn="0" w:lastRowLastColumn="0"/>
            <w:tcW w:w="1088" w:type="dxa"/>
            <w:vAlign w:val="center"/>
            <w:hideMark/>
          </w:tcPr>
          <w:p w14:paraId="3F3189B6" w14:textId="77777777" w:rsidR="00130172" w:rsidRPr="00554873" w:rsidRDefault="00130172" w:rsidP="00130172">
            <w:pPr>
              <w:jc w:val="center"/>
              <w:rPr>
                <w:rFonts w:ascii="Calibri" w:eastAsia="Times New Roman" w:hAnsi="Calibri" w:cs="Calibri"/>
                <w:color w:val="000000"/>
                <w:sz w:val="18"/>
                <w:szCs w:val="18"/>
              </w:rPr>
            </w:pPr>
            <w:r w:rsidRPr="00554873">
              <w:rPr>
                <w:rFonts w:ascii="Calibri" w:eastAsia="Times New Roman" w:hAnsi="Calibri" w:cs="Calibri"/>
                <w:color w:val="000000"/>
                <w:sz w:val="18"/>
                <w:szCs w:val="18"/>
              </w:rPr>
              <w:t>85+</w:t>
            </w:r>
          </w:p>
        </w:tc>
        <w:tc>
          <w:tcPr>
            <w:tcW w:w="972" w:type="dxa"/>
            <w:vAlign w:val="bottom"/>
          </w:tcPr>
          <w:p w14:paraId="6A7CEFBE" w14:textId="38E315A5"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2186.8</w:t>
            </w:r>
          </w:p>
        </w:tc>
        <w:tc>
          <w:tcPr>
            <w:tcW w:w="1080" w:type="dxa"/>
            <w:vAlign w:val="bottom"/>
          </w:tcPr>
          <w:p w14:paraId="56064A0D" w14:textId="054AA709"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3035.7</w:t>
            </w:r>
          </w:p>
        </w:tc>
        <w:tc>
          <w:tcPr>
            <w:tcW w:w="994" w:type="dxa"/>
            <w:vAlign w:val="bottom"/>
          </w:tcPr>
          <w:p w14:paraId="4A53C27E" w14:textId="601F8CA6"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1703.8</w:t>
            </w:r>
          </w:p>
        </w:tc>
        <w:tc>
          <w:tcPr>
            <w:tcW w:w="994" w:type="dxa"/>
            <w:vAlign w:val="bottom"/>
          </w:tcPr>
          <w:p w14:paraId="0A593996" w14:textId="48DA173C"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1794.3</w:t>
            </w:r>
          </w:p>
        </w:tc>
        <w:tc>
          <w:tcPr>
            <w:tcW w:w="1080" w:type="dxa"/>
            <w:vAlign w:val="bottom"/>
          </w:tcPr>
          <w:p w14:paraId="1C02F2DB" w14:textId="0DDC7869"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2209.2</w:t>
            </w:r>
          </w:p>
        </w:tc>
        <w:tc>
          <w:tcPr>
            <w:tcW w:w="904" w:type="dxa"/>
            <w:vAlign w:val="bottom"/>
          </w:tcPr>
          <w:p w14:paraId="382B7A59" w14:textId="5AF8B831"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1599.2</w:t>
            </w:r>
          </w:p>
        </w:tc>
        <w:tc>
          <w:tcPr>
            <w:tcW w:w="990" w:type="dxa"/>
            <w:vAlign w:val="bottom"/>
          </w:tcPr>
          <w:p w14:paraId="77018A69" w14:textId="485FCD8A"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1518.1</w:t>
            </w:r>
          </w:p>
        </w:tc>
        <w:tc>
          <w:tcPr>
            <w:tcW w:w="1080" w:type="dxa"/>
            <w:vAlign w:val="bottom"/>
          </w:tcPr>
          <w:p w14:paraId="1127D56F" w14:textId="71CA18D1"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2026.4</w:t>
            </w:r>
          </w:p>
        </w:tc>
        <w:tc>
          <w:tcPr>
            <w:tcW w:w="798" w:type="dxa"/>
            <w:vAlign w:val="bottom"/>
          </w:tcPr>
          <w:p w14:paraId="4033BD65" w14:textId="7D725722" w:rsidR="00130172" w:rsidRPr="005D3BDF" w:rsidRDefault="00130172" w:rsidP="001301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rPr>
            </w:pPr>
            <w:r>
              <w:rPr>
                <w:rFonts w:ascii="Calibri" w:hAnsi="Calibri" w:cs="Calibri"/>
                <w:color w:val="000000"/>
                <w:sz w:val="18"/>
                <w:szCs w:val="18"/>
              </w:rPr>
              <w:t>1115.8</w:t>
            </w:r>
          </w:p>
        </w:tc>
      </w:tr>
    </w:tbl>
    <w:p w14:paraId="2A410264" w14:textId="12F3167B" w:rsidR="003E5C0A" w:rsidRPr="00D95A9D" w:rsidRDefault="003E5C0A" w:rsidP="00CF1EA7">
      <w:pPr>
        <w:pStyle w:val="NoSpacing"/>
        <w:rPr>
          <w:rFonts w:asciiTheme="minorHAnsi" w:hAnsiTheme="minorHAnsi"/>
          <w:i/>
          <w:sz w:val="16"/>
          <w:szCs w:val="16"/>
        </w:rPr>
      </w:pPr>
      <w:r w:rsidRPr="00D95A9D">
        <w:rPr>
          <w:rFonts w:asciiTheme="minorHAnsi" w:hAnsiTheme="minorHAnsi"/>
          <w:i/>
          <w:sz w:val="16"/>
          <w:szCs w:val="16"/>
        </w:rPr>
        <w:t xml:space="preserve">Source: </w:t>
      </w:r>
      <w:r w:rsidR="001F65DD" w:rsidRPr="00D95A9D">
        <w:rPr>
          <w:rFonts w:asciiTheme="minorHAnsi" w:hAnsiTheme="minorHAnsi"/>
          <w:i/>
          <w:sz w:val="16"/>
          <w:szCs w:val="16"/>
        </w:rPr>
        <w:t>Delaware Department of Health and Social Services, Division of Public Health, Delaware Cancer Registry</w:t>
      </w:r>
      <w:r w:rsidR="00E33BCD" w:rsidRPr="00D95A9D">
        <w:rPr>
          <w:rFonts w:asciiTheme="minorHAnsi" w:hAnsiTheme="minorHAnsi"/>
          <w:i/>
          <w:sz w:val="16"/>
          <w:szCs w:val="16"/>
        </w:rPr>
        <w:t>, 20</w:t>
      </w:r>
      <w:r w:rsidR="009C16C3" w:rsidRPr="00D95A9D">
        <w:rPr>
          <w:rFonts w:asciiTheme="minorHAnsi" w:hAnsiTheme="minorHAnsi"/>
          <w:i/>
          <w:sz w:val="16"/>
          <w:szCs w:val="16"/>
        </w:rPr>
        <w:t>2</w:t>
      </w:r>
      <w:r w:rsidR="001731CA">
        <w:rPr>
          <w:rFonts w:asciiTheme="minorHAnsi" w:hAnsiTheme="minorHAnsi"/>
          <w:i/>
          <w:sz w:val="16"/>
          <w:szCs w:val="16"/>
        </w:rPr>
        <w:t>4</w:t>
      </w:r>
    </w:p>
    <w:p w14:paraId="1B057113" w14:textId="2306E52A" w:rsidR="003E5C0A" w:rsidRPr="00D95A9D" w:rsidRDefault="0025516C" w:rsidP="00E778EA">
      <w:pPr>
        <w:pStyle w:val="NoSpacing"/>
        <w:rPr>
          <w:rFonts w:asciiTheme="minorHAnsi" w:hAnsiTheme="minorHAnsi"/>
          <w:sz w:val="16"/>
          <w:szCs w:val="16"/>
        </w:rPr>
      </w:pPr>
      <w:r>
        <w:rPr>
          <w:rFonts w:asciiTheme="minorHAnsi" w:hAnsiTheme="minorHAnsi"/>
          <w:sz w:val="16"/>
          <w:szCs w:val="16"/>
        </w:rPr>
        <w:t xml:space="preserve">Rates </w:t>
      </w:r>
      <w:r w:rsidRPr="0025516C">
        <w:rPr>
          <w:rFonts w:asciiTheme="minorHAnsi" w:hAnsiTheme="minorHAnsi"/>
          <w:sz w:val="16"/>
          <w:szCs w:val="16"/>
        </w:rPr>
        <w:t xml:space="preserve">are per 100,000 of population age-adjusted to the 2000 U.S. standard population and are calculated using modified U.S. Census populations </w:t>
      </w:r>
      <w:r>
        <w:rPr>
          <w:rFonts w:asciiTheme="minorHAnsi" w:hAnsiTheme="minorHAnsi"/>
          <w:sz w:val="16"/>
          <w:szCs w:val="16"/>
        </w:rPr>
        <w:t xml:space="preserve">  </w:t>
      </w:r>
      <w:r w:rsidRPr="0025516C">
        <w:rPr>
          <w:rFonts w:asciiTheme="minorHAnsi" w:hAnsiTheme="minorHAnsi"/>
          <w:sz w:val="16"/>
          <w:szCs w:val="16"/>
        </w:rPr>
        <w:t>available from NCI (</w:t>
      </w:r>
      <w:hyperlink r:id="rId38" w:history="1">
        <w:r w:rsidRPr="00ED4EF5">
          <w:rPr>
            <w:rStyle w:val="Hyperlink"/>
            <w:rFonts w:asciiTheme="minorHAnsi" w:hAnsiTheme="minorHAnsi"/>
            <w:sz w:val="16"/>
            <w:szCs w:val="16"/>
          </w:rPr>
          <w:t>https://seer.cancer.gov/popdata/</w:t>
        </w:r>
      </w:hyperlink>
      <w:r w:rsidRPr="0025516C">
        <w:rPr>
          <w:rFonts w:asciiTheme="minorHAnsi" w:hAnsiTheme="minorHAnsi"/>
          <w:sz w:val="16"/>
          <w:szCs w:val="16"/>
        </w:rPr>
        <w:t>).</w:t>
      </w:r>
      <w:r>
        <w:rPr>
          <w:rFonts w:asciiTheme="minorHAnsi" w:hAnsiTheme="minorHAnsi"/>
          <w:sz w:val="16"/>
          <w:szCs w:val="16"/>
        </w:rPr>
        <w:t xml:space="preserve">  </w:t>
      </w:r>
    </w:p>
    <w:p w14:paraId="79489B11" w14:textId="77777777" w:rsidR="00822222" w:rsidRPr="00E6795C" w:rsidRDefault="00822222" w:rsidP="001916B4">
      <w:pPr>
        <w:spacing w:after="0" w:line="240" w:lineRule="auto"/>
        <w:ind w:firstLine="86"/>
        <w:rPr>
          <w:rFonts w:asciiTheme="minorHAnsi" w:eastAsia="Times New Roman" w:hAnsiTheme="minorHAnsi" w:cs="Times New Roman"/>
          <w:sz w:val="14"/>
          <w:szCs w:val="14"/>
        </w:rPr>
      </w:pPr>
    </w:p>
    <w:p w14:paraId="7E3B9A49" w14:textId="7C310730" w:rsidR="00C40BBC" w:rsidRPr="000403C3" w:rsidRDefault="0056297A" w:rsidP="00B21C83">
      <w:pPr>
        <w:pStyle w:val="ListParagraph"/>
        <w:numPr>
          <w:ilvl w:val="0"/>
          <w:numId w:val="4"/>
        </w:numPr>
        <w:spacing w:after="120" w:line="240" w:lineRule="auto"/>
        <w:contextualSpacing w:val="0"/>
        <w:rPr>
          <w:rFonts w:asciiTheme="minorHAnsi" w:hAnsiTheme="minorHAnsi"/>
        </w:rPr>
      </w:pPr>
      <w:r>
        <w:rPr>
          <w:rFonts w:asciiTheme="minorHAnsi" w:hAnsiTheme="minorHAnsi"/>
        </w:rPr>
        <w:t>In 201</w:t>
      </w:r>
      <w:r w:rsidR="008E366F">
        <w:rPr>
          <w:rFonts w:asciiTheme="minorHAnsi" w:hAnsiTheme="minorHAnsi"/>
        </w:rPr>
        <w:t>7</w:t>
      </w:r>
      <w:r>
        <w:rPr>
          <w:rFonts w:asciiTheme="minorHAnsi" w:hAnsiTheme="minorHAnsi"/>
        </w:rPr>
        <w:t>-20</w:t>
      </w:r>
      <w:r w:rsidR="002D36D5">
        <w:rPr>
          <w:rFonts w:asciiTheme="minorHAnsi" w:hAnsiTheme="minorHAnsi"/>
        </w:rPr>
        <w:t>2</w:t>
      </w:r>
      <w:r w:rsidR="008E366F">
        <w:rPr>
          <w:rFonts w:asciiTheme="minorHAnsi" w:hAnsiTheme="minorHAnsi"/>
        </w:rPr>
        <w:t>1</w:t>
      </w:r>
      <w:r>
        <w:rPr>
          <w:rFonts w:asciiTheme="minorHAnsi" w:hAnsiTheme="minorHAnsi"/>
        </w:rPr>
        <w:t>, t</w:t>
      </w:r>
      <w:r w:rsidR="00F9711A" w:rsidRPr="000403C3">
        <w:rPr>
          <w:rFonts w:asciiTheme="minorHAnsi" w:hAnsiTheme="minorHAnsi"/>
        </w:rPr>
        <w:t>he a</w:t>
      </w:r>
      <w:r w:rsidR="00351E39" w:rsidRPr="000403C3">
        <w:rPr>
          <w:rFonts w:asciiTheme="minorHAnsi" w:hAnsiTheme="minorHAnsi"/>
        </w:rPr>
        <w:t>ll-site cancer incidence rate was</w:t>
      </w:r>
      <w:r w:rsidR="00F9711A" w:rsidRPr="000403C3">
        <w:rPr>
          <w:rFonts w:asciiTheme="minorHAnsi" w:hAnsiTheme="minorHAnsi"/>
        </w:rPr>
        <w:t xml:space="preserve"> highest for </w:t>
      </w:r>
      <w:r w:rsidR="00AC71E3">
        <w:rPr>
          <w:rFonts w:asciiTheme="minorHAnsi" w:hAnsiTheme="minorHAnsi"/>
        </w:rPr>
        <w:t>non</w:t>
      </w:r>
      <w:r w:rsidR="00FF4305" w:rsidRPr="000403C3">
        <w:rPr>
          <w:rFonts w:asciiTheme="minorHAnsi" w:hAnsiTheme="minorHAnsi"/>
        </w:rPr>
        <w:t xml:space="preserve">-Hispanic </w:t>
      </w:r>
      <w:r w:rsidR="00BB3D69" w:rsidRPr="000403C3">
        <w:rPr>
          <w:rFonts w:asciiTheme="minorHAnsi" w:hAnsiTheme="minorHAnsi"/>
        </w:rPr>
        <w:t>White</w:t>
      </w:r>
      <w:r w:rsidR="005C161B">
        <w:rPr>
          <w:rFonts w:asciiTheme="minorHAnsi" w:hAnsiTheme="minorHAnsi"/>
        </w:rPr>
        <w:t xml:space="preserve"> and Hispanic</w:t>
      </w:r>
      <w:r w:rsidR="00F9711A" w:rsidRPr="000403C3">
        <w:rPr>
          <w:rFonts w:asciiTheme="minorHAnsi" w:hAnsiTheme="minorHAnsi"/>
        </w:rPr>
        <w:t xml:space="preserve"> </w:t>
      </w:r>
      <w:r w:rsidR="00FB5C1C" w:rsidRPr="00E778EA">
        <w:rPr>
          <w:rFonts w:asciiTheme="minorHAnsi" w:hAnsiTheme="minorHAnsi"/>
        </w:rPr>
        <w:t>males</w:t>
      </w:r>
      <w:r w:rsidR="00FB5C1C" w:rsidRPr="000403C3">
        <w:rPr>
          <w:rFonts w:asciiTheme="minorHAnsi" w:hAnsiTheme="minorHAnsi"/>
        </w:rPr>
        <w:t xml:space="preserve"> 85</w:t>
      </w:r>
      <w:r w:rsidR="00E47B08" w:rsidRPr="000403C3">
        <w:rPr>
          <w:rFonts w:asciiTheme="minorHAnsi" w:hAnsiTheme="minorHAnsi"/>
        </w:rPr>
        <w:t xml:space="preserve"> years of age</w:t>
      </w:r>
      <w:r w:rsidR="00FB5C1C" w:rsidRPr="000403C3">
        <w:rPr>
          <w:rFonts w:asciiTheme="minorHAnsi" w:hAnsiTheme="minorHAnsi"/>
        </w:rPr>
        <w:t xml:space="preserve"> and olde</w:t>
      </w:r>
      <w:r w:rsidR="00F9711A" w:rsidRPr="000403C3">
        <w:rPr>
          <w:rFonts w:asciiTheme="minorHAnsi" w:hAnsiTheme="minorHAnsi"/>
        </w:rPr>
        <w:t xml:space="preserve">r </w:t>
      </w:r>
      <w:r w:rsidR="00F9711A" w:rsidRPr="0040283F">
        <w:rPr>
          <w:rFonts w:asciiTheme="minorHAnsi" w:hAnsiTheme="minorHAnsi" w:cstheme="minorHAnsi"/>
        </w:rPr>
        <w:t>and for</w:t>
      </w:r>
      <w:r w:rsidR="00782AB3" w:rsidRPr="006D51FB">
        <w:rPr>
          <w:rFonts w:asciiTheme="minorHAnsi" w:hAnsiTheme="minorHAnsi" w:cstheme="minorHAnsi"/>
        </w:rPr>
        <w:t xml:space="preserve"> </w:t>
      </w:r>
      <w:r w:rsidR="0040283F" w:rsidRPr="006D51FB">
        <w:rPr>
          <w:rFonts w:asciiTheme="minorHAnsi" w:hAnsiTheme="minorHAnsi" w:cstheme="minorHAnsi"/>
        </w:rPr>
        <w:t>n</w:t>
      </w:r>
      <w:r w:rsidR="00782AB3" w:rsidRPr="0040283F">
        <w:rPr>
          <w:rFonts w:asciiTheme="minorHAnsi" w:hAnsiTheme="minorHAnsi" w:cstheme="minorHAnsi"/>
        </w:rPr>
        <w:t>on</w:t>
      </w:r>
      <w:r w:rsidR="00782AB3" w:rsidRPr="000403C3">
        <w:rPr>
          <w:rFonts w:asciiTheme="minorHAnsi" w:hAnsiTheme="minorHAnsi"/>
        </w:rPr>
        <w:t xml:space="preserve">-Hispanic </w:t>
      </w:r>
      <w:r w:rsidR="00BB3D69" w:rsidRPr="000403C3">
        <w:rPr>
          <w:rFonts w:asciiTheme="minorHAnsi" w:hAnsiTheme="minorHAnsi"/>
        </w:rPr>
        <w:t>Black</w:t>
      </w:r>
      <w:r w:rsidR="00414599">
        <w:rPr>
          <w:rFonts w:asciiTheme="minorHAnsi" w:hAnsiTheme="minorHAnsi"/>
        </w:rPr>
        <w:t xml:space="preserve"> </w:t>
      </w:r>
      <w:r w:rsidR="005A5DE3" w:rsidRPr="00E778EA">
        <w:rPr>
          <w:rFonts w:asciiTheme="minorHAnsi" w:hAnsiTheme="minorHAnsi"/>
        </w:rPr>
        <w:t>males</w:t>
      </w:r>
      <w:r w:rsidR="00F9711A" w:rsidRPr="000403C3">
        <w:rPr>
          <w:rFonts w:asciiTheme="minorHAnsi" w:hAnsiTheme="minorHAnsi"/>
        </w:rPr>
        <w:t xml:space="preserve"> </w:t>
      </w:r>
      <w:r w:rsidR="00972548" w:rsidRPr="000403C3">
        <w:rPr>
          <w:rFonts w:asciiTheme="minorHAnsi" w:hAnsiTheme="minorHAnsi"/>
        </w:rPr>
        <w:t xml:space="preserve">between </w:t>
      </w:r>
      <w:r w:rsidR="00673CA9">
        <w:rPr>
          <w:rFonts w:asciiTheme="minorHAnsi" w:hAnsiTheme="minorHAnsi"/>
        </w:rPr>
        <w:t>65</w:t>
      </w:r>
      <w:r w:rsidR="00972548" w:rsidRPr="000403C3">
        <w:rPr>
          <w:rFonts w:asciiTheme="minorHAnsi" w:hAnsiTheme="minorHAnsi"/>
        </w:rPr>
        <w:t xml:space="preserve"> and </w:t>
      </w:r>
      <w:r w:rsidR="00673CA9">
        <w:rPr>
          <w:rFonts w:asciiTheme="minorHAnsi" w:hAnsiTheme="minorHAnsi"/>
        </w:rPr>
        <w:t>7</w:t>
      </w:r>
      <w:r w:rsidR="00F9711A" w:rsidRPr="000403C3">
        <w:rPr>
          <w:rFonts w:asciiTheme="minorHAnsi" w:hAnsiTheme="minorHAnsi"/>
        </w:rPr>
        <w:t xml:space="preserve">4 years of age. </w:t>
      </w:r>
    </w:p>
    <w:p w14:paraId="6446D066" w14:textId="587CED17" w:rsidR="00F0291F" w:rsidRPr="007C2B06" w:rsidRDefault="00F9711A" w:rsidP="00B21C83">
      <w:pPr>
        <w:pStyle w:val="ListParagraph"/>
        <w:numPr>
          <w:ilvl w:val="0"/>
          <w:numId w:val="4"/>
        </w:numPr>
        <w:spacing w:after="120" w:line="240" w:lineRule="auto"/>
        <w:contextualSpacing w:val="0"/>
      </w:pPr>
      <w:r w:rsidRPr="000403C3">
        <w:rPr>
          <w:rFonts w:asciiTheme="minorHAnsi" w:hAnsiTheme="minorHAnsi"/>
        </w:rPr>
        <w:t xml:space="preserve">The </w:t>
      </w:r>
      <w:r w:rsidR="0056297A">
        <w:rPr>
          <w:rFonts w:asciiTheme="minorHAnsi" w:hAnsiTheme="minorHAnsi"/>
        </w:rPr>
        <w:t>201</w:t>
      </w:r>
      <w:r w:rsidR="00FF76E7">
        <w:rPr>
          <w:rFonts w:asciiTheme="minorHAnsi" w:hAnsiTheme="minorHAnsi"/>
        </w:rPr>
        <w:t>7</w:t>
      </w:r>
      <w:r w:rsidR="0056297A">
        <w:rPr>
          <w:rFonts w:asciiTheme="minorHAnsi" w:hAnsiTheme="minorHAnsi"/>
        </w:rPr>
        <w:t>-20</w:t>
      </w:r>
      <w:r w:rsidR="002D36D5">
        <w:rPr>
          <w:rFonts w:asciiTheme="minorHAnsi" w:hAnsiTheme="minorHAnsi"/>
        </w:rPr>
        <w:t>2</w:t>
      </w:r>
      <w:r w:rsidR="00FF76E7">
        <w:rPr>
          <w:rFonts w:asciiTheme="minorHAnsi" w:hAnsiTheme="minorHAnsi"/>
        </w:rPr>
        <w:t>1</w:t>
      </w:r>
      <w:r w:rsidR="0056297A">
        <w:rPr>
          <w:rFonts w:asciiTheme="minorHAnsi" w:hAnsiTheme="minorHAnsi"/>
        </w:rPr>
        <w:t xml:space="preserve"> </w:t>
      </w:r>
      <w:r w:rsidRPr="000403C3">
        <w:rPr>
          <w:rFonts w:asciiTheme="minorHAnsi" w:hAnsiTheme="minorHAnsi"/>
        </w:rPr>
        <w:t>a</w:t>
      </w:r>
      <w:r w:rsidR="00351E39" w:rsidRPr="000403C3">
        <w:rPr>
          <w:rFonts w:asciiTheme="minorHAnsi" w:hAnsiTheme="minorHAnsi"/>
        </w:rPr>
        <w:t>ll-site cancer incidence rate was</w:t>
      </w:r>
      <w:r w:rsidRPr="000403C3">
        <w:rPr>
          <w:rFonts w:asciiTheme="minorHAnsi" w:hAnsiTheme="minorHAnsi"/>
        </w:rPr>
        <w:t xml:space="preserve"> highest for </w:t>
      </w:r>
      <w:r w:rsidR="00AC71E3">
        <w:rPr>
          <w:rFonts w:asciiTheme="minorHAnsi" w:hAnsiTheme="minorHAnsi"/>
        </w:rPr>
        <w:t>non</w:t>
      </w:r>
      <w:r w:rsidR="00332072" w:rsidRPr="000403C3">
        <w:rPr>
          <w:rFonts w:asciiTheme="minorHAnsi" w:hAnsiTheme="minorHAnsi"/>
        </w:rPr>
        <w:t xml:space="preserve">-Hispanic </w:t>
      </w:r>
      <w:r w:rsidR="00BB3D69" w:rsidRPr="000403C3">
        <w:rPr>
          <w:rFonts w:asciiTheme="minorHAnsi" w:hAnsiTheme="minorHAnsi"/>
        </w:rPr>
        <w:t>White</w:t>
      </w:r>
      <w:r w:rsidR="00BF1033">
        <w:rPr>
          <w:rFonts w:asciiTheme="minorHAnsi" w:hAnsiTheme="minorHAnsi"/>
        </w:rPr>
        <w:t>,</w:t>
      </w:r>
      <w:r w:rsidR="00044AFB">
        <w:rPr>
          <w:rFonts w:asciiTheme="minorHAnsi" w:hAnsiTheme="minorHAnsi"/>
        </w:rPr>
        <w:t xml:space="preserve"> Hispanic</w:t>
      </w:r>
      <w:r w:rsidR="00F34CB7">
        <w:rPr>
          <w:rFonts w:asciiTheme="minorHAnsi" w:hAnsiTheme="minorHAnsi"/>
        </w:rPr>
        <w:t>,</w:t>
      </w:r>
      <w:r w:rsidR="00044AFB">
        <w:rPr>
          <w:rFonts w:asciiTheme="minorHAnsi" w:hAnsiTheme="minorHAnsi"/>
        </w:rPr>
        <w:t xml:space="preserve"> </w:t>
      </w:r>
      <w:r w:rsidR="00BF1033">
        <w:rPr>
          <w:rFonts w:asciiTheme="minorHAnsi" w:hAnsiTheme="minorHAnsi"/>
        </w:rPr>
        <w:t>and</w:t>
      </w:r>
      <w:r w:rsidR="007C768A" w:rsidRPr="000403C3">
        <w:rPr>
          <w:rFonts w:asciiTheme="minorHAnsi" w:hAnsiTheme="minorHAnsi"/>
        </w:rPr>
        <w:t xml:space="preserve"> </w:t>
      </w:r>
      <w:r w:rsidR="00AC71E3">
        <w:rPr>
          <w:rFonts w:asciiTheme="minorHAnsi" w:hAnsiTheme="minorHAnsi"/>
        </w:rPr>
        <w:t>non</w:t>
      </w:r>
      <w:r w:rsidR="007C768A" w:rsidRPr="000403C3">
        <w:rPr>
          <w:rFonts w:asciiTheme="minorHAnsi" w:hAnsiTheme="minorHAnsi"/>
        </w:rPr>
        <w:t xml:space="preserve">-Hispanic </w:t>
      </w:r>
      <w:r w:rsidR="00BB3D69" w:rsidRPr="000403C3">
        <w:rPr>
          <w:rFonts w:asciiTheme="minorHAnsi" w:hAnsiTheme="minorHAnsi"/>
        </w:rPr>
        <w:t>Black</w:t>
      </w:r>
      <w:r w:rsidR="007C768A" w:rsidRPr="000403C3">
        <w:rPr>
          <w:rFonts w:asciiTheme="minorHAnsi" w:hAnsiTheme="minorHAnsi"/>
        </w:rPr>
        <w:t xml:space="preserve"> </w:t>
      </w:r>
      <w:r w:rsidR="007C768A" w:rsidRPr="00E778EA">
        <w:rPr>
          <w:rFonts w:asciiTheme="minorHAnsi" w:hAnsiTheme="minorHAnsi"/>
        </w:rPr>
        <w:t>females</w:t>
      </w:r>
      <w:r w:rsidR="007C768A" w:rsidRPr="001378BB">
        <w:rPr>
          <w:rFonts w:asciiTheme="minorHAnsi" w:hAnsiTheme="minorHAnsi"/>
        </w:rPr>
        <w:t xml:space="preserve"> </w:t>
      </w:r>
      <w:r w:rsidR="00BF1033">
        <w:rPr>
          <w:rFonts w:asciiTheme="minorHAnsi" w:hAnsiTheme="minorHAnsi"/>
        </w:rPr>
        <w:t xml:space="preserve">between </w:t>
      </w:r>
      <w:r w:rsidR="00CC5DA4" w:rsidRPr="000403C3">
        <w:rPr>
          <w:rFonts w:asciiTheme="minorHAnsi" w:hAnsiTheme="minorHAnsi"/>
        </w:rPr>
        <w:t>7</w:t>
      </w:r>
      <w:r w:rsidR="00044AFB">
        <w:rPr>
          <w:rFonts w:asciiTheme="minorHAnsi" w:hAnsiTheme="minorHAnsi"/>
        </w:rPr>
        <w:t>5</w:t>
      </w:r>
      <w:r w:rsidR="00CC5DA4" w:rsidRPr="000403C3">
        <w:rPr>
          <w:rFonts w:asciiTheme="minorHAnsi" w:hAnsiTheme="minorHAnsi"/>
        </w:rPr>
        <w:t xml:space="preserve"> and 84</w:t>
      </w:r>
      <w:r w:rsidR="007C768A" w:rsidRPr="000403C3">
        <w:rPr>
          <w:rFonts w:asciiTheme="minorHAnsi" w:hAnsiTheme="minorHAnsi"/>
        </w:rPr>
        <w:t xml:space="preserve"> </w:t>
      </w:r>
      <w:r w:rsidR="00740E15" w:rsidRPr="000403C3">
        <w:rPr>
          <w:rFonts w:asciiTheme="minorHAnsi" w:hAnsiTheme="minorHAnsi"/>
        </w:rPr>
        <w:t>years.</w:t>
      </w:r>
      <w:r w:rsidR="007C768A" w:rsidRPr="000403C3" w:rsidDel="007C768A">
        <w:rPr>
          <w:rFonts w:asciiTheme="minorHAnsi" w:hAnsiTheme="minorHAnsi"/>
        </w:rPr>
        <w:t xml:space="preserve"> </w:t>
      </w:r>
    </w:p>
    <w:p w14:paraId="18C387EB" w14:textId="77777777" w:rsidR="00ED380F" w:rsidRDefault="00ED380F" w:rsidP="00ED380F">
      <w:pPr>
        <w:spacing w:after="120" w:line="240" w:lineRule="auto"/>
      </w:pPr>
    </w:p>
    <w:p w14:paraId="6C1EFA94" w14:textId="77777777" w:rsidR="00197216" w:rsidRDefault="00197216" w:rsidP="00ED380F">
      <w:pPr>
        <w:spacing w:after="120" w:line="240" w:lineRule="auto"/>
      </w:pPr>
    </w:p>
    <w:p w14:paraId="7C964AC6" w14:textId="77777777" w:rsidR="00BF1033" w:rsidRPr="001916B4" w:rsidRDefault="00BF1033" w:rsidP="00ED380F">
      <w:pPr>
        <w:spacing w:after="120" w:line="240" w:lineRule="auto"/>
      </w:pPr>
    </w:p>
    <w:p w14:paraId="12F8F2DA" w14:textId="1C958C98" w:rsidR="003E5C0A" w:rsidRPr="00CE3F54" w:rsidRDefault="003E5C0A" w:rsidP="00E01C9E">
      <w:pPr>
        <w:pStyle w:val="Heading2"/>
      </w:pPr>
      <w:r w:rsidRPr="000403C3">
        <w:lastRenderedPageBreak/>
        <w:t>Mortality</w:t>
      </w:r>
    </w:p>
    <w:tbl>
      <w:tblPr>
        <w:tblStyle w:val="ColorfulList-Accent2"/>
        <w:tblW w:w="0" w:type="auto"/>
        <w:jc w:val="center"/>
        <w:tblLook w:val="04A0" w:firstRow="1" w:lastRow="0" w:firstColumn="1" w:lastColumn="0" w:noHBand="0" w:noVBand="1"/>
      </w:tblPr>
      <w:tblGrid>
        <w:gridCol w:w="8820"/>
      </w:tblGrid>
      <w:tr w:rsidR="003E5C0A" w:rsidRPr="00CE3F54" w14:paraId="74AA40AC" w14:textId="77777777" w:rsidTr="004B6EA0">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8820" w:type="dxa"/>
          </w:tcPr>
          <w:p w14:paraId="7389485E" w14:textId="06A4546C" w:rsidR="003E5C0A" w:rsidRPr="00CE3F54" w:rsidRDefault="00BA2491" w:rsidP="00390946">
            <w:pPr>
              <w:jc w:val="center"/>
              <w:rPr>
                <w:rFonts w:asciiTheme="minorHAnsi" w:hAnsiTheme="minorHAnsi"/>
              </w:rPr>
            </w:pPr>
            <w:r w:rsidRPr="00CE3F54">
              <w:rPr>
                <w:rFonts w:asciiTheme="minorHAnsi" w:hAnsiTheme="minorHAnsi"/>
              </w:rPr>
              <w:t xml:space="preserve">For </w:t>
            </w:r>
            <w:r>
              <w:rPr>
                <w:rFonts w:asciiTheme="minorHAnsi" w:hAnsiTheme="minorHAnsi"/>
              </w:rPr>
              <w:t>201</w:t>
            </w:r>
            <w:r w:rsidR="00710929">
              <w:rPr>
                <w:rFonts w:asciiTheme="minorHAnsi" w:hAnsiTheme="minorHAnsi"/>
              </w:rPr>
              <w:t>7</w:t>
            </w:r>
            <w:r>
              <w:rPr>
                <w:rFonts w:asciiTheme="minorHAnsi" w:hAnsiTheme="minorHAnsi"/>
              </w:rPr>
              <w:t>-20</w:t>
            </w:r>
            <w:r w:rsidR="0059282D">
              <w:rPr>
                <w:rFonts w:asciiTheme="minorHAnsi" w:hAnsiTheme="minorHAnsi"/>
              </w:rPr>
              <w:t>2</w:t>
            </w:r>
            <w:r w:rsidR="00710929">
              <w:rPr>
                <w:rFonts w:asciiTheme="minorHAnsi" w:hAnsiTheme="minorHAnsi"/>
              </w:rPr>
              <w:t>1</w:t>
            </w:r>
            <w:r w:rsidRPr="00CE3F54">
              <w:rPr>
                <w:rFonts w:asciiTheme="minorHAnsi" w:hAnsiTheme="minorHAnsi"/>
              </w:rPr>
              <w:t xml:space="preserve">, Delaware ranked </w:t>
            </w:r>
            <w:r w:rsidRPr="002E35B2">
              <w:rPr>
                <w:rFonts w:asciiTheme="minorHAnsi" w:hAnsiTheme="minorHAnsi"/>
              </w:rPr>
              <w:t>1</w:t>
            </w:r>
            <w:r w:rsidR="00710929">
              <w:rPr>
                <w:rFonts w:asciiTheme="minorHAnsi" w:hAnsiTheme="minorHAnsi"/>
              </w:rPr>
              <w:t>6</w:t>
            </w:r>
            <w:r w:rsidRPr="002E35B2">
              <w:rPr>
                <w:rFonts w:asciiTheme="minorHAnsi" w:hAnsiTheme="minorHAnsi"/>
                <w:vertAlign w:val="superscript"/>
              </w:rPr>
              <w:t>th</w:t>
            </w:r>
            <w:r w:rsidRPr="002E35B2">
              <w:rPr>
                <w:rFonts w:asciiTheme="minorHAnsi" w:hAnsiTheme="minorHAnsi"/>
              </w:rPr>
              <w:t xml:space="preserve"> in the U.S. for all-site cancer mortality (1</w:t>
            </w:r>
            <w:r w:rsidR="00B86550">
              <w:rPr>
                <w:rFonts w:asciiTheme="minorHAnsi" w:hAnsiTheme="minorHAnsi"/>
              </w:rPr>
              <w:t>5</w:t>
            </w:r>
            <w:r w:rsidRPr="002E35B2">
              <w:rPr>
                <w:rFonts w:asciiTheme="minorHAnsi" w:hAnsiTheme="minorHAnsi"/>
                <w:vertAlign w:val="superscript"/>
              </w:rPr>
              <w:t>th</w:t>
            </w:r>
            <w:r w:rsidRPr="002E35B2">
              <w:rPr>
                <w:rFonts w:asciiTheme="minorHAnsi" w:hAnsiTheme="minorHAnsi"/>
              </w:rPr>
              <w:t xml:space="preserve"> in 201</w:t>
            </w:r>
            <w:r w:rsidR="00710929">
              <w:rPr>
                <w:rFonts w:asciiTheme="minorHAnsi" w:hAnsiTheme="minorHAnsi"/>
              </w:rPr>
              <w:t>6</w:t>
            </w:r>
            <w:r w:rsidRPr="002E35B2">
              <w:rPr>
                <w:rFonts w:asciiTheme="minorHAnsi" w:hAnsiTheme="minorHAnsi"/>
              </w:rPr>
              <w:t>-20</w:t>
            </w:r>
            <w:r w:rsidR="00710929">
              <w:rPr>
                <w:rFonts w:asciiTheme="minorHAnsi" w:hAnsiTheme="minorHAnsi"/>
              </w:rPr>
              <w:t>20</w:t>
            </w:r>
            <w:r w:rsidRPr="002E35B2">
              <w:rPr>
                <w:rFonts w:asciiTheme="minorHAnsi" w:hAnsiTheme="minorHAnsi"/>
              </w:rPr>
              <w:t xml:space="preserve">); males ranked </w:t>
            </w:r>
            <w:r>
              <w:rPr>
                <w:rFonts w:asciiTheme="minorHAnsi" w:hAnsiTheme="minorHAnsi"/>
              </w:rPr>
              <w:t>1</w:t>
            </w:r>
            <w:r w:rsidR="00E6669C">
              <w:rPr>
                <w:rFonts w:asciiTheme="minorHAnsi" w:hAnsiTheme="minorHAnsi"/>
              </w:rPr>
              <w:t>6</w:t>
            </w:r>
            <w:r w:rsidRPr="002E35B2">
              <w:rPr>
                <w:rFonts w:asciiTheme="minorHAnsi" w:hAnsiTheme="minorHAnsi"/>
                <w:vertAlign w:val="superscript"/>
              </w:rPr>
              <w:t>th</w:t>
            </w:r>
            <w:r w:rsidRPr="002E35B2">
              <w:rPr>
                <w:rFonts w:asciiTheme="minorHAnsi" w:hAnsiTheme="minorHAnsi"/>
              </w:rPr>
              <w:t xml:space="preserve"> (</w:t>
            </w:r>
            <w:r>
              <w:rPr>
                <w:rFonts w:asciiTheme="minorHAnsi" w:hAnsiTheme="minorHAnsi"/>
              </w:rPr>
              <w:t>1</w:t>
            </w:r>
            <w:r w:rsidR="0059282D">
              <w:rPr>
                <w:rFonts w:asciiTheme="minorHAnsi" w:hAnsiTheme="minorHAnsi"/>
              </w:rPr>
              <w:t>4</w:t>
            </w:r>
            <w:r w:rsidRPr="001475EB">
              <w:rPr>
                <w:rFonts w:asciiTheme="minorHAnsi" w:hAnsiTheme="minorHAnsi"/>
                <w:vertAlign w:val="superscript"/>
              </w:rPr>
              <w:t>th</w:t>
            </w:r>
            <w:r w:rsidRPr="002E35B2">
              <w:rPr>
                <w:rFonts w:asciiTheme="minorHAnsi" w:hAnsiTheme="minorHAnsi"/>
              </w:rPr>
              <w:t xml:space="preserve"> in 201</w:t>
            </w:r>
            <w:r w:rsidR="00E6669C">
              <w:rPr>
                <w:rFonts w:asciiTheme="minorHAnsi" w:hAnsiTheme="minorHAnsi"/>
              </w:rPr>
              <w:t>6</w:t>
            </w:r>
            <w:r w:rsidRPr="002E35B2">
              <w:rPr>
                <w:rFonts w:asciiTheme="minorHAnsi" w:hAnsiTheme="minorHAnsi"/>
              </w:rPr>
              <w:t>-20</w:t>
            </w:r>
            <w:r w:rsidR="00E6669C">
              <w:rPr>
                <w:rFonts w:asciiTheme="minorHAnsi" w:hAnsiTheme="minorHAnsi"/>
              </w:rPr>
              <w:t>20</w:t>
            </w:r>
            <w:r w:rsidRPr="002E35B2">
              <w:rPr>
                <w:rFonts w:asciiTheme="minorHAnsi" w:hAnsiTheme="minorHAnsi"/>
              </w:rPr>
              <w:t xml:space="preserve">) and females ranked </w:t>
            </w:r>
            <w:r w:rsidR="00E6669C">
              <w:rPr>
                <w:rFonts w:asciiTheme="minorHAnsi" w:hAnsiTheme="minorHAnsi"/>
              </w:rPr>
              <w:t>22</w:t>
            </w:r>
            <w:r w:rsidR="00E6669C" w:rsidRPr="00E6669C">
              <w:rPr>
                <w:rFonts w:asciiTheme="minorHAnsi" w:hAnsiTheme="minorHAnsi"/>
                <w:vertAlign w:val="superscript"/>
              </w:rPr>
              <w:t>nd</w:t>
            </w:r>
            <w:r w:rsidRPr="00E6669C">
              <w:rPr>
                <w:rFonts w:asciiTheme="minorHAnsi" w:hAnsiTheme="minorHAnsi"/>
                <w:vertAlign w:val="superscript"/>
              </w:rPr>
              <w:t xml:space="preserve"> </w:t>
            </w:r>
            <w:r w:rsidRPr="002E35B2">
              <w:rPr>
                <w:rFonts w:asciiTheme="minorHAnsi" w:hAnsiTheme="minorHAnsi"/>
              </w:rPr>
              <w:t>(1</w:t>
            </w:r>
            <w:r w:rsidR="00E6669C">
              <w:rPr>
                <w:rFonts w:asciiTheme="minorHAnsi" w:hAnsiTheme="minorHAnsi"/>
              </w:rPr>
              <w:t>9</w:t>
            </w:r>
            <w:r w:rsidR="00E6669C" w:rsidRPr="00E6669C">
              <w:rPr>
                <w:rFonts w:asciiTheme="minorHAnsi" w:hAnsiTheme="minorHAnsi"/>
                <w:vertAlign w:val="superscript"/>
              </w:rPr>
              <w:t>t</w:t>
            </w:r>
            <w:r w:rsidRPr="00E6669C">
              <w:rPr>
                <w:rFonts w:asciiTheme="minorHAnsi" w:hAnsiTheme="minorHAnsi"/>
                <w:vertAlign w:val="superscript"/>
              </w:rPr>
              <w:t xml:space="preserve">h </w:t>
            </w:r>
            <w:r w:rsidRPr="002E35B2">
              <w:rPr>
                <w:rFonts w:asciiTheme="minorHAnsi" w:hAnsiTheme="minorHAnsi"/>
              </w:rPr>
              <w:t>in</w:t>
            </w:r>
            <w:r w:rsidRPr="00CE3F54">
              <w:rPr>
                <w:rFonts w:asciiTheme="minorHAnsi" w:hAnsiTheme="minorHAnsi"/>
              </w:rPr>
              <w:t xml:space="preserve"> 20</w:t>
            </w:r>
            <w:r>
              <w:rPr>
                <w:rFonts w:asciiTheme="minorHAnsi" w:hAnsiTheme="minorHAnsi"/>
              </w:rPr>
              <w:t>1</w:t>
            </w:r>
            <w:r w:rsidR="00986611">
              <w:rPr>
                <w:rFonts w:asciiTheme="minorHAnsi" w:hAnsiTheme="minorHAnsi"/>
              </w:rPr>
              <w:t>6</w:t>
            </w:r>
            <w:r w:rsidRPr="00CE3F54">
              <w:rPr>
                <w:rFonts w:asciiTheme="minorHAnsi" w:hAnsiTheme="minorHAnsi"/>
              </w:rPr>
              <w:t>-20</w:t>
            </w:r>
            <w:r w:rsidR="00ED600D">
              <w:rPr>
                <w:rFonts w:asciiTheme="minorHAnsi" w:hAnsiTheme="minorHAnsi"/>
              </w:rPr>
              <w:t>20</w:t>
            </w:r>
            <w:r w:rsidRPr="00CE3F54">
              <w:rPr>
                <w:rFonts w:asciiTheme="minorHAnsi" w:hAnsiTheme="minorHAnsi"/>
              </w:rPr>
              <w:t>)</w:t>
            </w:r>
            <w:bookmarkStart w:id="28" w:name="_Ref445985831"/>
            <w:r>
              <w:rPr>
                <w:rStyle w:val="FootnoteReference"/>
                <w:rFonts w:asciiTheme="minorHAnsi" w:hAnsiTheme="minorHAnsi"/>
              </w:rPr>
              <w:footnoteReference w:id="13"/>
            </w:r>
            <w:bookmarkEnd w:id="28"/>
            <w:r w:rsidRPr="00CE3F54">
              <w:rPr>
                <w:rFonts w:asciiTheme="minorHAnsi" w:hAnsiTheme="minorHAnsi"/>
              </w:rPr>
              <w:t>.</w:t>
            </w:r>
          </w:p>
        </w:tc>
      </w:tr>
    </w:tbl>
    <w:p w14:paraId="427FF082" w14:textId="6F85ABB5" w:rsidR="003E5C0A" w:rsidRPr="00CE3F54" w:rsidRDefault="00D403E9" w:rsidP="000C02FF">
      <w:pPr>
        <w:pStyle w:val="StyleNew1"/>
        <w:rPr>
          <w:rFonts w:asciiTheme="minorHAnsi" w:hAnsiTheme="minorHAnsi"/>
        </w:rPr>
      </w:pPr>
      <w:r>
        <w:rPr>
          <w:rFonts w:asciiTheme="minorHAnsi" w:hAnsiTheme="minorHAnsi"/>
        </w:rPr>
        <w:t>201</w:t>
      </w:r>
      <w:r w:rsidR="00F27192">
        <w:rPr>
          <w:rFonts w:asciiTheme="minorHAnsi" w:hAnsiTheme="minorHAnsi"/>
        </w:rPr>
        <w:t>7</w:t>
      </w:r>
      <w:r>
        <w:rPr>
          <w:rFonts w:asciiTheme="minorHAnsi" w:hAnsiTheme="minorHAnsi"/>
        </w:rPr>
        <w:t>-20</w:t>
      </w:r>
      <w:r w:rsidR="001A11F6">
        <w:rPr>
          <w:rFonts w:asciiTheme="minorHAnsi" w:hAnsiTheme="minorHAnsi"/>
        </w:rPr>
        <w:t>2</w:t>
      </w:r>
      <w:r w:rsidR="00F27192">
        <w:rPr>
          <w:rFonts w:asciiTheme="minorHAnsi" w:hAnsiTheme="minorHAnsi"/>
        </w:rPr>
        <w:t>1</w:t>
      </w:r>
      <w:r w:rsidR="003E5C0A" w:rsidRPr="00CE3F54">
        <w:rPr>
          <w:rFonts w:asciiTheme="minorHAnsi" w:hAnsiTheme="minorHAnsi"/>
        </w:rPr>
        <w:t xml:space="preserve"> Data </w:t>
      </w:r>
    </w:p>
    <w:p w14:paraId="592890CC" w14:textId="24A1EABB" w:rsidR="00821945" w:rsidRPr="000403C3" w:rsidRDefault="003E5C0A" w:rsidP="00DF3257">
      <w:pPr>
        <w:pStyle w:val="Caption"/>
        <w:spacing w:after="0" w:line="240" w:lineRule="auto"/>
        <w:jc w:val="center"/>
        <w:rPr>
          <w:rFonts w:asciiTheme="minorHAnsi" w:hAnsiTheme="minorHAnsi"/>
          <w:b/>
          <w:sz w:val="22"/>
        </w:rPr>
      </w:pPr>
      <w:r w:rsidRPr="000403C3">
        <w:rPr>
          <w:rFonts w:asciiTheme="minorHAnsi" w:hAnsiTheme="minorHAnsi"/>
          <w:b/>
          <w:sz w:val="22"/>
        </w:rPr>
        <w:t xml:space="preserve">Table </w:t>
      </w:r>
      <w:r w:rsidR="001A19D6" w:rsidRPr="000403C3">
        <w:rPr>
          <w:rFonts w:asciiTheme="minorHAnsi" w:hAnsiTheme="minorHAnsi"/>
          <w:b/>
          <w:sz w:val="22"/>
        </w:rPr>
        <w:fldChar w:fldCharType="begin"/>
      </w:r>
      <w:r w:rsidR="001A19D6" w:rsidRPr="000403C3">
        <w:rPr>
          <w:rFonts w:asciiTheme="minorHAnsi" w:hAnsiTheme="minorHAnsi"/>
          <w:b/>
          <w:sz w:val="22"/>
        </w:rPr>
        <w:instrText xml:space="preserve"> STYLEREF 1 \s </w:instrText>
      </w:r>
      <w:r w:rsidR="001A19D6" w:rsidRPr="000403C3">
        <w:rPr>
          <w:rFonts w:asciiTheme="minorHAnsi" w:hAnsiTheme="minorHAnsi"/>
          <w:b/>
          <w:sz w:val="22"/>
        </w:rPr>
        <w:fldChar w:fldCharType="separate"/>
      </w:r>
      <w:r w:rsidR="006C24CC">
        <w:rPr>
          <w:rFonts w:asciiTheme="minorHAnsi" w:hAnsiTheme="minorHAnsi"/>
          <w:b/>
          <w:noProof/>
          <w:sz w:val="22"/>
        </w:rPr>
        <w:t>2</w:t>
      </w:r>
      <w:r w:rsidR="001A19D6" w:rsidRPr="000403C3">
        <w:rPr>
          <w:rFonts w:asciiTheme="minorHAnsi" w:hAnsiTheme="minorHAnsi"/>
          <w:b/>
          <w:sz w:val="22"/>
        </w:rPr>
        <w:fldChar w:fldCharType="end"/>
      </w:r>
      <w:r w:rsidR="001A19D6" w:rsidRPr="000403C3">
        <w:rPr>
          <w:rFonts w:asciiTheme="minorHAnsi" w:hAnsiTheme="minorHAnsi"/>
          <w:b/>
          <w:sz w:val="22"/>
        </w:rPr>
        <w:noBreakHyphen/>
      </w:r>
      <w:r w:rsidR="001A19D6" w:rsidRPr="000403C3">
        <w:rPr>
          <w:rFonts w:asciiTheme="minorHAnsi" w:hAnsiTheme="minorHAnsi"/>
          <w:b/>
          <w:sz w:val="22"/>
        </w:rPr>
        <w:fldChar w:fldCharType="begin"/>
      </w:r>
      <w:r w:rsidR="001A19D6" w:rsidRPr="000403C3">
        <w:rPr>
          <w:rFonts w:asciiTheme="minorHAnsi" w:hAnsiTheme="minorHAnsi"/>
          <w:b/>
          <w:sz w:val="22"/>
        </w:rPr>
        <w:instrText xml:space="preserve"> SEQ Table \* ARABIC \s 1 </w:instrText>
      </w:r>
      <w:r w:rsidR="001A19D6" w:rsidRPr="000403C3">
        <w:rPr>
          <w:rFonts w:asciiTheme="minorHAnsi" w:hAnsiTheme="minorHAnsi"/>
          <w:b/>
          <w:sz w:val="22"/>
        </w:rPr>
        <w:fldChar w:fldCharType="separate"/>
      </w:r>
      <w:r w:rsidR="006C24CC">
        <w:rPr>
          <w:rFonts w:asciiTheme="minorHAnsi" w:hAnsiTheme="minorHAnsi"/>
          <w:b/>
          <w:noProof/>
          <w:sz w:val="22"/>
        </w:rPr>
        <w:t>4</w:t>
      </w:r>
      <w:r w:rsidR="001A19D6" w:rsidRPr="000403C3">
        <w:rPr>
          <w:rFonts w:asciiTheme="minorHAnsi" w:hAnsiTheme="minorHAnsi"/>
          <w:b/>
          <w:sz w:val="22"/>
        </w:rPr>
        <w:fldChar w:fldCharType="end"/>
      </w:r>
      <w:r w:rsidRPr="000403C3">
        <w:rPr>
          <w:rFonts w:asciiTheme="minorHAnsi" w:hAnsiTheme="minorHAnsi"/>
          <w:b/>
          <w:sz w:val="22"/>
        </w:rPr>
        <w:t xml:space="preserve">: Number of All-site cancer DEATHS, </w:t>
      </w:r>
      <w:r w:rsidR="00315A11" w:rsidRPr="000403C3">
        <w:rPr>
          <w:rFonts w:asciiTheme="minorHAnsi" w:hAnsiTheme="minorHAnsi"/>
          <w:b/>
          <w:sz w:val="22"/>
        </w:rPr>
        <w:t>BY SEX AND RACE/ETHNICITY</w:t>
      </w:r>
      <w:r w:rsidRPr="000403C3">
        <w:rPr>
          <w:rFonts w:asciiTheme="minorHAnsi" w:hAnsiTheme="minorHAnsi"/>
          <w:b/>
          <w:sz w:val="22"/>
        </w:rPr>
        <w:t>;</w:t>
      </w:r>
    </w:p>
    <w:p w14:paraId="413A85F7" w14:textId="15F80AAF" w:rsidR="003E5C0A" w:rsidRPr="00CE3F54" w:rsidRDefault="003E5C0A" w:rsidP="006D51FB">
      <w:pPr>
        <w:pStyle w:val="Caption"/>
        <w:spacing w:after="120" w:line="240" w:lineRule="auto"/>
        <w:jc w:val="center"/>
        <w:rPr>
          <w:rFonts w:asciiTheme="minorHAnsi" w:hAnsiTheme="minorHAnsi"/>
          <w:b/>
          <w:sz w:val="22"/>
        </w:rPr>
      </w:pPr>
      <w:r w:rsidRPr="000403C3">
        <w:rPr>
          <w:rFonts w:asciiTheme="minorHAnsi" w:hAnsiTheme="minorHAnsi"/>
          <w:b/>
          <w:sz w:val="22"/>
        </w:rPr>
        <w:t xml:space="preserve">Delaware and Counties, </w:t>
      </w:r>
      <w:r w:rsidR="00D403E9" w:rsidRPr="000403C3">
        <w:rPr>
          <w:rFonts w:asciiTheme="minorHAnsi" w:hAnsiTheme="minorHAnsi"/>
          <w:b/>
          <w:sz w:val="22"/>
        </w:rPr>
        <w:t>201</w:t>
      </w:r>
      <w:r w:rsidR="00F27192">
        <w:rPr>
          <w:rFonts w:asciiTheme="minorHAnsi" w:hAnsiTheme="minorHAnsi"/>
          <w:b/>
          <w:sz w:val="22"/>
        </w:rPr>
        <w:t>7</w:t>
      </w:r>
      <w:r w:rsidR="00D403E9" w:rsidRPr="000403C3">
        <w:rPr>
          <w:rFonts w:asciiTheme="minorHAnsi" w:hAnsiTheme="minorHAnsi"/>
          <w:b/>
          <w:sz w:val="22"/>
        </w:rPr>
        <w:t>-20</w:t>
      </w:r>
      <w:r w:rsidR="00640DA0">
        <w:rPr>
          <w:rFonts w:asciiTheme="minorHAnsi" w:hAnsiTheme="minorHAnsi"/>
          <w:b/>
          <w:sz w:val="22"/>
        </w:rPr>
        <w:t>2</w:t>
      </w:r>
      <w:r w:rsidR="00F27192">
        <w:rPr>
          <w:rFonts w:asciiTheme="minorHAnsi" w:hAnsiTheme="minorHAnsi"/>
          <w:b/>
          <w:sz w:val="22"/>
        </w:rPr>
        <w:t>1</w:t>
      </w:r>
    </w:p>
    <w:tbl>
      <w:tblPr>
        <w:tblStyle w:val="MediumGrid1-Accent2"/>
        <w:tblW w:w="9450" w:type="dxa"/>
        <w:jc w:val="center"/>
        <w:tblLayout w:type="fixed"/>
        <w:tblLook w:val="04A0" w:firstRow="1" w:lastRow="0" w:firstColumn="1" w:lastColumn="0" w:noHBand="0" w:noVBand="1"/>
      </w:tblPr>
      <w:tblGrid>
        <w:gridCol w:w="1070"/>
        <w:gridCol w:w="720"/>
        <w:gridCol w:w="630"/>
        <w:gridCol w:w="810"/>
        <w:gridCol w:w="630"/>
        <w:gridCol w:w="630"/>
        <w:gridCol w:w="810"/>
        <w:gridCol w:w="630"/>
        <w:gridCol w:w="640"/>
        <w:gridCol w:w="900"/>
        <w:gridCol w:w="540"/>
        <w:gridCol w:w="630"/>
        <w:gridCol w:w="810"/>
      </w:tblGrid>
      <w:tr w:rsidR="00CE377D" w:rsidRPr="00CE377D" w14:paraId="1E1592F4" w14:textId="77777777" w:rsidTr="002568BD">
        <w:trPr>
          <w:cnfStyle w:val="100000000000" w:firstRow="1" w:lastRow="0" w:firstColumn="0" w:lastColumn="0" w:oddVBand="0" w:evenVBand="0" w:oddHBand="0"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070" w:type="dxa"/>
          </w:tcPr>
          <w:p w14:paraId="530DD2A7" w14:textId="77777777" w:rsidR="00C27F86" w:rsidRPr="00554873" w:rsidRDefault="00C27F86" w:rsidP="00364F0F">
            <w:pPr>
              <w:rPr>
                <w:rFonts w:asciiTheme="minorHAnsi" w:hAnsiTheme="minorHAnsi" w:cstheme="minorHAnsi"/>
                <w:sz w:val="18"/>
                <w:szCs w:val="18"/>
              </w:rPr>
            </w:pPr>
          </w:p>
        </w:tc>
        <w:tc>
          <w:tcPr>
            <w:tcW w:w="2160" w:type="dxa"/>
            <w:gridSpan w:val="3"/>
          </w:tcPr>
          <w:p w14:paraId="54573E36" w14:textId="77777777" w:rsidR="00C27F86" w:rsidRPr="00554873" w:rsidRDefault="00C27F86" w:rsidP="00364F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54873">
              <w:rPr>
                <w:rFonts w:asciiTheme="minorHAnsi" w:hAnsiTheme="minorHAnsi" w:cstheme="minorHAnsi"/>
                <w:sz w:val="18"/>
                <w:szCs w:val="18"/>
              </w:rPr>
              <w:t>All Races</w:t>
            </w:r>
          </w:p>
        </w:tc>
        <w:tc>
          <w:tcPr>
            <w:tcW w:w="2070" w:type="dxa"/>
            <w:gridSpan w:val="3"/>
          </w:tcPr>
          <w:p w14:paraId="31FA8CE3" w14:textId="6CBFBB2E" w:rsidR="00C27F86" w:rsidRPr="00554873" w:rsidRDefault="00C27F86" w:rsidP="00A0765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54873">
              <w:rPr>
                <w:rFonts w:asciiTheme="minorHAnsi" w:hAnsiTheme="minorHAnsi" w:cstheme="minorHAnsi"/>
                <w:sz w:val="18"/>
                <w:szCs w:val="18"/>
              </w:rPr>
              <w:t xml:space="preserve">Non-Hispanic </w:t>
            </w:r>
            <w:r w:rsidR="00BB3D69">
              <w:rPr>
                <w:rFonts w:asciiTheme="minorHAnsi" w:hAnsiTheme="minorHAnsi" w:cstheme="minorHAnsi"/>
                <w:sz w:val="18"/>
                <w:szCs w:val="18"/>
              </w:rPr>
              <w:t>White</w:t>
            </w:r>
          </w:p>
        </w:tc>
        <w:tc>
          <w:tcPr>
            <w:tcW w:w="2170" w:type="dxa"/>
            <w:gridSpan w:val="3"/>
          </w:tcPr>
          <w:p w14:paraId="73FBB030" w14:textId="4E6206A3" w:rsidR="00C27F86" w:rsidRPr="00554873" w:rsidRDefault="00C27F86" w:rsidP="00A0765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54873">
              <w:rPr>
                <w:rFonts w:asciiTheme="minorHAnsi" w:hAnsiTheme="minorHAnsi" w:cstheme="minorHAnsi"/>
                <w:sz w:val="18"/>
                <w:szCs w:val="18"/>
              </w:rPr>
              <w:t xml:space="preserve">Non-Hispanic </w:t>
            </w:r>
            <w:r w:rsidR="00BB3D69">
              <w:rPr>
                <w:rFonts w:asciiTheme="minorHAnsi" w:hAnsiTheme="minorHAnsi" w:cstheme="minorHAnsi"/>
                <w:sz w:val="18"/>
                <w:szCs w:val="18"/>
              </w:rPr>
              <w:t>Black</w:t>
            </w:r>
          </w:p>
        </w:tc>
        <w:tc>
          <w:tcPr>
            <w:tcW w:w="1980" w:type="dxa"/>
            <w:gridSpan w:val="3"/>
          </w:tcPr>
          <w:p w14:paraId="19A30578" w14:textId="77777777" w:rsidR="00C27F86" w:rsidRPr="00554873" w:rsidRDefault="00C27F86" w:rsidP="00364F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54873">
              <w:rPr>
                <w:rFonts w:asciiTheme="minorHAnsi" w:hAnsiTheme="minorHAnsi" w:cstheme="minorHAnsi"/>
                <w:sz w:val="18"/>
                <w:szCs w:val="18"/>
              </w:rPr>
              <w:t>Hispanic</w:t>
            </w:r>
          </w:p>
        </w:tc>
      </w:tr>
      <w:tr w:rsidR="00CE377D" w:rsidRPr="00CE377D" w14:paraId="0514CB89" w14:textId="77777777" w:rsidTr="00BE048B">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070" w:type="dxa"/>
          </w:tcPr>
          <w:p w14:paraId="3CB3639F" w14:textId="77777777" w:rsidR="00C27F86" w:rsidRPr="00554873" w:rsidRDefault="00C27F86" w:rsidP="00364F0F">
            <w:pPr>
              <w:rPr>
                <w:rFonts w:asciiTheme="minorHAnsi" w:hAnsiTheme="minorHAnsi" w:cstheme="minorHAnsi"/>
                <w:sz w:val="18"/>
                <w:szCs w:val="18"/>
              </w:rPr>
            </w:pPr>
          </w:p>
        </w:tc>
        <w:tc>
          <w:tcPr>
            <w:tcW w:w="720" w:type="dxa"/>
          </w:tcPr>
          <w:p w14:paraId="4901A174" w14:textId="77777777" w:rsidR="00C27F86" w:rsidRPr="00554873" w:rsidRDefault="00C27F86" w:rsidP="00364F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All</w:t>
            </w:r>
          </w:p>
        </w:tc>
        <w:tc>
          <w:tcPr>
            <w:tcW w:w="630" w:type="dxa"/>
          </w:tcPr>
          <w:p w14:paraId="5E9BBF0C" w14:textId="77777777" w:rsidR="00C27F86" w:rsidRPr="00554873" w:rsidRDefault="00C27F86" w:rsidP="00364F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Male</w:t>
            </w:r>
          </w:p>
        </w:tc>
        <w:tc>
          <w:tcPr>
            <w:tcW w:w="810" w:type="dxa"/>
          </w:tcPr>
          <w:p w14:paraId="17FD1C62" w14:textId="77777777" w:rsidR="00C27F86" w:rsidRPr="00554873" w:rsidRDefault="00C27F86" w:rsidP="00364F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Female</w:t>
            </w:r>
          </w:p>
        </w:tc>
        <w:tc>
          <w:tcPr>
            <w:tcW w:w="630" w:type="dxa"/>
          </w:tcPr>
          <w:p w14:paraId="64369A17" w14:textId="77777777" w:rsidR="00C27F86" w:rsidRPr="00554873" w:rsidRDefault="00C27F86" w:rsidP="00364F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All</w:t>
            </w:r>
          </w:p>
        </w:tc>
        <w:tc>
          <w:tcPr>
            <w:tcW w:w="630" w:type="dxa"/>
          </w:tcPr>
          <w:p w14:paraId="1DC250EE" w14:textId="77777777" w:rsidR="00C27F86" w:rsidRPr="00554873" w:rsidRDefault="00C27F86" w:rsidP="00364F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Male</w:t>
            </w:r>
          </w:p>
        </w:tc>
        <w:tc>
          <w:tcPr>
            <w:tcW w:w="810" w:type="dxa"/>
          </w:tcPr>
          <w:p w14:paraId="42A77581" w14:textId="77777777" w:rsidR="00C27F86" w:rsidRPr="00554873" w:rsidRDefault="00C27F86" w:rsidP="00364F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Female</w:t>
            </w:r>
          </w:p>
        </w:tc>
        <w:tc>
          <w:tcPr>
            <w:tcW w:w="630" w:type="dxa"/>
          </w:tcPr>
          <w:p w14:paraId="2D53B4CD" w14:textId="77777777" w:rsidR="00C27F86" w:rsidRPr="00554873" w:rsidRDefault="00C27F86" w:rsidP="00364F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All</w:t>
            </w:r>
          </w:p>
        </w:tc>
        <w:tc>
          <w:tcPr>
            <w:tcW w:w="640" w:type="dxa"/>
          </w:tcPr>
          <w:p w14:paraId="7F4BD544" w14:textId="77777777" w:rsidR="00C27F86" w:rsidRPr="00554873" w:rsidRDefault="00C27F86" w:rsidP="00364F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Male</w:t>
            </w:r>
          </w:p>
        </w:tc>
        <w:tc>
          <w:tcPr>
            <w:tcW w:w="900" w:type="dxa"/>
          </w:tcPr>
          <w:p w14:paraId="1B4185C5" w14:textId="77777777" w:rsidR="00C27F86" w:rsidRPr="00554873" w:rsidRDefault="00C27F86" w:rsidP="00364F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Female</w:t>
            </w:r>
          </w:p>
        </w:tc>
        <w:tc>
          <w:tcPr>
            <w:tcW w:w="540" w:type="dxa"/>
          </w:tcPr>
          <w:p w14:paraId="3BB597FB" w14:textId="77777777" w:rsidR="00C27F86" w:rsidRPr="00554873" w:rsidRDefault="00C27F86" w:rsidP="00364F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All</w:t>
            </w:r>
          </w:p>
        </w:tc>
        <w:tc>
          <w:tcPr>
            <w:tcW w:w="630" w:type="dxa"/>
          </w:tcPr>
          <w:p w14:paraId="4094419D" w14:textId="77777777" w:rsidR="00C27F86" w:rsidRPr="00554873" w:rsidRDefault="00C27F86" w:rsidP="00364F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Male</w:t>
            </w:r>
          </w:p>
        </w:tc>
        <w:tc>
          <w:tcPr>
            <w:tcW w:w="810" w:type="dxa"/>
          </w:tcPr>
          <w:p w14:paraId="12A5FE2D" w14:textId="77777777" w:rsidR="00C27F86" w:rsidRPr="00554873" w:rsidRDefault="00C27F86" w:rsidP="00364F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554873">
              <w:rPr>
                <w:rFonts w:asciiTheme="minorHAnsi" w:hAnsiTheme="minorHAnsi" w:cstheme="minorHAnsi"/>
                <w:b/>
                <w:sz w:val="18"/>
                <w:szCs w:val="18"/>
              </w:rPr>
              <w:t>Female</w:t>
            </w:r>
          </w:p>
        </w:tc>
      </w:tr>
      <w:tr w:rsidR="0057455F" w:rsidRPr="00CE377D" w14:paraId="63ABF91C" w14:textId="77777777" w:rsidTr="00BE048B">
        <w:trPr>
          <w:trHeight w:val="265"/>
          <w:jc w:val="center"/>
        </w:trPr>
        <w:tc>
          <w:tcPr>
            <w:cnfStyle w:val="001000000000" w:firstRow="0" w:lastRow="0" w:firstColumn="1" w:lastColumn="0" w:oddVBand="0" w:evenVBand="0" w:oddHBand="0" w:evenHBand="0" w:firstRowFirstColumn="0" w:firstRowLastColumn="0" w:lastRowFirstColumn="0" w:lastRowLastColumn="0"/>
            <w:tcW w:w="1070" w:type="dxa"/>
          </w:tcPr>
          <w:p w14:paraId="09D0E951" w14:textId="77777777" w:rsidR="0057455F" w:rsidRPr="00554873" w:rsidRDefault="0057455F" w:rsidP="00AA53A0">
            <w:pPr>
              <w:jc w:val="right"/>
              <w:rPr>
                <w:rFonts w:asciiTheme="minorHAnsi" w:hAnsiTheme="minorHAnsi" w:cstheme="minorHAnsi"/>
                <w:sz w:val="18"/>
                <w:szCs w:val="18"/>
              </w:rPr>
            </w:pPr>
            <w:r w:rsidRPr="00554873">
              <w:rPr>
                <w:rFonts w:asciiTheme="minorHAnsi" w:hAnsiTheme="minorHAnsi" w:cstheme="minorHAnsi"/>
                <w:sz w:val="18"/>
                <w:szCs w:val="18"/>
              </w:rPr>
              <w:t>Delaware</w:t>
            </w:r>
          </w:p>
        </w:tc>
        <w:tc>
          <w:tcPr>
            <w:tcW w:w="720" w:type="dxa"/>
            <w:vAlign w:val="bottom"/>
          </w:tcPr>
          <w:p w14:paraId="2E9371CA" w14:textId="1A984A14"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10,453</w:t>
            </w:r>
          </w:p>
        </w:tc>
        <w:tc>
          <w:tcPr>
            <w:tcW w:w="630" w:type="dxa"/>
            <w:vAlign w:val="bottom"/>
          </w:tcPr>
          <w:p w14:paraId="6981100C" w14:textId="4DBBC952"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5,562</w:t>
            </w:r>
          </w:p>
        </w:tc>
        <w:tc>
          <w:tcPr>
            <w:tcW w:w="810" w:type="dxa"/>
            <w:vAlign w:val="bottom"/>
          </w:tcPr>
          <w:p w14:paraId="17518902" w14:textId="50FB1DE9"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4,891</w:t>
            </w:r>
          </w:p>
        </w:tc>
        <w:tc>
          <w:tcPr>
            <w:tcW w:w="630" w:type="dxa"/>
            <w:vAlign w:val="bottom"/>
          </w:tcPr>
          <w:p w14:paraId="2E01D3BD" w14:textId="2FBCB8DE"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8,144</w:t>
            </w:r>
          </w:p>
        </w:tc>
        <w:tc>
          <w:tcPr>
            <w:tcW w:w="630" w:type="dxa"/>
            <w:vAlign w:val="bottom"/>
          </w:tcPr>
          <w:p w14:paraId="1724D47A" w14:textId="664B39C4"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4,411</w:t>
            </w:r>
          </w:p>
        </w:tc>
        <w:tc>
          <w:tcPr>
            <w:tcW w:w="810" w:type="dxa"/>
            <w:vAlign w:val="bottom"/>
          </w:tcPr>
          <w:p w14:paraId="7AF8057D" w14:textId="236C7AB7"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3,733</w:t>
            </w:r>
          </w:p>
        </w:tc>
        <w:tc>
          <w:tcPr>
            <w:tcW w:w="630" w:type="dxa"/>
            <w:vAlign w:val="bottom"/>
          </w:tcPr>
          <w:p w14:paraId="17F77CF5" w14:textId="5D6DE9B4"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1,883</w:t>
            </w:r>
          </w:p>
        </w:tc>
        <w:tc>
          <w:tcPr>
            <w:tcW w:w="640" w:type="dxa"/>
            <w:vAlign w:val="bottom"/>
          </w:tcPr>
          <w:p w14:paraId="0C816FE4" w14:textId="3BDC6254"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913</w:t>
            </w:r>
          </w:p>
        </w:tc>
        <w:tc>
          <w:tcPr>
            <w:tcW w:w="900" w:type="dxa"/>
            <w:vAlign w:val="bottom"/>
          </w:tcPr>
          <w:p w14:paraId="5CAE29BC" w14:textId="09083D04"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970</w:t>
            </w:r>
          </w:p>
        </w:tc>
        <w:tc>
          <w:tcPr>
            <w:tcW w:w="540" w:type="dxa"/>
            <w:vAlign w:val="bottom"/>
          </w:tcPr>
          <w:p w14:paraId="2083FC12" w14:textId="1691CB5D"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234</w:t>
            </w:r>
          </w:p>
        </w:tc>
        <w:tc>
          <w:tcPr>
            <w:tcW w:w="630" w:type="dxa"/>
            <w:vAlign w:val="bottom"/>
          </w:tcPr>
          <w:p w14:paraId="026A122A" w14:textId="372E02F2"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131</w:t>
            </w:r>
          </w:p>
        </w:tc>
        <w:tc>
          <w:tcPr>
            <w:tcW w:w="810" w:type="dxa"/>
            <w:vAlign w:val="bottom"/>
          </w:tcPr>
          <w:p w14:paraId="3A477DA5" w14:textId="0D61EA60"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103</w:t>
            </w:r>
          </w:p>
        </w:tc>
      </w:tr>
      <w:tr w:rsidR="0057455F" w:rsidRPr="00CE377D" w14:paraId="55A8F336" w14:textId="77777777" w:rsidTr="00BE048B">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070" w:type="dxa"/>
          </w:tcPr>
          <w:p w14:paraId="578093AB" w14:textId="77777777" w:rsidR="0057455F" w:rsidRPr="00554873" w:rsidRDefault="0057455F" w:rsidP="009C2D8E">
            <w:pPr>
              <w:jc w:val="right"/>
              <w:rPr>
                <w:rFonts w:asciiTheme="minorHAnsi" w:hAnsiTheme="minorHAnsi" w:cstheme="minorHAnsi"/>
                <w:b w:val="0"/>
                <w:sz w:val="18"/>
                <w:szCs w:val="18"/>
              </w:rPr>
            </w:pPr>
            <w:r w:rsidRPr="00554873">
              <w:rPr>
                <w:rFonts w:asciiTheme="minorHAnsi" w:hAnsiTheme="minorHAnsi" w:cstheme="minorHAnsi"/>
                <w:sz w:val="18"/>
                <w:szCs w:val="18"/>
              </w:rPr>
              <w:t xml:space="preserve">Kent </w:t>
            </w:r>
          </w:p>
        </w:tc>
        <w:tc>
          <w:tcPr>
            <w:tcW w:w="720" w:type="dxa"/>
            <w:vAlign w:val="bottom"/>
          </w:tcPr>
          <w:p w14:paraId="7AADE18E" w14:textId="5E4D5E89"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1,930</w:t>
            </w:r>
          </w:p>
        </w:tc>
        <w:tc>
          <w:tcPr>
            <w:tcW w:w="630" w:type="dxa"/>
            <w:vAlign w:val="bottom"/>
          </w:tcPr>
          <w:p w14:paraId="7BB30E00" w14:textId="353F9232"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1,022</w:t>
            </w:r>
          </w:p>
        </w:tc>
        <w:tc>
          <w:tcPr>
            <w:tcW w:w="810" w:type="dxa"/>
            <w:vAlign w:val="bottom"/>
          </w:tcPr>
          <w:p w14:paraId="1F2D1B4D" w14:textId="238D8285"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908</w:t>
            </w:r>
          </w:p>
        </w:tc>
        <w:tc>
          <w:tcPr>
            <w:tcW w:w="630" w:type="dxa"/>
            <w:vAlign w:val="bottom"/>
          </w:tcPr>
          <w:p w14:paraId="207D11D8" w14:textId="2F9085F4"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1,436</w:t>
            </w:r>
          </w:p>
        </w:tc>
        <w:tc>
          <w:tcPr>
            <w:tcW w:w="630" w:type="dxa"/>
            <w:vAlign w:val="bottom"/>
          </w:tcPr>
          <w:p w14:paraId="79226022" w14:textId="1544C8B5"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771</w:t>
            </w:r>
          </w:p>
        </w:tc>
        <w:tc>
          <w:tcPr>
            <w:tcW w:w="810" w:type="dxa"/>
            <w:vAlign w:val="bottom"/>
          </w:tcPr>
          <w:p w14:paraId="36CF024C" w14:textId="14C79543"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665</w:t>
            </w:r>
          </w:p>
        </w:tc>
        <w:tc>
          <w:tcPr>
            <w:tcW w:w="630" w:type="dxa"/>
            <w:vAlign w:val="bottom"/>
          </w:tcPr>
          <w:p w14:paraId="3E97E085" w14:textId="2AC9A037"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399</w:t>
            </w:r>
          </w:p>
        </w:tc>
        <w:tc>
          <w:tcPr>
            <w:tcW w:w="640" w:type="dxa"/>
            <w:vAlign w:val="bottom"/>
          </w:tcPr>
          <w:p w14:paraId="638D3005" w14:textId="64751E91"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192</w:t>
            </w:r>
          </w:p>
        </w:tc>
        <w:tc>
          <w:tcPr>
            <w:tcW w:w="900" w:type="dxa"/>
            <w:vAlign w:val="bottom"/>
          </w:tcPr>
          <w:p w14:paraId="3A782AA0" w14:textId="533E5A8E"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207</w:t>
            </w:r>
          </w:p>
        </w:tc>
        <w:tc>
          <w:tcPr>
            <w:tcW w:w="540" w:type="dxa"/>
            <w:vAlign w:val="bottom"/>
          </w:tcPr>
          <w:p w14:paraId="2F080ACD" w14:textId="10BBDAB0"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49</w:t>
            </w:r>
          </w:p>
        </w:tc>
        <w:tc>
          <w:tcPr>
            <w:tcW w:w="630" w:type="dxa"/>
            <w:vAlign w:val="bottom"/>
          </w:tcPr>
          <w:p w14:paraId="629329AC" w14:textId="404B7144"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31</w:t>
            </w:r>
          </w:p>
        </w:tc>
        <w:tc>
          <w:tcPr>
            <w:tcW w:w="810" w:type="dxa"/>
            <w:vAlign w:val="bottom"/>
          </w:tcPr>
          <w:p w14:paraId="42B28519" w14:textId="5774A5E5"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18</w:t>
            </w:r>
          </w:p>
        </w:tc>
      </w:tr>
      <w:tr w:rsidR="0057455F" w:rsidRPr="00CE377D" w14:paraId="73C5BF71" w14:textId="77777777" w:rsidTr="00BE048B">
        <w:trPr>
          <w:trHeight w:val="251"/>
          <w:jc w:val="center"/>
        </w:trPr>
        <w:tc>
          <w:tcPr>
            <w:cnfStyle w:val="001000000000" w:firstRow="0" w:lastRow="0" w:firstColumn="1" w:lastColumn="0" w:oddVBand="0" w:evenVBand="0" w:oddHBand="0" w:evenHBand="0" w:firstRowFirstColumn="0" w:firstRowLastColumn="0" w:lastRowFirstColumn="0" w:lastRowLastColumn="0"/>
            <w:tcW w:w="1070" w:type="dxa"/>
          </w:tcPr>
          <w:p w14:paraId="4D87445F" w14:textId="77777777" w:rsidR="0057455F" w:rsidRPr="00554873" w:rsidRDefault="0057455F" w:rsidP="009C2D8E">
            <w:pPr>
              <w:jc w:val="right"/>
              <w:rPr>
                <w:rFonts w:asciiTheme="minorHAnsi" w:hAnsiTheme="minorHAnsi" w:cstheme="minorHAnsi"/>
                <w:b w:val="0"/>
                <w:sz w:val="18"/>
                <w:szCs w:val="18"/>
              </w:rPr>
            </w:pPr>
            <w:r w:rsidRPr="00554873">
              <w:rPr>
                <w:rFonts w:asciiTheme="minorHAnsi" w:hAnsiTheme="minorHAnsi" w:cstheme="minorHAnsi"/>
                <w:sz w:val="18"/>
                <w:szCs w:val="18"/>
              </w:rPr>
              <w:t xml:space="preserve">New Castle </w:t>
            </w:r>
          </w:p>
        </w:tc>
        <w:tc>
          <w:tcPr>
            <w:tcW w:w="720" w:type="dxa"/>
            <w:vAlign w:val="bottom"/>
          </w:tcPr>
          <w:p w14:paraId="5956BD9D" w14:textId="61D34FBA"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5,361</w:t>
            </w:r>
          </w:p>
        </w:tc>
        <w:tc>
          <w:tcPr>
            <w:tcW w:w="630" w:type="dxa"/>
            <w:vAlign w:val="bottom"/>
          </w:tcPr>
          <w:p w14:paraId="6FB5065A" w14:textId="49A49B42"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2,780</w:t>
            </w:r>
          </w:p>
        </w:tc>
        <w:tc>
          <w:tcPr>
            <w:tcW w:w="810" w:type="dxa"/>
            <w:vAlign w:val="bottom"/>
          </w:tcPr>
          <w:p w14:paraId="0EC18E21" w14:textId="51FB41A6"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2,581</w:t>
            </w:r>
          </w:p>
        </w:tc>
        <w:tc>
          <w:tcPr>
            <w:tcW w:w="630" w:type="dxa"/>
            <w:vAlign w:val="bottom"/>
          </w:tcPr>
          <w:p w14:paraId="32763CF7" w14:textId="6FA880F6"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3,838</w:t>
            </w:r>
          </w:p>
        </w:tc>
        <w:tc>
          <w:tcPr>
            <w:tcW w:w="630" w:type="dxa"/>
            <w:vAlign w:val="bottom"/>
          </w:tcPr>
          <w:p w14:paraId="7D0D9350" w14:textId="7378EB9D"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2,030</w:t>
            </w:r>
          </w:p>
        </w:tc>
        <w:tc>
          <w:tcPr>
            <w:tcW w:w="810" w:type="dxa"/>
            <w:vAlign w:val="bottom"/>
          </w:tcPr>
          <w:p w14:paraId="0CD95E20" w14:textId="28FC96AA"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1,808</w:t>
            </w:r>
          </w:p>
        </w:tc>
        <w:tc>
          <w:tcPr>
            <w:tcW w:w="630" w:type="dxa"/>
            <w:vAlign w:val="bottom"/>
          </w:tcPr>
          <w:p w14:paraId="09FCA10F" w14:textId="375886F6"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1,261</w:t>
            </w:r>
          </w:p>
        </w:tc>
        <w:tc>
          <w:tcPr>
            <w:tcW w:w="640" w:type="dxa"/>
            <w:vAlign w:val="bottom"/>
          </w:tcPr>
          <w:p w14:paraId="3BBB6F1A" w14:textId="24564F9A"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609</w:t>
            </w:r>
          </w:p>
        </w:tc>
        <w:tc>
          <w:tcPr>
            <w:tcW w:w="900" w:type="dxa"/>
            <w:vAlign w:val="bottom"/>
          </w:tcPr>
          <w:p w14:paraId="20A20A32" w14:textId="7D5A923D"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652</w:t>
            </w:r>
          </w:p>
        </w:tc>
        <w:tc>
          <w:tcPr>
            <w:tcW w:w="540" w:type="dxa"/>
            <w:vAlign w:val="bottom"/>
          </w:tcPr>
          <w:p w14:paraId="036DDA2A" w14:textId="74FCA52A"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149</w:t>
            </w:r>
          </w:p>
        </w:tc>
        <w:tc>
          <w:tcPr>
            <w:tcW w:w="630" w:type="dxa"/>
            <w:vAlign w:val="bottom"/>
          </w:tcPr>
          <w:p w14:paraId="28572100" w14:textId="48F5B21A"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80</w:t>
            </w:r>
          </w:p>
        </w:tc>
        <w:tc>
          <w:tcPr>
            <w:tcW w:w="810" w:type="dxa"/>
            <w:vAlign w:val="bottom"/>
          </w:tcPr>
          <w:p w14:paraId="3199C921" w14:textId="6598212F" w:rsidR="0057455F" w:rsidRPr="00034897" w:rsidRDefault="0057455F" w:rsidP="0057455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69</w:t>
            </w:r>
          </w:p>
        </w:tc>
      </w:tr>
      <w:tr w:rsidR="0057455F" w:rsidRPr="00CE377D" w14:paraId="15BF0662" w14:textId="77777777" w:rsidTr="00BE048B">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070" w:type="dxa"/>
          </w:tcPr>
          <w:p w14:paraId="044E44B2" w14:textId="77777777" w:rsidR="0057455F" w:rsidRPr="00554873" w:rsidRDefault="0057455F" w:rsidP="009C2D8E">
            <w:pPr>
              <w:jc w:val="right"/>
              <w:rPr>
                <w:rFonts w:asciiTheme="minorHAnsi" w:hAnsiTheme="minorHAnsi" w:cstheme="minorHAnsi"/>
                <w:b w:val="0"/>
                <w:sz w:val="18"/>
                <w:szCs w:val="18"/>
              </w:rPr>
            </w:pPr>
            <w:r w:rsidRPr="00554873">
              <w:rPr>
                <w:rFonts w:asciiTheme="minorHAnsi" w:hAnsiTheme="minorHAnsi" w:cstheme="minorHAnsi"/>
                <w:sz w:val="18"/>
                <w:szCs w:val="18"/>
              </w:rPr>
              <w:t xml:space="preserve">Sussex </w:t>
            </w:r>
          </w:p>
        </w:tc>
        <w:tc>
          <w:tcPr>
            <w:tcW w:w="720" w:type="dxa"/>
            <w:vAlign w:val="bottom"/>
          </w:tcPr>
          <w:p w14:paraId="49AE10D8" w14:textId="1C665946"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3,162</w:t>
            </w:r>
          </w:p>
        </w:tc>
        <w:tc>
          <w:tcPr>
            <w:tcW w:w="630" w:type="dxa"/>
            <w:vAlign w:val="bottom"/>
          </w:tcPr>
          <w:p w14:paraId="35C90071" w14:textId="27488165"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1,760</w:t>
            </w:r>
          </w:p>
        </w:tc>
        <w:tc>
          <w:tcPr>
            <w:tcW w:w="810" w:type="dxa"/>
            <w:vAlign w:val="bottom"/>
          </w:tcPr>
          <w:p w14:paraId="7B22BDF2" w14:textId="363D91DA"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1,402</w:t>
            </w:r>
          </w:p>
        </w:tc>
        <w:tc>
          <w:tcPr>
            <w:tcW w:w="630" w:type="dxa"/>
            <w:vAlign w:val="bottom"/>
          </w:tcPr>
          <w:p w14:paraId="7EDDF761" w14:textId="73EA89C3"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2,870</w:t>
            </w:r>
          </w:p>
        </w:tc>
        <w:tc>
          <w:tcPr>
            <w:tcW w:w="630" w:type="dxa"/>
            <w:vAlign w:val="bottom"/>
          </w:tcPr>
          <w:p w14:paraId="246837DB" w14:textId="1B09AD14"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1,610</w:t>
            </w:r>
          </w:p>
        </w:tc>
        <w:tc>
          <w:tcPr>
            <w:tcW w:w="810" w:type="dxa"/>
            <w:vAlign w:val="bottom"/>
          </w:tcPr>
          <w:p w14:paraId="4D338A86" w14:textId="3966897E"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1,260</w:t>
            </w:r>
          </w:p>
        </w:tc>
        <w:tc>
          <w:tcPr>
            <w:tcW w:w="630" w:type="dxa"/>
            <w:vAlign w:val="bottom"/>
          </w:tcPr>
          <w:p w14:paraId="4D5618D6" w14:textId="287568CD"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223</w:t>
            </w:r>
          </w:p>
        </w:tc>
        <w:tc>
          <w:tcPr>
            <w:tcW w:w="640" w:type="dxa"/>
            <w:vAlign w:val="bottom"/>
          </w:tcPr>
          <w:p w14:paraId="7B03A1A1" w14:textId="7A44EF9B"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112</w:t>
            </w:r>
          </w:p>
        </w:tc>
        <w:tc>
          <w:tcPr>
            <w:tcW w:w="900" w:type="dxa"/>
            <w:vAlign w:val="bottom"/>
          </w:tcPr>
          <w:p w14:paraId="555CA02A" w14:textId="09AF77FF"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111</w:t>
            </w:r>
          </w:p>
        </w:tc>
        <w:tc>
          <w:tcPr>
            <w:tcW w:w="540" w:type="dxa"/>
            <w:vAlign w:val="bottom"/>
          </w:tcPr>
          <w:p w14:paraId="5D793CB4" w14:textId="7D19169B"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36</w:t>
            </w:r>
          </w:p>
        </w:tc>
        <w:tc>
          <w:tcPr>
            <w:tcW w:w="630" w:type="dxa"/>
            <w:vAlign w:val="bottom"/>
          </w:tcPr>
          <w:p w14:paraId="0F1AB03E" w14:textId="7D77468C"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20</w:t>
            </w:r>
          </w:p>
        </w:tc>
        <w:tc>
          <w:tcPr>
            <w:tcW w:w="810" w:type="dxa"/>
            <w:vAlign w:val="bottom"/>
          </w:tcPr>
          <w:p w14:paraId="0DE7EEC0" w14:textId="4B009386" w:rsidR="0057455F" w:rsidRPr="00034897" w:rsidRDefault="0057455F" w:rsidP="005745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16</w:t>
            </w:r>
          </w:p>
        </w:tc>
      </w:tr>
    </w:tbl>
    <w:p w14:paraId="0E660368" w14:textId="4BA05DB4" w:rsidR="003E5C0A" w:rsidRPr="00D95A9D" w:rsidRDefault="00CE377D" w:rsidP="000C02FF">
      <w:pPr>
        <w:spacing w:after="120" w:line="240" w:lineRule="auto"/>
        <w:rPr>
          <w:rFonts w:asciiTheme="minorHAnsi" w:hAnsiTheme="minorHAnsi"/>
          <w:i/>
          <w:sz w:val="16"/>
          <w:szCs w:val="16"/>
        </w:rPr>
      </w:pPr>
      <w:r>
        <w:rPr>
          <w:rFonts w:asciiTheme="minorHAnsi" w:hAnsiTheme="minorHAnsi"/>
          <w:i/>
          <w:sz w:val="14"/>
        </w:rPr>
        <w:t xml:space="preserve">       </w:t>
      </w:r>
      <w:r w:rsidR="003E5C0A" w:rsidRPr="00D95A9D">
        <w:rPr>
          <w:rFonts w:asciiTheme="minorHAnsi" w:hAnsiTheme="minorHAnsi"/>
          <w:i/>
          <w:sz w:val="16"/>
          <w:szCs w:val="16"/>
        </w:rPr>
        <w:t xml:space="preserve">Source: </w:t>
      </w:r>
      <w:r w:rsidR="006150C6" w:rsidRPr="00D95A9D">
        <w:rPr>
          <w:rFonts w:asciiTheme="minorHAnsi" w:hAnsiTheme="minorHAnsi"/>
          <w:i/>
          <w:sz w:val="16"/>
          <w:szCs w:val="16"/>
        </w:rPr>
        <w:t>Delaware Department of Health and Social Services, Division of Public Health, Delaware Health Statistics Center</w:t>
      </w:r>
      <w:r w:rsidR="00786A83" w:rsidRPr="00D95A9D">
        <w:rPr>
          <w:rFonts w:asciiTheme="minorHAnsi" w:hAnsiTheme="minorHAnsi"/>
          <w:i/>
          <w:sz w:val="16"/>
          <w:szCs w:val="16"/>
        </w:rPr>
        <w:t xml:space="preserve">, </w:t>
      </w:r>
      <w:r w:rsidR="002C47A8" w:rsidRPr="00D95A9D">
        <w:rPr>
          <w:rFonts w:asciiTheme="minorHAnsi" w:hAnsiTheme="minorHAnsi"/>
          <w:i/>
          <w:sz w:val="16"/>
          <w:szCs w:val="16"/>
        </w:rPr>
        <w:t>20</w:t>
      </w:r>
      <w:r w:rsidR="009C16C3" w:rsidRPr="00D95A9D">
        <w:rPr>
          <w:rFonts w:asciiTheme="minorHAnsi" w:hAnsiTheme="minorHAnsi"/>
          <w:i/>
          <w:sz w:val="16"/>
          <w:szCs w:val="16"/>
        </w:rPr>
        <w:t>2</w:t>
      </w:r>
      <w:r w:rsidR="001731CA">
        <w:rPr>
          <w:rFonts w:asciiTheme="minorHAnsi" w:hAnsiTheme="minorHAnsi"/>
          <w:i/>
          <w:sz w:val="16"/>
          <w:szCs w:val="16"/>
        </w:rPr>
        <w:t>4</w:t>
      </w:r>
    </w:p>
    <w:p w14:paraId="114EC24D" w14:textId="77777777" w:rsidR="00014207" w:rsidRPr="00554873" w:rsidRDefault="00014207" w:rsidP="000C02FF">
      <w:pPr>
        <w:spacing w:after="120" w:line="240" w:lineRule="auto"/>
        <w:rPr>
          <w:rFonts w:asciiTheme="minorHAnsi" w:hAnsiTheme="minorHAnsi"/>
          <w:iCs/>
          <w:sz w:val="14"/>
        </w:rPr>
      </w:pPr>
    </w:p>
    <w:p w14:paraId="2190D381" w14:textId="7A24F72E" w:rsidR="00C36209" w:rsidRDefault="003E5C0A" w:rsidP="00B21C83">
      <w:pPr>
        <w:pStyle w:val="ListParagraph"/>
        <w:widowControl w:val="0"/>
        <w:numPr>
          <w:ilvl w:val="0"/>
          <w:numId w:val="5"/>
        </w:numPr>
        <w:spacing w:after="120" w:line="240" w:lineRule="auto"/>
        <w:ind w:left="360"/>
        <w:contextualSpacing w:val="0"/>
        <w:rPr>
          <w:rFonts w:asciiTheme="minorHAnsi" w:hAnsiTheme="minorHAnsi"/>
        </w:rPr>
      </w:pPr>
      <w:r w:rsidRPr="000403C3">
        <w:rPr>
          <w:rFonts w:asciiTheme="minorHAnsi" w:hAnsiTheme="minorHAnsi"/>
        </w:rPr>
        <w:t xml:space="preserve">In </w:t>
      </w:r>
      <w:r w:rsidR="00C36209">
        <w:rPr>
          <w:rFonts w:asciiTheme="minorHAnsi" w:hAnsiTheme="minorHAnsi"/>
        </w:rPr>
        <w:t xml:space="preserve">Delaware in </w:t>
      </w:r>
      <w:r w:rsidR="00D403E9" w:rsidRPr="000403C3">
        <w:rPr>
          <w:rFonts w:asciiTheme="minorHAnsi" w:hAnsiTheme="minorHAnsi"/>
        </w:rPr>
        <w:t>201</w:t>
      </w:r>
      <w:r w:rsidR="00D61886">
        <w:rPr>
          <w:rFonts w:asciiTheme="minorHAnsi" w:hAnsiTheme="minorHAnsi"/>
        </w:rPr>
        <w:t>7</w:t>
      </w:r>
      <w:r w:rsidR="00D403E9" w:rsidRPr="000403C3">
        <w:rPr>
          <w:rFonts w:asciiTheme="minorHAnsi" w:hAnsiTheme="minorHAnsi"/>
        </w:rPr>
        <w:t>-20</w:t>
      </w:r>
      <w:r w:rsidR="008D1B6B">
        <w:rPr>
          <w:rFonts w:asciiTheme="minorHAnsi" w:hAnsiTheme="minorHAnsi"/>
        </w:rPr>
        <w:t>2</w:t>
      </w:r>
      <w:r w:rsidR="00D61886">
        <w:rPr>
          <w:rFonts w:asciiTheme="minorHAnsi" w:hAnsiTheme="minorHAnsi"/>
        </w:rPr>
        <w:t>1</w:t>
      </w:r>
      <w:r w:rsidR="00C36209">
        <w:rPr>
          <w:rFonts w:asciiTheme="minorHAnsi" w:hAnsiTheme="minorHAnsi"/>
        </w:rPr>
        <w:t>:</w:t>
      </w:r>
    </w:p>
    <w:p w14:paraId="7A9D5577" w14:textId="66687D41" w:rsidR="003E5C0A" w:rsidRPr="000403C3" w:rsidRDefault="00C36209" w:rsidP="00B21C83">
      <w:pPr>
        <w:pStyle w:val="ListParagraph"/>
        <w:widowControl w:val="0"/>
        <w:numPr>
          <w:ilvl w:val="0"/>
          <w:numId w:val="27"/>
        </w:numPr>
        <w:spacing w:after="120" w:line="240" w:lineRule="auto"/>
        <w:contextualSpacing w:val="0"/>
        <w:rPr>
          <w:rFonts w:asciiTheme="minorHAnsi" w:hAnsiTheme="minorHAnsi"/>
        </w:rPr>
      </w:pPr>
      <w:r>
        <w:rPr>
          <w:rFonts w:asciiTheme="minorHAnsi" w:hAnsiTheme="minorHAnsi"/>
        </w:rPr>
        <w:t>T</w:t>
      </w:r>
      <w:r w:rsidR="003E5C0A" w:rsidRPr="000403C3">
        <w:rPr>
          <w:rFonts w:asciiTheme="minorHAnsi" w:hAnsiTheme="minorHAnsi"/>
        </w:rPr>
        <w:t xml:space="preserve">here were </w:t>
      </w:r>
      <w:r w:rsidR="00167408" w:rsidRPr="000403C3">
        <w:rPr>
          <w:rFonts w:asciiTheme="minorHAnsi" w:hAnsiTheme="minorHAnsi"/>
        </w:rPr>
        <w:t>10,</w:t>
      </w:r>
      <w:r w:rsidR="00CA228D">
        <w:rPr>
          <w:rFonts w:asciiTheme="minorHAnsi" w:hAnsiTheme="minorHAnsi"/>
        </w:rPr>
        <w:t>4</w:t>
      </w:r>
      <w:r w:rsidR="008E1CE5">
        <w:rPr>
          <w:rFonts w:asciiTheme="minorHAnsi" w:hAnsiTheme="minorHAnsi"/>
        </w:rPr>
        <w:t>53</w:t>
      </w:r>
      <w:r w:rsidR="00DA5311" w:rsidRPr="000403C3">
        <w:rPr>
          <w:rFonts w:asciiTheme="minorHAnsi" w:hAnsiTheme="minorHAnsi"/>
        </w:rPr>
        <w:t xml:space="preserve"> </w:t>
      </w:r>
      <w:r w:rsidR="003E5C0A" w:rsidRPr="000403C3">
        <w:rPr>
          <w:rFonts w:asciiTheme="minorHAnsi" w:hAnsiTheme="minorHAnsi"/>
        </w:rPr>
        <w:t xml:space="preserve">deaths from cancer, an average of </w:t>
      </w:r>
      <w:r w:rsidR="00167408" w:rsidRPr="000403C3">
        <w:rPr>
          <w:rFonts w:asciiTheme="minorHAnsi" w:hAnsiTheme="minorHAnsi"/>
        </w:rPr>
        <w:t>2,0</w:t>
      </w:r>
      <w:r w:rsidR="00677A69">
        <w:rPr>
          <w:rFonts w:asciiTheme="minorHAnsi" w:hAnsiTheme="minorHAnsi"/>
        </w:rPr>
        <w:t>90</w:t>
      </w:r>
      <w:r w:rsidR="00DA5311" w:rsidRPr="000403C3">
        <w:rPr>
          <w:rFonts w:asciiTheme="minorHAnsi" w:hAnsiTheme="minorHAnsi"/>
        </w:rPr>
        <w:t xml:space="preserve"> </w:t>
      </w:r>
      <w:r w:rsidR="003E5C0A" w:rsidRPr="000403C3">
        <w:rPr>
          <w:rFonts w:asciiTheme="minorHAnsi" w:hAnsiTheme="minorHAnsi"/>
        </w:rPr>
        <w:t xml:space="preserve">per year. </w:t>
      </w:r>
    </w:p>
    <w:p w14:paraId="00E4A847" w14:textId="7C1507B4" w:rsidR="003E5C0A" w:rsidRPr="000403C3" w:rsidRDefault="004D6876" w:rsidP="00B21C83">
      <w:pPr>
        <w:pStyle w:val="ListParagraph"/>
        <w:widowControl w:val="0"/>
        <w:numPr>
          <w:ilvl w:val="0"/>
          <w:numId w:val="27"/>
        </w:numPr>
        <w:spacing w:after="120" w:line="240" w:lineRule="auto"/>
        <w:contextualSpacing w:val="0"/>
        <w:rPr>
          <w:rFonts w:asciiTheme="minorHAnsi" w:hAnsiTheme="minorHAnsi"/>
        </w:rPr>
      </w:pPr>
      <w:r w:rsidRPr="000403C3">
        <w:rPr>
          <w:rFonts w:asciiTheme="minorHAnsi" w:hAnsiTheme="minorHAnsi"/>
        </w:rPr>
        <w:t>M</w:t>
      </w:r>
      <w:r w:rsidR="003E5C0A" w:rsidRPr="000403C3">
        <w:rPr>
          <w:rFonts w:asciiTheme="minorHAnsi" w:hAnsiTheme="minorHAnsi"/>
        </w:rPr>
        <w:t xml:space="preserve">ales accounted for </w:t>
      </w:r>
      <w:r w:rsidR="00167408" w:rsidRPr="000403C3">
        <w:rPr>
          <w:rFonts w:asciiTheme="minorHAnsi" w:hAnsiTheme="minorHAnsi"/>
        </w:rPr>
        <w:t>53</w:t>
      </w:r>
      <w:r w:rsidR="009E7832" w:rsidRPr="000403C3">
        <w:rPr>
          <w:rFonts w:asciiTheme="minorHAnsi" w:hAnsiTheme="minorHAnsi"/>
        </w:rPr>
        <w:t>%</w:t>
      </w:r>
      <w:r w:rsidR="003E5C0A" w:rsidRPr="000403C3">
        <w:rPr>
          <w:rFonts w:asciiTheme="minorHAnsi" w:hAnsiTheme="minorHAnsi"/>
        </w:rPr>
        <w:t xml:space="preserve"> of all-site cancer deaths.</w:t>
      </w:r>
      <w:r w:rsidR="00F8471B" w:rsidRPr="000403C3">
        <w:rPr>
          <w:rFonts w:asciiTheme="minorHAnsi" w:hAnsiTheme="minorHAnsi"/>
        </w:rPr>
        <w:t xml:space="preserve"> </w:t>
      </w:r>
    </w:p>
    <w:p w14:paraId="22BFDB4B" w14:textId="0E808065" w:rsidR="00F8471B" w:rsidRPr="000403C3" w:rsidRDefault="00C27F86" w:rsidP="00B21C83">
      <w:pPr>
        <w:pStyle w:val="ListParagraph"/>
        <w:widowControl w:val="0"/>
        <w:numPr>
          <w:ilvl w:val="0"/>
          <w:numId w:val="27"/>
        </w:numPr>
        <w:spacing w:after="120" w:line="240" w:lineRule="auto"/>
        <w:contextualSpacing w:val="0"/>
        <w:rPr>
          <w:b/>
        </w:rPr>
      </w:pPr>
      <w:r w:rsidRPr="000403C3">
        <w:rPr>
          <w:rFonts w:asciiTheme="minorHAnsi" w:hAnsiTheme="minorHAnsi"/>
        </w:rPr>
        <w:t xml:space="preserve">Non-Hispanic </w:t>
      </w:r>
      <w:r w:rsidR="00BB3D69" w:rsidRPr="006E6FFB">
        <w:rPr>
          <w:rFonts w:asciiTheme="minorHAnsi" w:hAnsiTheme="minorHAnsi"/>
        </w:rPr>
        <w:t>White</w:t>
      </w:r>
      <w:r w:rsidR="006E6FFB" w:rsidRPr="006E6FFB">
        <w:rPr>
          <w:rFonts w:asciiTheme="minorHAnsi" w:hAnsiTheme="minorHAnsi"/>
        </w:rPr>
        <w:t xml:space="preserve"> Delawareans</w:t>
      </w:r>
      <w:r w:rsidR="003E5C0A" w:rsidRPr="000403C3">
        <w:rPr>
          <w:rFonts w:asciiTheme="minorHAnsi" w:hAnsiTheme="minorHAnsi"/>
        </w:rPr>
        <w:t xml:space="preserve"> accounted for </w:t>
      </w:r>
      <w:r w:rsidR="00E56CD4" w:rsidRPr="000403C3">
        <w:rPr>
          <w:rFonts w:asciiTheme="minorHAnsi" w:hAnsiTheme="minorHAnsi"/>
        </w:rPr>
        <w:t>7</w:t>
      </w:r>
      <w:r w:rsidR="00CA5590">
        <w:rPr>
          <w:rFonts w:asciiTheme="minorHAnsi" w:hAnsiTheme="minorHAnsi"/>
        </w:rPr>
        <w:t>8</w:t>
      </w:r>
      <w:r w:rsidR="009E7832" w:rsidRPr="000403C3">
        <w:rPr>
          <w:rFonts w:asciiTheme="minorHAnsi" w:hAnsiTheme="minorHAnsi"/>
        </w:rPr>
        <w:t>%</w:t>
      </w:r>
      <w:r w:rsidR="003E5C0A" w:rsidRPr="000403C3">
        <w:rPr>
          <w:rFonts w:asciiTheme="minorHAnsi" w:hAnsiTheme="minorHAnsi"/>
        </w:rPr>
        <w:t xml:space="preserve"> of all-site cancer deaths.</w:t>
      </w:r>
    </w:p>
    <w:p w14:paraId="3E3B30D4" w14:textId="25ABBDCE" w:rsidR="005E7FC7" w:rsidRDefault="005E7FC7" w:rsidP="0006275D">
      <w:pPr>
        <w:spacing w:after="0" w:line="240" w:lineRule="auto"/>
        <w:rPr>
          <w:sz w:val="16"/>
          <w:szCs w:val="16"/>
        </w:rPr>
      </w:pPr>
    </w:p>
    <w:p w14:paraId="40BBDEA2" w14:textId="77777777" w:rsidR="00463E48" w:rsidRDefault="00463E48" w:rsidP="00F12EDF">
      <w:pPr>
        <w:pStyle w:val="Caption"/>
        <w:spacing w:after="120" w:line="240" w:lineRule="auto"/>
        <w:rPr>
          <w:rFonts w:asciiTheme="minorHAnsi" w:hAnsiTheme="minorHAnsi"/>
          <w:b/>
          <w:sz w:val="22"/>
        </w:rPr>
      </w:pPr>
    </w:p>
    <w:p w14:paraId="6F650813" w14:textId="04AF0D2B" w:rsidR="003E526D" w:rsidRDefault="003E5C0A" w:rsidP="006D51FB">
      <w:pPr>
        <w:pStyle w:val="Caption"/>
        <w:spacing w:after="0" w:line="240" w:lineRule="auto"/>
        <w:jc w:val="center"/>
        <w:rPr>
          <w:rFonts w:asciiTheme="minorHAnsi" w:hAnsiTheme="minorHAnsi"/>
          <w:b/>
          <w:sz w:val="22"/>
        </w:rPr>
      </w:pPr>
      <w:r w:rsidRPr="00BF356F">
        <w:rPr>
          <w:rFonts w:asciiTheme="minorHAnsi" w:hAnsiTheme="minorHAnsi"/>
          <w:b/>
          <w:sz w:val="22"/>
        </w:rPr>
        <w:t xml:space="preserve">Table </w:t>
      </w:r>
      <w:r w:rsidR="001A19D6" w:rsidRPr="00BF356F">
        <w:rPr>
          <w:rFonts w:asciiTheme="minorHAnsi" w:hAnsiTheme="minorHAnsi"/>
          <w:b/>
          <w:sz w:val="22"/>
        </w:rPr>
        <w:fldChar w:fldCharType="begin"/>
      </w:r>
      <w:r w:rsidR="001A19D6" w:rsidRPr="00BF356F">
        <w:rPr>
          <w:rFonts w:asciiTheme="minorHAnsi" w:hAnsiTheme="minorHAnsi"/>
          <w:b/>
          <w:sz w:val="22"/>
        </w:rPr>
        <w:instrText xml:space="preserve"> STYLEREF 1 \s </w:instrText>
      </w:r>
      <w:r w:rsidR="001A19D6" w:rsidRPr="00BF356F">
        <w:rPr>
          <w:rFonts w:asciiTheme="minorHAnsi" w:hAnsiTheme="minorHAnsi"/>
          <w:b/>
          <w:sz w:val="22"/>
        </w:rPr>
        <w:fldChar w:fldCharType="separate"/>
      </w:r>
      <w:r w:rsidR="006C24CC">
        <w:rPr>
          <w:rFonts w:asciiTheme="minorHAnsi" w:hAnsiTheme="minorHAnsi"/>
          <w:b/>
          <w:noProof/>
          <w:sz w:val="22"/>
        </w:rPr>
        <w:t>2</w:t>
      </w:r>
      <w:r w:rsidR="001A19D6" w:rsidRPr="00BF356F">
        <w:rPr>
          <w:rFonts w:asciiTheme="minorHAnsi" w:hAnsiTheme="minorHAnsi"/>
          <w:b/>
          <w:sz w:val="22"/>
        </w:rPr>
        <w:fldChar w:fldCharType="end"/>
      </w:r>
      <w:r w:rsidR="001A19D6" w:rsidRPr="00BF356F">
        <w:rPr>
          <w:rFonts w:asciiTheme="minorHAnsi" w:hAnsiTheme="minorHAnsi"/>
          <w:b/>
          <w:sz w:val="22"/>
        </w:rPr>
        <w:noBreakHyphen/>
      </w:r>
      <w:r w:rsidR="001A19D6" w:rsidRPr="00BF356F">
        <w:rPr>
          <w:rFonts w:asciiTheme="minorHAnsi" w:hAnsiTheme="minorHAnsi"/>
          <w:b/>
          <w:sz w:val="22"/>
        </w:rPr>
        <w:fldChar w:fldCharType="begin"/>
      </w:r>
      <w:r w:rsidR="001A19D6" w:rsidRPr="00BF356F">
        <w:rPr>
          <w:rFonts w:asciiTheme="minorHAnsi" w:hAnsiTheme="minorHAnsi"/>
          <w:b/>
          <w:sz w:val="22"/>
        </w:rPr>
        <w:instrText xml:space="preserve"> SEQ Table \* ARABIC \s 1 </w:instrText>
      </w:r>
      <w:r w:rsidR="001A19D6" w:rsidRPr="00BF356F">
        <w:rPr>
          <w:rFonts w:asciiTheme="minorHAnsi" w:hAnsiTheme="minorHAnsi"/>
          <w:b/>
          <w:sz w:val="22"/>
        </w:rPr>
        <w:fldChar w:fldCharType="separate"/>
      </w:r>
      <w:r w:rsidR="006C24CC">
        <w:rPr>
          <w:rFonts w:asciiTheme="minorHAnsi" w:hAnsiTheme="minorHAnsi"/>
          <w:b/>
          <w:noProof/>
          <w:sz w:val="22"/>
        </w:rPr>
        <w:t>5</w:t>
      </w:r>
      <w:r w:rsidR="001A19D6" w:rsidRPr="00BF356F">
        <w:rPr>
          <w:rFonts w:asciiTheme="minorHAnsi" w:hAnsiTheme="minorHAnsi"/>
          <w:b/>
          <w:sz w:val="22"/>
        </w:rPr>
        <w:fldChar w:fldCharType="end"/>
      </w:r>
      <w:r w:rsidRPr="00BF356F">
        <w:rPr>
          <w:rFonts w:asciiTheme="minorHAnsi" w:hAnsiTheme="minorHAnsi"/>
          <w:b/>
          <w:sz w:val="22"/>
        </w:rPr>
        <w:t xml:space="preserve">: FIVE-YEAR Average Age-Adjusted All-site cancer Mortality </w:t>
      </w:r>
    </w:p>
    <w:p w14:paraId="41F24F6F" w14:textId="6500EBDA" w:rsidR="003E5C0A" w:rsidRPr="00CE3F54" w:rsidRDefault="003E5C0A" w:rsidP="003E526D">
      <w:pPr>
        <w:pStyle w:val="Caption"/>
        <w:spacing w:after="120" w:line="240" w:lineRule="auto"/>
        <w:jc w:val="center"/>
        <w:rPr>
          <w:rFonts w:asciiTheme="minorHAnsi" w:hAnsiTheme="minorHAnsi"/>
          <w:b/>
          <w:sz w:val="22"/>
        </w:rPr>
      </w:pPr>
      <w:r w:rsidRPr="00BF356F">
        <w:rPr>
          <w:rFonts w:asciiTheme="minorHAnsi" w:hAnsiTheme="minorHAnsi"/>
          <w:b/>
          <w:sz w:val="22"/>
        </w:rPr>
        <w:t>Rates Overall and by Sex; U.S., Delaware</w:t>
      </w:r>
      <w:r w:rsidR="00BF035E" w:rsidRPr="00BF356F">
        <w:rPr>
          <w:rFonts w:asciiTheme="minorHAnsi" w:hAnsiTheme="minorHAnsi"/>
          <w:b/>
          <w:sz w:val="22"/>
        </w:rPr>
        <w:t>,</w:t>
      </w:r>
      <w:r w:rsidRPr="00BF356F">
        <w:rPr>
          <w:rFonts w:asciiTheme="minorHAnsi" w:hAnsiTheme="minorHAnsi"/>
          <w:b/>
          <w:sz w:val="22"/>
        </w:rPr>
        <w:t xml:space="preserve"> and Counties, </w:t>
      </w:r>
      <w:r w:rsidR="00D403E9" w:rsidRPr="00BF356F">
        <w:rPr>
          <w:rFonts w:asciiTheme="minorHAnsi" w:hAnsiTheme="minorHAnsi"/>
          <w:b/>
          <w:sz w:val="22"/>
        </w:rPr>
        <w:t>201</w:t>
      </w:r>
      <w:r w:rsidR="00A44F12">
        <w:rPr>
          <w:rFonts w:asciiTheme="minorHAnsi" w:hAnsiTheme="minorHAnsi"/>
          <w:b/>
          <w:sz w:val="22"/>
        </w:rPr>
        <w:t>7</w:t>
      </w:r>
      <w:r w:rsidR="00D403E9" w:rsidRPr="00BF356F">
        <w:rPr>
          <w:rFonts w:asciiTheme="minorHAnsi" w:hAnsiTheme="minorHAnsi"/>
          <w:b/>
          <w:sz w:val="22"/>
        </w:rPr>
        <w:t>-20</w:t>
      </w:r>
      <w:r w:rsidR="00E62851">
        <w:rPr>
          <w:rFonts w:asciiTheme="minorHAnsi" w:hAnsiTheme="minorHAnsi"/>
          <w:b/>
          <w:sz w:val="22"/>
        </w:rPr>
        <w:t>2</w:t>
      </w:r>
      <w:r w:rsidR="00A44F12">
        <w:rPr>
          <w:rFonts w:asciiTheme="minorHAnsi" w:hAnsiTheme="minorHAnsi"/>
          <w:b/>
          <w:sz w:val="22"/>
        </w:rPr>
        <w:t>1</w:t>
      </w:r>
    </w:p>
    <w:tbl>
      <w:tblPr>
        <w:tblStyle w:val="MediumGrid1-Accent2"/>
        <w:tblW w:w="0" w:type="auto"/>
        <w:jc w:val="center"/>
        <w:tblLayout w:type="fixed"/>
        <w:tblLook w:val="04A0" w:firstRow="1" w:lastRow="0" w:firstColumn="1" w:lastColumn="0" w:noHBand="0" w:noVBand="1"/>
      </w:tblPr>
      <w:tblGrid>
        <w:gridCol w:w="1988"/>
        <w:gridCol w:w="1194"/>
        <w:gridCol w:w="1194"/>
        <w:gridCol w:w="1194"/>
      </w:tblGrid>
      <w:tr w:rsidR="003E5C0A" w:rsidRPr="00CE3F54" w14:paraId="0136F2D0" w14:textId="77777777" w:rsidTr="0006275D">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8" w:type="dxa"/>
          </w:tcPr>
          <w:p w14:paraId="07DE2CB2" w14:textId="77777777" w:rsidR="003E5C0A" w:rsidRPr="00CE3F54" w:rsidRDefault="003E5C0A" w:rsidP="000C02FF">
            <w:pPr>
              <w:rPr>
                <w:rFonts w:asciiTheme="minorHAnsi" w:hAnsiTheme="minorHAnsi"/>
              </w:rPr>
            </w:pPr>
          </w:p>
        </w:tc>
        <w:tc>
          <w:tcPr>
            <w:tcW w:w="1194" w:type="dxa"/>
          </w:tcPr>
          <w:p w14:paraId="71655432" w14:textId="77777777" w:rsidR="003E5C0A" w:rsidRPr="00CE3F54" w:rsidRDefault="003E5C0A" w:rsidP="000C02F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CE3F54">
              <w:rPr>
                <w:rFonts w:asciiTheme="minorHAnsi" w:hAnsiTheme="minorHAnsi"/>
              </w:rPr>
              <w:t>Overall</w:t>
            </w:r>
          </w:p>
        </w:tc>
        <w:tc>
          <w:tcPr>
            <w:tcW w:w="1194" w:type="dxa"/>
          </w:tcPr>
          <w:p w14:paraId="575BF075" w14:textId="77777777" w:rsidR="003E5C0A" w:rsidRPr="00CE3F54" w:rsidRDefault="003E5C0A" w:rsidP="000C02F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CE3F54">
              <w:rPr>
                <w:rFonts w:asciiTheme="minorHAnsi" w:hAnsiTheme="minorHAnsi"/>
              </w:rPr>
              <w:t>Male</w:t>
            </w:r>
          </w:p>
        </w:tc>
        <w:tc>
          <w:tcPr>
            <w:tcW w:w="1194" w:type="dxa"/>
          </w:tcPr>
          <w:p w14:paraId="7D24A0BA" w14:textId="77777777" w:rsidR="003E5C0A" w:rsidRPr="00CE3F54" w:rsidRDefault="003E5C0A" w:rsidP="000C02F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CE3F54">
              <w:rPr>
                <w:rFonts w:asciiTheme="minorHAnsi" w:hAnsiTheme="minorHAnsi"/>
              </w:rPr>
              <w:t>Female</w:t>
            </w:r>
          </w:p>
        </w:tc>
      </w:tr>
      <w:tr w:rsidR="002652D4" w:rsidRPr="00CE3F54" w14:paraId="3F0F1D73" w14:textId="77777777" w:rsidTr="00230063">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8" w:type="dxa"/>
          </w:tcPr>
          <w:p w14:paraId="340DD720" w14:textId="77777777" w:rsidR="002652D4" w:rsidRPr="00CE3F54" w:rsidRDefault="002652D4" w:rsidP="00AA53A0">
            <w:pPr>
              <w:jc w:val="right"/>
              <w:rPr>
                <w:rFonts w:asciiTheme="minorHAnsi" w:hAnsiTheme="minorHAnsi"/>
              </w:rPr>
            </w:pPr>
            <w:r w:rsidRPr="00CE3F54">
              <w:rPr>
                <w:rFonts w:asciiTheme="minorHAnsi" w:hAnsiTheme="minorHAnsi"/>
              </w:rPr>
              <w:t>U.S.</w:t>
            </w:r>
          </w:p>
        </w:tc>
        <w:tc>
          <w:tcPr>
            <w:tcW w:w="1194" w:type="dxa"/>
            <w:vAlign w:val="bottom"/>
          </w:tcPr>
          <w:p w14:paraId="1202BDFF" w14:textId="345B532D" w:rsidR="002652D4" w:rsidRPr="001475EB" w:rsidRDefault="002652D4" w:rsidP="002652D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148.4</w:t>
            </w:r>
          </w:p>
        </w:tc>
        <w:tc>
          <w:tcPr>
            <w:tcW w:w="1194" w:type="dxa"/>
            <w:vAlign w:val="bottom"/>
          </w:tcPr>
          <w:p w14:paraId="0E3F96AD" w14:textId="4D505689" w:rsidR="002652D4" w:rsidRPr="001475EB" w:rsidRDefault="002652D4" w:rsidP="002652D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176.5</w:t>
            </w:r>
          </w:p>
        </w:tc>
        <w:tc>
          <w:tcPr>
            <w:tcW w:w="1194" w:type="dxa"/>
            <w:vAlign w:val="bottom"/>
          </w:tcPr>
          <w:p w14:paraId="38841B11" w14:textId="161CADCA" w:rsidR="002652D4" w:rsidRPr="001475EB" w:rsidRDefault="002652D4" w:rsidP="002652D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128.3</w:t>
            </w:r>
          </w:p>
        </w:tc>
      </w:tr>
      <w:tr w:rsidR="002652D4" w:rsidRPr="00CE3F54" w14:paraId="07C63352" w14:textId="77777777" w:rsidTr="00230063">
        <w:trPr>
          <w:trHeight w:val="233"/>
          <w:jc w:val="center"/>
        </w:trPr>
        <w:tc>
          <w:tcPr>
            <w:cnfStyle w:val="001000000000" w:firstRow="0" w:lastRow="0" w:firstColumn="1" w:lastColumn="0" w:oddVBand="0" w:evenVBand="0" w:oddHBand="0" w:evenHBand="0" w:firstRowFirstColumn="0" w:firstRowLastColumn="0" w:lastRowFirstColumn="0" w:lastRowLastColumn="0"/>
            <w:tcW w:w="1988" w:type="dxa"/>
          </w:tcPr>
          <w:p w14:paraId="41E9A4D6" w14:textId="77777777" w:rsidR="002652D4" w:rsidRPr="00CE3F54" w:rsidRDefault="002652D4" w:rsidP="00AA53A0">
            <w:pPr>
              <w:jc w:val="right"/>
              <w:rPr>
                <w:rFonts w:asciiTheme="minorHAnsi" w:hAnsiTheme="minorHAnsi"/>
              </w:rPr>
            </w:pPr>
            <w:r w:rsidRPr="00CE3F54">
              <w:rPr>
                <w:rFonts w:asciiTheme="minorHAnsi" w:hAnsiTheme="minorHAnsi"/>
              </w:rPr>
              <w:t>Delaware</w:t>
            </w:r>
          </w:p>
        </w:tc>
        <w:tc>
          <w:tcPr>
            <w:tcW w:w="1194" w:type="dxa"/>
            <w:vAlign w:val="bottom"/>
          </w:tcPr>
          <w:p w14:paraId="3B657A56" w14:textId="77830352" w:rsidR="002652D4" w:rsidRPr="001475EB" w:rsidRDefault="002652D4" w:rsidP="002652D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154.1</w:t>
            </w:r>
          </w:p>
        </w:tc>
        <w:tc>
          <w:tcPr>
            <w:tcW w:w="1194" w:type="dxa"/>
            <w:vAlign w:val="bottom"/>
          </w:tcPr>
          <w:p w14:paraId="3F1311DB" w14:textId="0032E343" w:rsidR="002652D4" w:rsidRPr="001475EB" w:rsidRDefault="002652D4" w:rsidP="002652D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184.7</w:t>
            </w:r>
          </w:p>
        </w:tc>
        <w:tc>
          <w:tcPr>
            <w:tcW w:w="1194" w:type="dxa"/>
            <w:vAlign w:val="bottom"/>
          </w:tcPr>
          <w:p w14:paraId="59A0C584" w14:textId="6ADF7263" w:rsidR="002652D4" w:rsidRPr="001475EB" w:rsidRDefault="002652D4" w:rsidP="002652D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131.7</w:t>
            </w:r>
          </w:p>
        </w:tc>
      </w:tr>
      <w:tr w:rsidR="002652D4" w:rsidRPr="00CE3F54" w14:paraId="28EBE349" w14:textId="77777777" w:rsidTr="00230063">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8" w:type="dxa"/>
          </w:tcPr>
          <w:p w14:paraId="59AB8683" w14:textId="38AFF205" w:rsidR="002652D4" w:rsidRPr="00CE3F54" w:rsidRDefault="002652D4" w:rsidP="00AA53A0">
            <w:pPr>
              <w:jc w:val="right"/>
              <w:rPr>
                <w:rFonts w:asciiTheme="minorHAnsi" w:hAnsiTheme="minorHAnsi"/>
                <w:b w:val="0"/>
              </w:rPr>
            </w:pPr>
            <w:r w:rsidRPr="00CE3F54">
              <w:rPr>
                <w:rFonts w:asciiTheme="minorHAnsi" w:hAnsiTheme="minorHAnsi"/>
              </w:rPr>
              <w:t>Kent</w:t>
            </w:r>
          </w:p>
        </w:tc>
        <w:tc>
          <w:tcPr>
            <w:tcW w:w="1194" w:type="dxa"/>
            <w:vAlign w:val="bottom"/>
          </w:tcPr>
          <w:p w14:paraId="2454327F" w14:textId="0318D42F" w:rsidR="002652D4" w:rsidRPr="001475EB" w:rsidRDefault="002652D4" w:rsidP="002652D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168.7</w:t>
            </w:r>
          </w:p>
        </w:tc>
        <w:tc>
          <w:tcPr>
            <w:tcW w:w="1194" w:type="dxa"/>
            <w:vAlign w:val="bottom"/>
          </w:tcPr>
          <w:p w14:paraId="4D2202FC" w14:textId="4F4AC3F9" w:rsidR="002652D4" w:rsidRPr="001475EB" w:rsidRDefault="002652D4" w:rsidP="002652D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201.6</w:t>
            </w:r>
          </w:p>
        </w:tc>
        <w:tc>
          <w:tcPr>
            <w:tcW w:w="1194" w:type="dxa"/>
            <w:vAlign w:val="bottom"/>
          </w:tcPr>
          <w:p w14:paraId="2CD95703" w14:textId="603A46A4" w:rsidR="002652D4" w:rsidRPr="001475EB" w:rsidRDefault="002652D4" w:rsidP="002652D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143.8</w:t>
            </w:r>
          </w:p>
        </w:tc>
      </w:tr>
      <w:tr w:rsidR="002652D4" w:rsidRPr="00CE3F54" w14:paraId="755AAA2E" w14:textId="77777777" w:rsidTr="00230063">
        <w:trPr>
          <w:trHeight w:val="240"/>
          <w:jc w:val="center"/>
        </w:trPr>
        <w:tc>
          <w:tcPr>
            <w:cnfStyle w:val="001000000000" w:firstRow="0" w:lastRow="0" w:firstColumn="1" w:lastColumn="0" w:oddVBand="0" w:evenVBand="0" w:oddHBand="0" w:evenHBand="0" w:firstRowFirstColumn="0" w:firstRowLastColumn="0" w:lastRowFirstColumn="0" w:lastRowLastColumn="0"/>
            <w:tcW w:w="1988" w:type="dxa"/>
          </w:tcPr>
          <w:p w14:paraId="7C7B2F26" w14:textId="50E48454" w:rsidR="002652D4" w:rsidRPr="00CE3F54" w:rsidRDefault="002652D4" w:rsidP="00AA53A0">
            <w:pPr>
              <w:jc w:val="right"/>
              <w:rPr>
                <w:rFonts w:asciiTheme="minorHAnsi" w:hAnsiTheme="minorHAnsi"/>
                <w:b w:val="0"/>
              </w:rPr>
            </w:pPr>
            <w:r w:rsidRPr="00CE3F54">
              <w:rPr>
                <w:rFonts w:asciiTheme="minorHAnsi" w:hAnsiTheme="minorHAnsi"/>
              </w:rPr>
              <w:t>New Castle</w:t>
            </w:r>
          </w:p>
        </w:tc>
        <w:tc>
          <w:tcPr>
            <w:tcW w:w="1194" w:type="dxa"/>
            <w:vAlign w:val="bottom"/>
          </w:tcPr>
          <w:p w14:paraId="1CCCB786" w14:textId="5529EB56" w:rsidR="002652D4" w:rsidRPr="001475EB" w:rsidRDefault="002652D4" w:rsidP="002652D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154.6</w:t>
            </w:r>
          </w:p>
        </w:tc>
        <w:tc>
          <w:tcPr>
            <w:tcW w:w="1194" w:type="dxa"/>
            <w:vAlign w:val="bottom"/>
          </w:tcPr>
          <w:p w14:paraId="74A946C0" w14:textId="6BA67A60" w:rsidR="002652D4" w:rsidRPr="001475EB" w:rsidRDefault="002652D4" w:rsidP="002652D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185.3</w:t>
            </w:r>
          </w:p>
        </w:tc>
        <w:tc>
          <w:tcPr>
            <w:tcW w:w="1194" w:type="dxa"/>
            <w:vAlign w:val="bottom"/>
          </w:tcPr>
          <w:p w14:paraId="1D0C20FF" w14:textId="760CCE26" w:rsidR="002652D4" w:rsidRPr="001475EB" w:rsidRDefault="002652D4" w:rsidP="002652D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133.5</w:t>
            </w:r>
          </w:p>
        </w:tc>
      </w:tr>
      <w:tr w:rsidR="002652D4" w:rsidRPr="00CE3F54" w14:paraId="4DE19A37" w14:textId="77777777" w:rsidTr="00663AAB">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8" w:type="dxa"/>
            <w:vAlign w:val="center"/>
          </w:tcPr>
          <w:p w14:paraId="323F94DB" w14:textId="69B57489" w:rsidR="002652D4" w:rsidRPr="00CE3F54" w:rsidRDefault="002652D4" w:rsidP="00AA53A0">
            <w:pPr>
              <w:jc w:val="right"/>
              <w:rPr>
                <w:rFonts w:asciiTheme="minorHAnsi" w:hAnsiTheme="minorHAnsi"/>
                <w:b w:val="0"/>
              </w:rPr>
            </w:pPr>
            <w:r w:rsidRPr="00CE3F54">
              <w:rPr>
                <w:rFonts w:asciiTheme="minorHAnsi" w:hAnsiTheme="minorHAnsi"/>
              </w:rPr>
              <w:t>Sussex</w:t>
            </w:r>
          </w:p>
        </w:tc>
        <w:tc>
          <w:tcPr>
            <w:tcW w:w="1194" w:type="dxa"/>
            <w:vAlign w:val="bottom"/>
          </w:tcPr>
          <w:p w14:paraId="4C3E6FFF" w14:textId="0B791CB9" w:rsidR="002652D4" w:rsidRPr="001475EB" w:rsidRDefault="002652D4" w:rsidP="002652D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147.0</w:t>
            </w:r>
          </w:p>
        </w:tc>
        <w:tc>
          <w:tcPr>
            <w:tcW w:w="1194" w:type="dxa"/>
            <w:vAlign w:val="bottom"/>
          </w:tcPr>
          <w:p w14:paraId="125B6CB2" w14:textId="4698FAA7" w:rsidR="002652D4" w:rsidRPr="001475EB" w:rsidRDefault="002652D4" w:rsidP="002652D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177.3</w:t>
            </w:r>
          </w:p>
        </w:tc>
        <w:tc>
          <w:tcPr>
            <w:tcW w:w="1194" w:type="dxa"/>
            <w:vAlign w:val="bottom"/>
          </w:tcPr>
          <w:p w14:paraId="5865A115" w14:textId="7E4C3A50" w:rsidR="002652D4" w:rsidRPr="001475EB" w:rsidRDefault="002652D4" w:rsidP="002652D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123.6</w:t>
            </w:r>
          </w:p>
        </w:tc>
      </w:tr>
    </w:tbl>
    <w:p w14:paraId="62E605EC" w14:textId="62378DC4" w:rsidR="003E5C0A" w:rsidRPr="00477720" w:rsidRDefault="003E5C0A" w:rsidP="00477720">
      <w:pPr>
        <w:pStyle w:val="NoSpacing"/>
        <w:ind w:left="2160" w:right="2153"/>
        <w:rPr>
          <w:rFonts w:asciiTheme="minorHAnsi" w:hAnsiTheme="minorHAnsi"/>
          <w:i/>
          <w:sz w:val="16"/>
          <w:szCs w:val="16"/>
        </w:rPr>
      </w:pPr>
      <w:r w:rsidRPr="00477720">
        <w:rPr>
          <w:rFonts w:asciiTheme="minorHAnsi" w:hAnsiTheme="minorHAnsi"/>
          <w:i/>
          <w:sz w:val="16"/>
          <w:szCs w:val="16"/>
        </w:rPr>
        <w:t xml:space="preserve">Source (Delaware): </w:t>
      </w:r>
      <w:r w:rsidR="006150C6" w:rsidRPr="00477720">
        <w:rPr>
          <w:rFonts w:asciiTheme="minorHAnsi" w:hAnsiTheme="minorHAnsi"/>
          <w:i/>
          <w:sz w:val="16"/>
          <w:szCs w:val="16"/>
        </w:rPr>
        <w:t>Delaware Department of Health and Social Services, Division of Public Health, Delaware Health Statistics Center</w:t>
      </w:r>
      <w:r w:rsidR="00786A83" w:rsidRPr="00477720">
        <w:rPr>
          <w:rFonts w:asciiTheme="minorHAnsi" w:hAnsiTheme="minorHAnsi"/>
          <w:i/>
          <w:sz w:val="16"/>
          <w:szCs w:val="16"/>
        </w:rPr>
        <w:t xml:space="preserve">, </w:t>
      </w:r>
      <w:r w:rsidR="002C47A8" w:rsidRPr="00477720">
        <w:rPr>
          <w:rFonts w:asciiTheme="minorHAnsi" w:hAnsiTheme="minorHAnsi"/>
          <w:i/>
          <w:sz w:val="16"/>
          <w:szCs w:val="16"/>
        </w:rPr>
        <w:t>20</w:t>
      </w:r>
      <w:r w:rsidR="009C16C3" w:rsidRPr="00477720">
        <w:rPr>
          <w:rFonts w:asciiTheme="minorHAnsi" w:hAnsiTheme="minorHAnsi"/>
          <w:i/>
          <w:sz w:val="16"/>
          <w:szCs w:val="16"/>
        </w:rPr>
        <w:t>2</w:t>
      </w:r>
      <w:r w:rsidR="005D7A55">
        <w:rPr>
          <w:rFonts w:asciiTheme="minorHAnsi" w:hAnsiTheme="minorHAnsi"/>
          <w:i/>
          <w:sz w:val="16"/>
          <w:szCs w:val="16"/>
        </w:rPr>
        <w:t>4</w:t>
      </w:r>
    </w:p>
    <w:p w14:paraId="1EAD037A" w14:textId="531C1E9A" w:rsidR="003F6013" w:rsidRPr="00477720" w:rsidRDefault="00226EF9" w:rsidP="00477720">
      <w:pPr>
        <w:pStyle w:val="NoSpacing"/>
        <w:spacing w:after="120"/>
        <w:ind w:left="2160" w:right="2153"/>
        <w:contextualSpacing/>
        <w:rPr>
          <w:rFonts w:asciiTheme="minorHAnsi" w:hAnsiTheme="minorHAnsi"/>
          <w:i/>
          <w:sz w:val="16"/>
          <w:szCs w:val="16"/>
        </w:rPr>
      </w:pPr>
      <w:r w:rsidRPr="00477720">
        <w:rPr>
          <w:rFonts w:asciiTheme="minorHAnsi" w:hAnsiTheme="minorHAnsi"/>
          <w:i/>
          <w:sz w:val="16"/>
          <w:szCs w:val="16"/>
        </w:rPr>
        <w:t xml:space="preserve">Source (U.S.):  </w:t>
      </w:r>
      <w:r w:rsidR="00BF356F" w:rsidRPr="00477720">
        <w:rPr>
          <w:rFonts w:asciiTheme="minorHAnsi" w:hAnsiTheme="minorHAnsi"/>
          <w:i/>
          <w:sz w:val="16"/>
          <w:szCs w:val="16"/>
        </w:rPr>
        <w:t>Surveillance, Epidemiology, and End Results (SEER) Program</w:t>
      </w:r>
      <w:r w:rsidR="00BD59C1" w:rsidRPr="00477720">
        <w:rPr>
          <w:rFonts w:asciiTheme="minorHAnsi" w:hAnsiTheme="minorHAnsi"/>
          <w:i/>
          <w:sz w:val="16"/>
          <w:szCs w:val="16"/>
        </w:rPr>
        <w:t xml:space="preserve">, </w:t>
      </w:r>
      <w:r w:rsidR="00BF356F" w:rsidRPr="00477720">
        <w:rPr>
          <w:rFonts w:asciiTheme="minorHAnsi" w:hAnsiTheme="minorHAnsi"/>
          <w:i/>
          <w:sz w:val="16"/>
          <w:szCs w:val="16"/>
        </w:rPr>
        <w:t>SEER*Stat Database: Mortality - All COD, Aggregated With State, Total U.S. (1990-202</w:t>
      </w:r>
      <w:r w:rsidR="00742D9C">
        <w:rPr>
          <w:rFonts w:asciiTheme="minorHAnsi" w:hAnsiTheme="minorHAnsi"/>
          <w:i/>
          <w:sz w:val="16"/>
          <w:szCs w:val="16"/>
        </w:rPr>
        <w:t>2</w:t>
      </w:r>
      <w:r w:rsidR="00BF356F" w:rsidRPr="00477720">
        <w:rPr>
          <w:rFonts w:asciiTheme="minorHAnsi" w:hAnsiTheme="minorHAnsi"/>
          <w:i/>
          <w:sz w:val="16"/>
          <w:szCs w:val="16"/>
        </w:rPr>
        <w:t xml:space="preserve">) </w:t>
      </w:r>
    </w:p>
    <w:p w14:paraId="5F871406" w14:textId="2A1AA3A5" w:rsidR="007D1F44" w:rsidRPr="00D95A9D" w:rsidRDefault="007D1F44" w:rsidP="00E778EA">
      <w:pPr>
        <w:pStyle w:val="NoSpacing"/>
        <w:ind w:left="2160" w:right="1523"/>
        <w:rPr>
          <w:rFonts w:asciiTheme="minorHAnsi" w:hAnsiTheme="minorHAnsi"/>
          <w:sz w:val="16"/>
          <w:szCs w:val="16"/>
        </w:rPr>
      </w:pPr>
      <w:r w:rsidRPr="00D95A9D">
        <w:rPr>
          <w:rFonts w:asciiTheme="minorHAnsi" w:hAnsiTheme="minorHAnsi"/>
          <w:sz w:val="16"/>
          <w:szCs w:val="16"/>
        </w:rPr>
        <w:t>Rates are per 100,000 of population age-adjusted to the 2000 U.S. standard populatio</w:t>
      </w:r>
      <w:r>
        <w:rPr>
          <w:rFonts w:asciiTheme="minorHAnsi" w:hAnsiTheme="minorHAnsi"/>
          <w:sz w:val="16"/>
          <w:szCs w:val="16"/>
        </w:rPr>
        <w:t>n and are calculated using modified U.S. Census populations available from NCI (</w:t>
      </w:r>
      <w:hyperlink r:id="rId39" w:history="1">
        <w:r w:rsidRPr="00ED4EF5">
          <w:rPr>
            <w:rStyle w:val="Hyperlink"/>
            <w:rFonts w:asciiTheme="minorHAnsi" w:hAnsiTheme="minorHAnsi"/>
            <w:sz w:val="16"/>
            <w:szCs w:val="16"/>
          </w:rPr>
          <w:t>https://seer.cancer.gov/popdata/</w:t>
        </w:r>
      </w:hyperlink>
      <w:r>
        <w:rPr>
          <w:rFonts w:asciiTheme="minorHAnsi" w:hAnsiTheme="minorHAnsi"/>
          <w:sz w:val="16"/>
          <w:szCs w:val="16"/>
        </w:rPr>
        <w:t>).</w:t>
      </w:r>
    </w:p>
    <w:p w14:paraId="74E55D95" w14:textId="77777777" w:rsidR="001E3A0E" w:rsidRDefault="001E3A0E">
      <w:pPr>
        <w:rPr>
          <w:rFonts w:asciiTheme="minorHAnsi" w:hAnsiTheme="minorHAnsi"/>
          <w:b/>
          <w:caps/>
          <w:spacing w:val="10"/>
          <w:szCs w:val="18"/>
        </w:rPr>
      </w:pPr>
      <w:r>
        <w:rPr>
          <w:rFonts w:asciiTheme="minorHAnsi" w:hAnsiTheme="minorHAnsi"/>
          <w:b/>
        </w:rPr>
        <w:br w:type="page"/>
      </w:r>
    </w:p>
    <w:p w14:paraId="1FDA3035" w14:textId="655174A9" w:rsidR="003E5C0A" w:rsidRDefault="003E5C0A" w:rsidP="000C02FF">
      <w:pPr>
        <w:pStyle w:val="Caption"/>
        <w:spacing w:after="120" w:line="240" w:lineRule="auto"/>
        <w:jc w:val="center"/>
        <w:rPr>
          <w:rFonts w:asciiTheme="minorHAnsi" w:hAnsiTheme="minorHAnsi"/>
          <w:b/>
          <w:sz w:val="22"/>
        </w:rPr>
      </w:pPr>
      <w:r w:rsidRPr="00BF356F">
        <w:rPr>
          <w:rFonts w:asciiTheme="minorHAnsi" w:hAnsiTheme="minorHAnsi"/>
          <w:b/>
          <w:sz w:val="22"/>
        </w:rPr>
        <w:lastRenderedPageBreak/>
        <w:t xml:space="preserve">Figure </w:t>
      </w:r>
      <w:r w:rsidR="0053223C" w:rsidRPr="00BF356F">
        <w:rPr>
          <w:rFonts w:asciiTheme="minorHAnsi" w:hAnsiTheme="minorHAnsi"/>
          <w:b/>
          <w:sz w:val="22"/>
        </w:rPr>
        <w:fldChar w:fldCharType="begin"/>
      </w:r>
      <w:r w:rsidR="0053223C" w:rsidRPr="00BF356F">
        <w:rPr>
          <w:rFonts w:asciiTheme="minorHAnsi" w:hAnsiTheme="minorHAnsi"/>
          <w:b/>
          <w:sz w:val="22"/>
        </w:rPr>
        <w:instrText xml:space="preserve"> STYLEREF 1 \s </w:instrText>
      </w:r>
      <w:r w:rsidR="0053223C" w:rsidRPr="00BF356F">
        <w:rPr>
          <w:rFonts w:asciiTheme="minorHAnsi" w:hAnsiTheme="minorHAnsi"/>
          <w:b/>
          <w:sz w:val="22"/>
        </w:rPr>
        <w:fldChar w:fldCharType="separate"/>
      </w:r>
      <w:r w:rsidR="006C24CC">
        <w:rPr>
          <w:rFonts w:asciiTheme="minorHAnsi" w:hAnsiTheme="minorHAnsi"/>
          <w:b/>
          <w:noProof/>
          <w:sz w:val="22"/>
        </w:rPr>
        <w:t>2</w:t>
      </w:r>
      <w:r w:rsidR="0053223C" w:rsidRPr="00BF356F">
        <w:rPr>
          <w:rFonts w:asciiTheme="minorHAnsi" w:hAnsiTheme="minorHAnsi"/>
          <w:b/>
          <w:sz w:val="22"/>
        </w:rPr>
        <w:fldChar w:fldCharType="end"/>
      </w:r>
      <w:r w:rsidR="0053223C" w:rsidRPr="00BF356F">
        <w:rPr>
          <w:rFonts w:asciiTheme="minorHAnsi" w:hAnsiTheme="minorHAnsi"/>
          <w:b/>
          <w:sz w:val="22"/>
        </w:rPr>
        <w:noBreakHyphen/>
      </w:r>
      <w:r w:rsidR="0053223C" w:rsidRPr="00BF356F">
        <w:rPr>
          <w:rFonts w:asciiTheme="minorHAnsi" w:hAnsiTheme="minorHAnsi"/>
          <w:b/>
          <w:sz w:val="22"/>
        </w:rPr>
        <w:fldChar w:fldCharType="begin"/>
      </w:r>
      <w:r w:rsidR="0053223C" w:rsidRPr="00BF356F">
        <w:rPr>
          <w:rFonts w:asciiTheme="minorHAnsi" w:hAnsiTheme="minorHAnsi"/>
          <w:b/>
          <w:sz w:val="22"/>
        </w:rPr>
        <w:instrText xml:space="preserve"> SEQ Figure \* ARABIC \s 1 </w:instrText>
      </w:r>
      <w:r w:rsidR="0053223C" w:rsidRPr="00BF356F">
        <w:rPr>
          <w:rFonts w:asciiTheme="minorHAnsi" w:hAnsiTheme="minorHAnsi"/>
          <w:b/>
          <w:sz w:val="22"/>
        </w:rPr>
        <w:fldChar w:fldCharType="separate"/>
      </w:r>
      <w:r w:rsidR="006C24CC">
        <w:rPr>
          <w:rFonts w:asciiTheme="minorHAnsi" w:hAnsiTheme="minorHAnsi"/>
          <w:b/>
          <w:noProof/>
          <w:sz w:val="22"/>
        </w:rPr>
        <w:t>8</w:t>
      </w:r>
      <w:r w:rsidR="0053223C" w:rsidRPr="00BF356F">
        <w:rPr>
          <w:rFonts w:asciiTheme="minorHAnsi" w:hAnsiTheme="minorHAnsi"/>
          <w:b/>
          <w:sz w:val="22"/>
        </w:rPr>
        <w:fldChar w:fldCharType="end"/>
      </w:r>
      <w:r w:rsidRPr="00BF356F">
        <w:rPr>
          <w:rFonts w:asciiTheme="minorHAnsi" w:hAnsiTheme="minorHAnsi"/>
          <w:b/>
          <w:sz w:val="22"/>
        </w:rPr>
        <w:t xml:space="preserve">: FIVE-YEAR Average Age-Adjusted All-site CANCER MORTALITY RATES </w:t>
      </w:r>
      <w:r w:rsidR="00315A11" w:rsidRPr="00BF356F">
        <w:rPr>
          <w:rFonts w:asciiTheme="minorHAnsi" w:hAnsiTheme="minorHAnsi"/>
          <w:b/>
          <w:sz w:val="22"/>
        </w:rPr>
        <w:t>BY SEX AND RACE/ETHNICITY</w:t>
      </w:r>
      <w:r w:rsidRPr="00BF356F">
        <w:rPr>
          <w:rFonts w:asciiTheme="minorHAnsi" w:hAnsiTheme="minorHAnsi"/>
          <w:b/>
          <w:sz w:val="22"/>
        </w:rPr>
        <w:t xml:space="preserve">; U.S. and Delaware, </w:t>
      </w:r>
      <w:r w:rsidR="00D403E9" w:rsidRPr="00BF356F">
        <w:rPr>
          <w:rFonts w:asciiTheme="minorHAnsi" w:hAnsiTheme="minorHAnsi"/>
          <w:b/>
          <w:sz w:val="22"/>
        </w:rPr>
        <w:t>201</w:t>
      </w:r>
      <w:r w:rsidR="00025607">
        <w:rPr>
          <w:rFonts w:asciiTheme="minorHAnsi" w:hAnsiTheme="minorHAnsi"/>
          <w:b/>
          <w:sz w:val="22"/>
        </w:rPr>
        <w:t>7</w:t>
      </w:r>
      <w:r w:rsidR="00D403E9" w:rsidRPr="00BF356F">
        <w:rPr>
          <w:rFonts w:asciiTheme="minorHAnsi" w:hAnsiTheme="minorHAnsi"/>
          <w:b/>
          <w:sz w:val="22"/>
        </w:rPr>
        <w:t>-20</w:t>
      </w:r>
      <w:r w:rsidR="001A11F6">
        <w:rPr>
          <w:rFonts w:asciiTheme="minorHAnsi" w:hAnsiTheme="minorHAnsi"/>
          <w:b/>
          <w:sz w:val="22"/>
        </w:rPr>
        <w:t>2</w:t>
      </w:r>
      <w:r w:rsidR="00025607">
        <w:rPr>
          <w:rFonts w:asciiTheme="minorHAnsi" w:hAnsiTheme="minorHAnsi"/>
          <w:b/>
          <w:sz w:val="22"/>
        </w:rPr>
        <w:t>1</w:t>
      </w:r>
    </w:p>
    <w:p w14:paraId="51E9CF22" w14:textId="60F88379" w:rsidR="00066068" w:rsidRDefault="009F5422" w:rsidP="00066068">
      <w:pPr>
        <w:spacing w:after="0"/>
        <w:jc w:val="center"/>
        <w:rPr>
          <w:rFonts w:asciiTheme="minorHAnsi" w:hAnsiTheme="minorHAnsi"/>
          <w:i/>
          <w:sz w:val="14"/>
        </w:rPr>
      </w:pPr>
      <w:r>
        <w:rPr>
          <w:rFonts w:asciiTheme="minorHAnsi" w:hAnsiTheme="minorHAnsi"/>
          <w:i/>
          <w:noProof/>
          <w:sz w:val="14"/>
        </w:rPr>
        <w:drawing>
          <wp:inline distT="0" distB="0" distL="0" distR="0" wp14:anchorId="53430DFB" wp14:editId="5CE6B24A">
            <wp:extent cx="4919472" cy="3593592"/>
            <wp:effectExtent l="0" t="0" r="0" b="6985"/>
            <wp:docPr id="14298441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919472" cy="3593592"/>
                    </a:xfrm>
                    <a:prstGeom prst="rect">
                      <a:avLst/>
                    </a:prstGeom>
                    <a:noFill/>
                  </pic:spPr>
                </pic:pic>
              </a:graphicData>
            </a:graphic>
          </wp:inline>
        </w:drawing>
      </w:r>
    </w:p>
    <w:p w14:paraId="770C24B1" w14:textId="08468E12" w:rsidR="00066068" w:rsidRPr="00BB01ED" w:rsidRDefault="003E5C0A" w:rsidP="009106B2">
      <w:pPr>
        <w:spacing w:after="0"/>
        <w:ind w:left="1620" w:right="1523"/>
        <w:rPr>
          <w:rFonts w:asciiTheme="minorHAnsi" w:hAnsiTheme="minorHAnsi"/>
          <w:i/>
          <w:sz w:val="16"/>
          <w:szCs w:val="16"/>
        </w:rPr>
      </w:pPr>
      <w:r w:rsidRPr="00BB01ED">
        <w:rPr>
          <w:rFonts w:asciiTheme="minorHAnsi" w:hAnsiTheme="minorHAnsi"/>
          <w:i/>
          <w:sz w:val="16"/>
          <w:szCs w:val="16"/>
        </w:rPr>
        <w:t xml:space="preserve">Source (Delaware): </w:t>
      </w:r>
      <w:r w:rsidR="00075258" w:rsidRPr="00BB01ED">
        <w:rPr>
          <w:rFonts w:asciiTheme="minorHAnsi" w:hAnsiTheme="minorHAnsi"/>
          <w:i/>
          <w:sz w:val="16"/>
          <w:szCs w:val="16"/>
        </w:rPr>
        <w:t>Delaware Department of Health and Social Services, Division of Public Health, Delaware Health Statistics Center</w:t>
      </w:r>
      <w:r w:rsidR="00786A83" w:rsidRPr="00BB01ED">
        <w:rPr>
          <w:rFonts w:asciiTheme="minorHAnsi" w:hAnsiTheme="minorHAnsi"/>
          <w:i/>
          <w:sz w:val="16"/>
          <w:szCs w:val="16"/>
        </w:rPr>
        <w:t xml:space="preserve">, </w:t>
      </w:r>
      <w:r w:rsidR="002C47A8" w:rsidRPr="00BB01ED">
        <w:rPr>
          <w:rFonts w:asciiTheme="minorHAnsi" w:hAnsiTheme="minorHAnsi"/>
          <w:i/>
          <w:sz w:val="16"/>
          <w:szCs w:val="16"/>
        </w:rPr>
        <w:t>20</w:t>
      </w:r>
      <w:r w:rsidR="0015569A" w:rsidRPr="00BB01ED">
        <w:rPr>
          <w:rFonts w:asciiTheme="minorHAnsi" w:hAnsiTheme="minorHAnsi"/>
          <w:i/>
          <w:sz w:val="16"/>
          <w:szCs w:val="16"/>
        </w:rPr>
        <w:t>2</w:t>
      </w:r>
      <w:r w:rsidR="005D7D21">
        <w:rPr>
          <w:rFonts w:asciiTheme="minorHAnsi" w:hAnsiTheme="minorHAnsi"/>
          <w:i/>
          <w:sz w:val="16"/>
          <w:szCs w:val="16"/>
        </w:rPr>
        <w:t>4</w:t>
      </w:r>
    </w:p>
    <w:p w14:paraId="03BEC215" w14:textId="513AEA5E" w:rsidR="003E5C0A" w:rsidRPr="00BB01ED" w:rsidRDefault="00226EF9" w:rsidP="009106B2">
      <w:pPr>
        <w:spacing w:after="0"/>
        <w:ind w:left="1620" w:right="1523"/>
        <w:rPr>
          <w:sz w:val="16"/>
          <w:szCs w:val="16"/>
        </w:rPr>
      </w:pPr>
      <w:r w:rsidRPr="00BB01ED">
        <w:rPr>
          <w:rFonts w:asciiTheme="minorHAnsi" w:hAnsiTheme="minorHAnsi"/>
          <w:i/>
          <w:sz w:val="16"/>
          <w:szCs w:val="16"/>
        </w:rPr>
        <w:t xml:space="preserve">Source (U.S.):  </w:t>
      </w:r>
      <w:r w:rsidR="00066068" w:rsidRPr="00BB01ED">
        <w:rPr>
          <w:rFonts w:asciiTheme="minorHAnsi" w:hAnsiTheme="minorHAnsi"/>
          <w:i/>
          <w:sz w:val="16"/>
          <w:szCs w:val="16"/>
        </w:rPr>
        <w:t>Surveillance, Epidemiology, and End Results (</w:t>
      </w:r>
      <w:r w:rsidR="00B10D59" w:rsidRPr="00BB01ED">
        <w:rPr>
          <w:rFonts w:asciiTheme="minorHAnsi" w:hAnsiTheme="minorHAnsi"/>
          <w:i/>
          <w:sz w:val="16"/>
          <w:szCs w:val="16"/>
        </w:rPr>
        <w:t>SEER</w:t>
      </w:r>
      <w:r w:rsidR="003F2D66" w:rsidRPr="00BB01ED">
        <w:rPr>
          <w:rFonts w:asciiTheme="minorHAnsi" w:hAnsiTheme="minorHAnsi"/>
          <w:i/>
          <w:sz w:val="16"/>
          <w:szCs w:val="16"/>
        </w:rPr>
        <w:t>)</w:t>
      </w:r>
      <w:r w:rsidR="00066068" w:rsidRPr="00BB01ED">
        <w:rPr>
          <w:rFonts w:asciiTheme="minorHAnsi" w:hAnsiTheme="minorHAnsi"/>
          <w:i/>
          <w:sz w:val="16"/>
          <w:szCs w:val="16"/>
        </w:rPr>
        <w:t>*Stat Database: Mortality - All COD,</w:t>
      </w:r>
      <w:r w:rsidR="000E5FC2">
        <w:rPr>
          <w:rFonts w:asciiTheme="minorHAnsi" w:hAnsiTheme="minorHAnsi"/>
          <w:i/>
          <w:sz w:val="16"/>
          <w:szCs w:val="16"/>
        </w:rPr>
        <w:t xml:space="preserve"> </w:t>
      </w:r>
      <w:r w:rsidR="00066068" w:rsidRPr="00BB01ED">
        <w:rPr>
          <w:rFonts w:asciiTheme="minorHAnsi" w:hAnsiTheme="minorHAnsi"/>
          <w:i/>
          <w:sz w:val="16"/>
          <w:szCs w:val="16"/>
        </w:rPr>
        <w:t>Aggregated With State, Total U.S. (1990-202</w:t>
      </w:r>
      <w:r w:rsidR="005D7D21">
        <w:rPr>
          <w:rFonts w:asciiTheme="minorHAnsi" w:hAnsiTheme="minorHAnsi"/>
          <w:i/>
          <w:sz w:val="16"/>
          <w:szCs w:val="16"/>
        </w:rPr>
        <w:t>2</w:t>
      </w:r>
      <w:r w:rsidR="00066068" w:rsidRPr="00BB01ED">
        <w:rPr>
          <w:rFonts w:asciiTheme="minorHAnsi" w:hAnsiTheme="minorHAnsi"/>
          <w:i/>
          <w:sz w:val="16"/>
          <w:szCs w:val="16"/>
        </w:rPr>
        <w:t>)</w:t>
      </w:r>
    </w:p>
    <w:p w14:paraId="5A9B208E" w14:textId="4170DAE0" w:rsidR="000E5FC2" w:rsidRPr="00D95A9D" w:rsidRDefault="000E5FC2" w:rsidP="00E778EA">
      <w:pPr>
        <w:pStyle w:val="NoSpacing"/>
        <w:ind w:left="1620" w:right="1523"/>
        <w:rPr>
          <w:rFonts w:asciiTheme="minorHAnsi" w:hAnsiTheme="minorHAnsi"/>
          <w:sz w:val="16"/>
          <w:szCs w:val="16"/>
        </w:rPr>
      </w:pPr>
      <w:bookmarkStart w:id="29" w:name="_Hlk147243611"/>
      <w:r w:rsidRPr="00D95A9D">
        <w:rPr>
          <w:rFonts w:asciiTheme="minorHAnsi" w:hAnsiTheme="minorHAnsi"/>
          <w:sz w:val="16"/>
          <w:szCs w:val="16"/>
        </w:rPr>
        <w:t>Rates are per 100,000 of population age-adjusted to the 2000 U.S. standard populatio</w:t>
      </w:r>
      <w:r>
        <w:rPr>
          <w:rFonts w:asciiTheme="minorHAnsi" w:hAnsiTheme="minorHAnsi"/>
          <w:sz w:val="16"/>
          <w:szCs w:val="16"/>
        </w:rPr>
        <w:t>n and are   calculated using modified U.S. Census populations available from NCI (</w:t>
      </w:r>
      <w:hyperlink r:id="rId41" w:history="1">
        <w:r w:rsidRPr="00ED4EF5">
          <w:rPr>
            <w:rStyle w:val="Hyperlink"/>
            <w:rFonts w:asciiTheme="minorHAnsi" w:hAnsiTheme="minorHAnsi"/>
            <w:sz w:val="16"/>
            <w:szCs w:val="16"/>
          </w:rPr>
          <w:t>https://seer.cancer.gov/popdata/</w:t>
        </w:r>
      </w:hyperlink>
      <w:r>
        <w:rPr>
          <w:rFonts w:asciiTheme="minorHAnsi" w:hAnsiTheme="minorHAnsi"/>
          <w:sz w:val="16"/>
          <w:szCs w:val="16"/>
        </w:rPr>
        <w:t>).</w:t>
      </w:r>
    </w:p>
    <w:bookmarkEnd w:id="29"/>
    <w:p w14:paraId="66CB845A" w14:textId="5D44040F" w:rsidR="00066068" w:rsidRPr="00BB01ED" w:rsidRDefault="00066068" w:rsidP="00690F57">
      <w:pPr>
        <w:pStyle w:val="NoSpacing"/>
        <w:spacing w:after="120"/>
        <w:ind w:left="1620" w:right="1523"/>
        <w:rPr>
          <w:rFonts w:asciiTheme="minorHAnsi" w:hAnsiTheme="minorHAnsi"/>
          <w:sz w:val="16"/>
          <w:szCs w:val="16"/>
        </w:rPr>
      </w:pPr>
    </w:p>
    <w:p w14:paraId="475F799D" w14:textId="77777777" w:rsidR="00F0291F" w:rsidRPr="001916B4" w:rsidRDefault="00F0291F" w:rsidP="001916B4">
      <w:pPr>
        <w:pStyle w:val="NoSpacing"/>
        <w:ind w:left="1627" w:right="1526"/>
        <w:rPr>
          <w:rFonts w:asciiTheme="minorHAnsi" w:hAnsiTheme="minorHAnsi"/>
          <w:sz w:val="14"/>
          <w:szCs w:val="14"/>
        </w:rPr>
      </w:pPr>
    </w:p>
    <w:p w14:paraId="4F173853" w14:textId="0574435F" w:rsidR="003E5C0A" w:rsidRPr="007A4C37" w:rsidRDefault="003E5C0A" w:rsidP="00B21C83">
      <w:pPr>
        <w:pStyle w:val="ListParagraph"/>
        <w:numPr>
          <w:ilvl w:val="0"/>
          <w:numId w:val="6"/>
        </w:numPr>
        <w:spacing w:after="120" w:line="240" w:lineRule="auto"/>
        <w:ind w:left="360"/>
        <w:contextualSpacing w:val="0"/>
        <w:rPr>
          <w:rFonts w:asciiTheme="minorHAnsi" w:hAnsiTheme="minorHAnsi"/>
        </w:rPr>
      </w:pPr>
      <w:r w:rsidRPr="007A4C37">
        <w:rPr>
          <w:rFonts w:asciiTheme="minorHAnsi" w:hAnsiTheme="minorHAnsi"/>
        </w:rPr>
        <w:t>In Delaware</w:t>
      </w:r>
      <w:r w:rsidR="00E56C53" w:rsidRPr="007A4C37">
        <w:rPr>
          <w:rFonts w:asciiTheme="minorHAnsi" w:hAnsiTheme="minorHAnsi"/>
        </w:rPr>
        <w:t xml:space="preserve"> from 201</w:t>
      </w:r>
      <w:r w:rsidR="00313223">
        <w:rPr>
          <w:rFonts w:asciiTheme="minorHAnsi" w:hAnsiTheme="minorHAnsi"/>
        </w:rPr>
        <w:t>7</w:t>
      </w:r>
      <w:r w:rsidR="00E56C53" w:rsidRPr="007A4C37">
        <w:rPr>
          <w:rFonts w:asciiTheme="minorHAnsi" w:hAnsiTheme="minorHAnsi"/>
        </w:rPr>
        <w:t>-20</w:t>
      </w:r>
      <w:r w:rsidR="00214271" w:rsidRPr="007A4C37">
        <w:rPr>
          <w:rFonts w:asciiTheme="minorHAnsi" w:hAnsiTheme="minorHAnsi"/>
        </w:rPr>
        <w:t>2</w:t>
      </w:r>
      <w:r w:rsidR="00313223">
        <w:rPr>
          <w:rFonts w:asciiTheme="minorHAnsi" w:hAnsiTheme="minorHAnsi"/>
        </w:rPr>
        <w:t>1</w:t>
      </w:r>
      <w:r w:rsidR="007D74D6" w:rsidRPr="007A4C37">
        <w:rPr>
          <w:rFonts w:asciiTheme="minorHAnsi" w:hAnsiTheme="minorHAnsi"/>
        </w:rPr>
        <w:t>:</w:t>
      </w:r>
    </w:p>
    <w:p w14:paraId="48D89DCC" w14:textId="40E4AEAA" w:rsidR="003E5C0A" w:rsidRPr="00555E92" w:rsidRDefault="003E5C0A" w:rsidP="00B21C83">
      <w:pPr>
        <w:pStyle w:val="ListParagraph"/>
        <w:numPr>
          <w:ilvl w:val="1"/>
          <w:numId w:val="6"/>
        </w:numPr>
        <w:spacing w:after="120" w:line="240" w:lineRule="auto"/>
        <w:contextualSpacing w:val="0"/>
        <w:rPr>
          <w:rFonts w:asciiTheme="minorHAnsi" w:hAnsiTheme="minorHAnsi"/>
        </w:rPr>
      </w:pPr>
      <w:r w:rsidRPr="00555E92">
        <w:rPr>
          <w:rFonts w:asciiTheme="minorHAnsi" w:hAnsiTheme="minorHAnsi"/>
        </w:rPr>
        <w:t xml:space="preserve">Males </w:t>
      </w:r>
      <w:r w:rsidR="00ED135A" w:rsidRPr="00555E92">
        <w:rPr>
          <w:rFonts w:asciiTheme="minorHAnsi" w:hAnsiTheme="minorHAnsi"/>
        </w:rPr>
        <w:t>(</w:t>
      </w:r>
      <w:r w:rsidR="009A6C1D" w:rsidRPr="00555E92">
        <w:rPr>
          <w:rFonts w:ascii="Calibri" w:hAnsi="Calibri" w:cs="Calibri"/>
          <w:color w:val="000000"/>
        </w:rPr>
        <w:t>1</w:t>
      </w:r>
      <w:r w:rsidR="00555E92" w:rsidRPr="00555E92">
        <w:rPr>
          <w:rFonts w:ascii="Calibri" w:hAnsi="Calibri" w:cs="Calibri"/>
          <w:color w:val="000000"/>
        </w:rPr>
        <w:t>8</w:t>
      </w:r>
      <w:r w:rsidR="00873EF7">
        <w:rPr>
          <w:rFonts w:ascii="Calibri" w:hAnsi="Calibri" w:cs="Calibri"/>
          <w:color w:val="000000"/>
        </w:rPr>
        <w:t>4</w:t>
      </w:r>
      <w:r w:rsidR="009A6C1D" w:rsidRPr="00555E92">
        <w:rPr>
          <w:rFonts w:ascii="Calibri" w:hAnsi="Calibri" w:cs="Calibri"/>
          <w:color w:val="000000"/>
        </w:rPr>
        <w:t>.</w:t>
      </w:r>
      <w:r w:rsidR="00873EF7">
        <w:rPr>
          <w:rFonts w:ascii="Calibri" w:hAnsi="Calibri" w:cs="Calibri"/>
          <w:color w:val="000000"/>
        </w:rPr>
        <w:t>7</w:t>
      </w:r>
      <w:r w:rsidR="009A6C1D" w:rsidRPr="00555E92">
        <w:rPr>
          <w:rFonts w:ascii="Calibri" w:hAnsi="Calibri" w:cs="Calibri"/>
          <w:color w:val="000000"/>
        </w:rPr>
        <w:t xml:space="preserve"> </w:t>
      </w:r>
      <w:r w:rsidR="00ED135A" w:rsidRPr="00555E92">
        <w:rPr>
          <w:rFonts w:asciiTheme="minorHAnsi" w:hAnsiTheme="minorHAnsi"/>
        </w:rPr>
        <w:t>per 100,000</w:t>
      </w:r>
      <w:r w:rsidR="00477720" w:rsidRPr="00555E92">
        <w:rPr>
          <w:rFonts w:asciiTheme="minorHAnsi" w:hAnsiTheme="minorHAnsi"/>
        </w:rPr>
        <w:t xml:space="preserve"> population</w:t>
      </w:r>
      <w:r w:rsidR="00ED135A" w:rsidRPr="00555E92">
        <w:rPr>
          <w:rFonts w:asciiTheme="minorHAnsi" w:hAnsiTheme="minorHAnsi"/>
        </w:rPr>
        <w:t xml:space="preserve">) </w:t>
      </w:r>
      <w:r w:rsidRPr="00555E92">
        <w:rPr>
          <w:rFonts w:asciiTheme="minorHAnsi" w:hAnsiTheme="minorHAnsi"/>
        </w:rPr>
        <w:t xml:space="preserve">had a </w:t>
      </w:r>
      <w:r w:rsidR="00B4172E" w:rsidRPr="00555E92">
        <w:rPr>
          <w:rFonts w:asciiTheme="minorHAnsi" w:eastAsia="Times New Roman" w:hAnsiTheme="minorHAnsi" w:cs="Times New Roman"/>
        </w:rPr>
        <w:t xml:space="preserve">statistically </w:t>
      </w:r>
      <w:r w:rsidRPr="00555E92">
        <w:rPr>
          <w:rFonts w:asciiTheme="minorHAnsi" w:hAnsiTheme="minorHAnsi"/>
        </w:rPr>
        <w:t>significantly higher all-site cancer mortality rate compared to females (</w:t>
      </w:r>
      <w:r w:rsidR="005967DF" w:rsidRPr="00555E92">
        <w:rPr>
          <w:rFonts w:asciiTheme="minorHAnsi" w:hAnsiTheme="minorHAnsi"/>
        </w:rPr>
        <w:t>1</w:t>
      </w:r>
      <w:r w:rsidR="00555E92" w:rsidRPr="00555E92">
        <w:rPr>
          <w:rFonts w:asciiTheme="minorHAnsi" w:hAnsiTheme="minorHAnsi"/>
        </w:rPr>
        <w:t>3</w:t>
      </w:r>
      <w:r w:rsidR="00873EF7">
        <w:rPr>
          <w:rFonts w:asciiTheme="minorHAnsi" w:hAnsiTheme="minorHAnsi"/>
        </w:rPr>
        <w:t>1</w:t>
      </w:r>
      <w:r w:rsidR="005967DF" w:rsidRPr="00555E92">
        <w:rPr>
          <w:rFonts w:asciiTheme="minorHAnsi" w:hAnsiTheme="minorHAnsi"/>
        </w:rPr>
        <w:t>.</w:t>
      </w:r>
      <w:r w:rsidR="00873EF7">
        <w:rPr>
          <w:rFonts w:asciiTheme="minorHAnsi" w:hAnsiTheme="minorHAnsi"/>
        </w:rPr>
        <w:t>7</w:t>
      </w:r>
      <w:r w:rsidRPr="00555E92">
        <w:rPr>
          <w:rFonts w:asciiTheme="minorHAnsi" w:hAnsiTheme="minorHAnsi"/>
        </w:rPr>
        <w:t xml:space="preserve"> per 100,000</w:t>
      </w:r>
      <w:r w:rsidR="00477720" w:rsidRPr="00555E92">
        <w:rPr>
          <w:rFonts w:asciiTheme="minorHAnsi" w:hAnsiTheme="minorHAnsi"/>
        </w:rPr>
        <w:t xml:space="preserve"> population</w:t>
      </w:r>
      <w:r w:rsidRPr="00555E92">
        <w:rPr>
          <w:rFonts w:asciiTheme="minorHAnsi" w:hAnsiTheme="minorHAnsi"/>
        </w:rPr>
        <w:t>)</w:t>
      </w:r>
      <w:r w:rsidR="008728C0" w:rsidRPr="00555E92">
        <w:rPr>
          <w:rFonts w:asciiTheme="minorHAnsi" w:hAnsiTheme="minorHAnsi"/>
        </w:rPr>
        <w:t>.</w:t>
      </w:r>
    </w:p>
    <w:p w14:paraId="2A9F196E" w14:textId="6B82FC31" w:rsidR="003E5C0A" w:rsidRPr="00E50E56" w:rsidRDefault="00364F0F" w:rsidP="00B21C83">
      <w:pPr>
        <w:pStyle w:val="ListParagraph"/>
        <w:numPr>
          <w:ilvl w:val="1"/>
          <w:numId w:val="2"/>
        </w:numPr>
        <w:spacing w:after="120" w:line="240" w:lineRule="auto"/>
        <w:contextualSpacing w:val="0"/>
        <w:rPr>
          <w:rFonts w:asciiTheme="minorHAnsi" w:hAnsiTheme="minorHAnsi"/>
        </w:rPr>
      </w:pPr>
      <w:r w:rsidRPr="00E50E56">
        <w:rPr>
          <w:rFonts w:asciiTheme="minorHAnsi" w:hAnsiTheme="minorHAnsi"/>
        </w:rPr>
        <w:t xml:space="preserve">Non-Hispanic </w:t>
      </w:r>
      <w:r w:rsidR="00BB3D69" w:rsidRPr="00E50E56">
        <w:rPr>
          <w:rFonts w:asciiTheme="minorHAnsi" w:hAnsiTheme="minorHAnsi"/>
        </w:rPr>
        <w:t>Black</w:t>
      </w:r>
      <w:r w:rsidR="00E50E56">
        <w:rPr>
          <w:rFonts w:asciiTheme="minorHAnsi" w:hAnsiTheme="minorHAnsi"/>
        </w:rPr>
        <w:t xml:space="preserve"> Delawareans</w:t>
      </w:r>
      <w:r w:rsidR="003E5C0A" w:rsidRPr="00E50E56">
        <w:rPr>
          <w:rFonts w:asciiTheme="minorHAnsi" w:hAnsiTheme="minorHAnsi"/>
        </w:rPr>
        <w:t xml:space="preserve"> (</w:t>
      </w:r>
      <w:r w:rsidR="00E55D83" w:rsidRPr="00E50E56">
        <w:rPr>
          <w:rFonts w:asciiTheme="minorHAnsi" w:hAnsiTheme="minorHAnsi"/>
        </w:rPr>
        <w:t>17</w:t>
      </w:r>
      <w:r w:rsidR="00EC46E3" w:rsidRPr="00E50E56">
        <w:rPr>
          <w:rFonts w:asciiTheme="minorHAnsi" w:hAnsiTheme="minorHAnsi"/>
        </w:rPr>
        <w:t>1</w:t>
      </w:r>
      <w:r w:rsidR="00FF0D4D">
        <w:rPr>
          <w:rFonts w:asciiTheme="minorHAnsi" w:hAnsiTheme="minorHAnsi"/>
        </w:rPr>
        <w:t>.4</w:t>
      </w:r>
      <w:r w:rsidR="003E5C0A" w:rsidRPr="00E50E56">
        <w:rPr>
          <w:rFonts w:asciiTheme="minorHAnsi" w:hAnsiTheme="minorHAnsi"/>
        </w:rPr>
        <w:t xml:space="preserve"> per 100,000</w:t>
      </w:r>
      <w:r w:rsidR="00477720" w:rsidRPr="00E50E56">
        <w:rPr>
          <w:rFonts w:asciiTheme="minorHAnsi" w:hAnsiTheme="minorHAnsi"/>
        </w:rPr>
        <w:t xml:space="preserve"> population</w:t>
      </w:r>
      <w:r w:rsidR="003E5C0A" w:rsidRPr="00E50E56">
        <w:rPr>
          <w:rFonts w:asciiTheme="minorHAnsi" w:hAnsiTheme="minorHAnsi"/>
        </w:rPr>
        <w:t xml:space="preserve">) had a </w:t>
      </w:r>
      <w:r w:rsidR="00B4172E" w:rsidRPr="00E50E56">
        <w:rPr>
          <w:rFonts w:asciiTheme="minorHAnsi" w:eastAsia="Times New Roman" w:hAnsiTheme="minorHAnsi" w:cs="Times New Roman"/>
        </w:rPr>
        <w:t xml:space="preserve">statistically </w:t>
      </w:r>
      <w:r w:rsidR="003E5C0A" w:rsidRPr="00E50E56">
        <w:rPr>
          <w:rFonts w:asciiTheme="minorHAnsi" w:hAnsiTheme="minorHAnsi"/>
        </w:rPr>
        <w:t xml:space="preserve">significantly </w:t>
      </w:r>
      <w:r w:rsidR="00065436" w:rsidRPr="00E50E56">
        <w:rPr>
          <w:rFonts w:asciiTheme="minorHAnsi" w:hAnsiTheme="minorHAnsi"/>
        </w:rPr>
        <w:t xml:space="preserve">higher </w:t>
      </w:r>
      <w:r w:rsidR="003E5C0A" w:rsidRPr="00E50E56">
        <w:rPr>
          <w:rFonts w:asciiTheme="minorHAnsi" w:hAnsiTheme="minorHAnsi"/>
        </w:rPr>
        <w:t>all</w:t>
      </w:r>
      <w:r w:rsidR="00EC46E3" w:rsidRPr="00E50E56">
        <w:rPr>
          <w:rFonts w:asciiTheme="minorHAnsi" w:hAnsiTheme="minorHAnsi"/>
        </w:rPr>
        <w:t xml:space="preserve"> </w:t>
      </w:r>
      <w:r w:rsidR="00E44BA3" w:rsidRPr="00E50E56">
        <w:rPr>
          <w:rFonts w:asciiTheme="minorHAnsi" w:hAnsiTheme="minorHAnsi"/>
        </w:rPr>
        <w:t xml:space="preserve">compared to </w:t>
      </w:r>
      <w:r w:rsidR="00AC71E3" w:rsidRPr="00E50E56">
        <w:rPr>
          <w:rFonts w:asciiTheme="minorHAnsi" w:hAnsiTheme="minorHAnsi"/>
        </w:rPr>
        <w:t>non</w:t>
      </w:r>
      <w:r w:rsidR="00E44BA3" w:rsidRPr="00E50E56">
        <w:rPr>
          <w:rFonts w:asciiTheme="minorHAnsi" w:hAnsiTheme="minorHAnsi"/>
        </w:rPr>
        <w:t xml:space="preserve">-Hispanic </w:t>
      </w:r>
      <w:r w:rsidR="00BB3D69" w:rsidRPr="00E50E56">
        <w:rPr>
          <w:rFonts w:asciiTheme="minorHAnsi" w:hAnsiTheme="minorHAnsi"/>
        </w:rPr>
        <w:t>White</w:t>
      </w:r>
      <w:r w:rsidR="00E50E56">
        <w:rPr>
          <w:rFonts w:asciiTheme="minorHAnsi" w:hAnsiTheme="minorHAnsi"/>
        </w:rPr>
        <w:t xml:space="preserve"> Delawareans</w:t>
      </w:r>
      <w:r w:rsidR="00E44BA3" w:rsidRPr="00E50E56">
        <w:rPr>
          <w:rFonts w:asciiTheme="minorHAnsi" w:hAnsiTheme="minorHAnsi"/>
        </w:rPr>
        <w:t xml:space="preserve"> (</w:t>
      </w:r>
      <w:r w:rsidR="00E55D83" w:rsidRPr="00E50E56">
        <w:rPr>
          <w:rFonts w:asciiTheme="minorHAnsi" w:hAnsiTheme="minorHAnsi"/>
        </w:rPr>
        <w:t>1</w:t>
      </w:r>
      <w:r w:rsidR="00F61ACE" w:rsidRPr="00E50E56">
        <w:rPr>
          <w:rFonts w:asciiTheme="minorHAnsi" w:hAnsiTheme="minorHAnsi"/>
        </w:rPr>
        <w:t>5</w:t>
      </w:r>
      <w:r w:rsidR="00B60157">
        <w:rPr>
          <w:rFonts w:asciiTheme="minorHAnsi" w:hAnsiTheme="minorHAnsi"/>
        </w:rPr>
        <w:t>5</w:t>
      </w:r>
      <w:r w:rsidR="00E55D83" w:rsidRPr="00E50E56">
        <w:rPr>
          <w:rFonts w:asciiTheme="minorHAnsi" w:hAnsiTheme="minorHAnsi"/>
        </w:rPr>
        <w:t>.</w:t>
      </w:r>
      <w:r w:rsidR="00B60157">
        <w:rPr>
          <w:rFonts w:asciiTheme="minorHAnsi" w:hAnsiTheme="minorHAnsi"/>
        </w:rPr>
        <w:t>7</w:t>
      </w:r>
      <w:r w:rsidR="00E44BA3" w:rsidRPr="00E50E56">
        <w:rPr>
          <w:rFonts w:asciiTheme="minorHAnsi" w:hAnsiTheme="minorHAnsi"/>
        </w:rPr>
        <w:t xml:space="preserve"> per 100,000</w:t>
      </w:r>
      <w:r w:rsidR="00477720" w:rsidRPr="00E50E56">
        <w:rPr>
          <w:rFonts w:asciiTheme="minorHAnsi" w:hAnsiTheme="minorHAnsi"/>
        </w:rPr>
        <w:t xml:space="preserve"> population</w:t>
      </w:r>
      <w:r w:rsidR="00E44BA3" w:rsidRPr="00E50E56">
        <w:rPr>
          <w:rFonts w:asciiTheme="minorHAnsi" w:hAnsiTheme="minorHAnsi"/>
        </w:rPr>
        <w:t>)</w:t>
      </w:r>
      <w:r w:rsidR="003E5C0A" w:rsidRPr="00E50E56">
        <w:rPr>
          <w:rFonts w:asciiTheme="minorHAnsi" w:hAnsiTheme="minorHAnsi"/>
        </w:rPr>
        <w:t>.</w:t>
      </w:r>
    </w:p>
    <w:p w14:paraId="474E18CA" w14:textId="6C71D746" w:rsidR="00E4003C" w:rsidRPr="00E50E56" w:rsidRDefault="00E47B08" w:rsidP="00B21C83">
      <w:pPr>
        <w:pStyle w:val="ListParagraph"/>
        <w:numPr>
          <w:ilvl w:val="1"/>
          <w:numId w:val="2"/>
        </w:numPr>
        <w:spacing w:after="120" w:line="240" w:lineRule="auto"/>
        <w:contextualSpacing w:val="0"/>
        <w:rPr>
          <w:rFonts w:asciiTheme="minorHAnsi" w:hAnsiTheme="minorHAnsi"/>
        </w:rPr>
      </w:pPr>
      <w:r w:rsidRPr="00E50E56">
        <w:rPr>
          <w:rFonts w:asciiTheme="minorHAnsi" w:hAnsiTheme="minorHAnsi"/>
        </w:rPr>
        <w:t>Hispanic</w:t>
      </w:r>
      <w:r w:rsidR="00143B2E">
        <w:rPr>
          <w:rFonts w:asciiTheme="minorHAnsi" w:hAnsiTheme="minorHAnsi"/>
        </w:rPr>
        <w:t xml:space="preserve"> </w:t>
      </w:r>
      <w:r w:rsidR="00E50E56">
        <w:rPr>
          <w:rFonts w:asciiTheme="minorHAnsi" w:hAnsiTheme="minorHAnsi"/>
        </w:rPr>
        <w:t xml:space="preserve">Delawareans </w:t>
      </w:r>
      <w:r w:rsidRPr="00E50E56">
        <w:rPr>
          <w:rFonts w:asciiTheme="minorHAnsi" w:hAnsiTheme="minorHAnsi"/>
        </w:rPr>
        <w:t>(</w:t>
      </w:r>
      <w:r w:rsidR="00143B2E">
        <w:rPr>
          <w:rFonts w:asciiTheme="minorHAnsi" w:hAnsiTheme="minorHAnsi"/>
        </w:rPr>
        <w:t xml:space="preserve">98.6 </w:t>
      </w:r>
      <w:r w:rsidRPr="00E50E56">
        <w:rPr>
          <w:rFonts w:asciiTheme="minorHAnsi" w:hAnsiTheme="minorHAnsi"/>
        </w:rPr>
        <w:t>per 100,000</w:t>
      </w:r>
      <w:r w:rsidR="00477720" w:rsidRPr="00E50E56">
        <w:rPr>
          <w:rFonts w:asciiTheme="minorHAnsi" w:hAnsiTheme="minorHAnsi"/>
        </w:rPr>
        <w:t xml:space="preserve"> population</w:t>
      </w:r>
      <w:r w:rsidRPr="00E50E56">
        <w:rPr>
          <w:rFonts w:asciiTheme="minorHAnsi" w:hAnsiTheme="minorHAnsi"/>
        </w:rPr>
        <w:t xml:space="preserve">) had a </w:t>
      </w:r>
      <w:r w:rsidRPr="00E50E56">
        <w:rPr>
          <w:rFonts w:asciiTheme="minorHAnsi" w:eastAsia="Times New Roman" w:hAnsiTheme="minorHAnsi" w:cs="Times New Roman"/>
        </w:rPr>
        <w:t xml:space="preserve">statistically </w:t>
      </w:r>
      <w:r w:rsidRPr="00E50E56">
        <w:rPr>
          <w:rFonts w:asciiTheme="minorHAnsi" w:hAnsiTheme="minorHAnsi"/>
        </w:rPr>
        <w:t xml:space="preserve">significantly </w:t>
      </w:r>
      <w:r w:rsidR="00143B2E">
        <w:rPr>
          <w:rFonts w:asciiTheme="minorHAnsi" w:hAnsiTheme="minorHAnsi"/>
        </w:rPr>
        <w:t>lower</w:t>
      </w:r>
      <w:r w:rsidRPr="00E50E56">
        <w:rPr>
          <w:rFonts w:asciiTheme="minorHAnsi" w:hAnsiTheme="minorHAnsi"/>
        </w:rPr>
        <w:t xml:space="preserve"> all-site cancer mortality rate compared to </w:t>
      </w:r>
      <w:r w:rsidR="001A4AB4">
        <w:rPr>
          <w:rFonts w:asciiTheme="minorHAnsi" w:hAnsiTheme="minorHAnsi"/>
        </w:rPr>
        <w:t>non-</w:t>
      </w:r>
      <w:r w:rsidRPr="00E50E56">
        <w:rPr>
          <w:rFonts w:asciiTheme="minorHAnsi" w:hAnsiTheme="minorHAnsi"/>
        </w:rPr>
        <w:t>Hispanic</w:t>
      </w:r>
      <w:r w:rsidR="001A4AB4">
        <w:rPr>
          <w:rFonts w:asciiTheme="minorHAnsi" w:hAnsiTheme="minorHAnsi"/>
        </w:rPr>
        <w:t xml:space="preserve"> White</w:t>
      </w:r>
      <w:r w:rsidR="00E50E56">
        <w:rPr>
          <w:rFonts w:asciiTheme="minorHAnsi" w:hAnsiTheme="minorHAnsi"/>
        </w:rPr>
        <w:t xml:space="preserve"> Delawareans</w:t>
      </w:r>
      <w:r w:rsidRPr="00E50E56">
        <w:rPr>
          <w:rFonts w:asciiTheme="minorHAnsi" w:hAnsiTheme="minorHAnsi"/>
        </w:rPr>
        <w:t xml:space="preserve"> (</w:t>
      </w:r>
      <w:r w:rsidR="00E04B1E" w:rsidRPr="00E50E56">
        <w:rPr>
          <w:rFonts w:asciiTheme="minorHAnsi" w:hAnsiTheme="minorHAnsi"/>
        </w:rPr>
        <w:t>1</w:t>
      </w:r>
      <w:r w:rsidR="001A4AB4">
        <w:rPr>
          <w:rFonts w:asciiTheme="minorHAnsi" w:hAnsiTheme="minorHAnsi"/>
        </w:rPr>
        <w:t>55.7</w:t>
      </w:r>
      <w:r w:rsidRPr="00E50E56">
        <w:rPr>
          <w:rFonts w:asciiTheme="minorHAnsi" w:hAnsiTheme="minorHAnsi"/>
        </w:rPr>
        <w:t xml:space="preserve"> per 100,000</w:t>
      </w:r>
      <w:r w:rsidR="00477720" w:rsidRPr="00E50E56">
        <w:rPr>
          <w:rFonts w:asciiTheme="minorHAnsi" w:hAnsiTheme="minorHAnsi"/>
        </w:rPr>
        <w:t xml:space="preserve"> population</w:t>
      </w:r>
      <w:r w:rsidRPr="00E50E56">
        <w:rPr>
          <w:rFonts w:asciiTheme="minorHAnsi" w:hAnsiTheme="minorHAnsi"/>
        </w:rPr>
        <w:t>).</w:t>
      </w:r>
    </w:p>
    <w:p w14:paraId="349F4A35" w14:textId="3CAA2F14" w:rsidR="003E5C0A" w:rsidRPr="00DA3425" w:rsidRDefault="003E5C0A" w:rsidP="00B21C83">
      <w:pPr>
        <w:pStyle w:val="ListParagraph"/>
        <w:numPr>
          <w:ilvl w:val="0"/>
          <w:numId w:val="9"/>
        </w:numPr>
        <w:spacing w:after="120" w:line="240" w:lineRule="auto"/>
        <w:contextualSpacing w:val="0"/>
        <w:rPr>
          <w:rFonts w:asciiTheme="minorHAnsi" w:hAnsiTheme="minorHAnsi"/>
        </w:rPr>
      </w:pPr>
      <w:r w:rsidRPr="00DA3425">
        <w:rPr>
          <w:rFonts w:asciiTheme="minorHAnsi" w:hAnsiTheme="minorHAnsi"/>
        </w:rPr>
        <w:t>Comparing Delaware and the U.S.</w:t>
      </w:r>
      <w:r w:rsidR="00E56C53" w:rsidRPr="00DA3425">
        <w:rPr>
          <w:rFonts w:asciiTheme="minorHAnsi" w:hAnsiTheme="minorHAnsi"/>
        </w:rPr>
        <w:t xml:space="preserve"> from 201</w:t>
      </w:r>
      <w:r w:rsidR="00313223">
        <w:rPr>
          <w:rFonts w:asciiTheme="minorHAnsi" w:hAnsiTheme="minorHAnsi"/>
        </w:rPr>
        <w:t>7</w:t>
      </w:r>
      <w:r w:rsidR="00E56C53" w:rsidRPr="00DA3425">
        <w:rPr>
          <w:rFonts w:asciiTheme="minorHAnsi" w:hAnsiTheme="minorHAnsi"/>
        </w:rPr>
        <w:t>-20</w:t>
      </w:r>
      <w:r w:rsidR="007A4C37" w:rsidRPr="00DA3425">
        <w:rPr>
          <w:rFonts w:asciiTheme="minorHAnsi" w:hAnsiTheme="minorHAnsi"/>
        </w:rPr>
        <w:t>2</w:t>
      </w:r>
      <w:r w:rsidR="00313223">
        <w:rPr>
          <w:rFonts w:asciiTheme="minorHAnsi" w:hAnsiTheme="minorHAnsi"/>
        </w:rPr>
        <w:t>1</w:t>
      </w:r>
      <w:r w:rsidR="007D74D6" w:rsidRPr="00DA3425">
        <w:rPr>
          <w:rFonts w:asciiTheme="minorHAnsi" w:hAnsiTheme="minorHAnsi"/>
        </w:rPr>
        <w:t>:</w:t>
      </w:r>
    </w:p>
    <w:p w14:paraId="5DEEA466" w14:textId="2AB20115" w:rsidR="003E5C0A" w:rsidRPr="007D434E" w:rsidRDefault="003E5C0A" w:rsidP="00B21C83">
      <w:pPr>
        <w:pStyle w:val="ListParagraph"/>
        <w:numPr>
          <w:ilvl w:val="1"/>
          <w:numId w:val="6"/>
        </w:numPr>
        <w:spacing w:after="120" w:line="240" w:lineRule="auto"/>
        <w:contextualSpacing w:val="0"/>
        <w:rPr>
          <w:rFonts w:asciiTheme="minorHAnsi" w:hAnsiTheme="minorHAnsi"/>
        </w:rPr>
      </w:pPr>
      <w:r w:rsidRPr="007D434E">
        <w:rPr>
          <w:rFonts w:asciiTheme="minorHAnsi" w:hAnsiTheme="minorHAnsi"/>
        </w:rPr>
        <w:t>Delaware</w:t>
      </w:r>
      <w:r w:rsidR="00ED135A" w:rsidRPr="007D434E">
        <w:rPr>
          <w:rFonts w:asciiTheme="minorHAnsi" w:hAnsiTheme="minorHAnsi"/>
        </w:rPr>
        <w:t xml:space="preserve"> (</w:t>
      </w:r>
      <w:r w:rsidR="001E17CA" w:rsidRPr="007D434E">
        <w:rPr>
          <w:rFonts w:asciiTheme="minorHAnsi" w:hAnsiTheme="minorHAnsi"/>
        </w:rPr>
        <w:t>1</w:t>
      </w:r>
      <w:r w:rsidR="00797C91" w:rsidRPr="007D434E">
        <w:rPr>
          <w:rFonts w:asciiTheme="minorHAnsi" w:hAnsiTheme="minorHAnsi"/>
        </w:rPr>
        <w:t>5</w:t>
      </w:r>
      <w:r w:rsidR="00E35E90">
        <w:rPr>
          <w:rFonts w:asciiTheme="minorHAnsi" w:hAnsiTheme="minorHAnsi"/>
        </w:rPr>
        <w:t>4</w:t>
      </w:r>
      <w:r w:rsidR="001E17CA" w:rsidRPr="007D434E">
        <w:rPr>
          <w:rFonts w:asciiTheme="minorHAnsi" w:hAnsiTheme="minorHAnsi"/>
        </w:rPr>
        <w:t>.</w:t>
      </w:r>
      <w:r w:rsidR="00E35E90">
        <w:rPr>
          <w:rFonts w:asciiTheme="minorHAnsi" w:hAnsiTheme="minorHAnsi"/>
        </w:rPr>
        <w:t>1</w:t>
      </w:r>
      <w:r w:rsidR="00ED135A" w:rsidRPr="007D434E">
        <w:rPr>
          <w:rFonts w:asciiTheme="minorHAnsi" w:hAnsiTheme="minorHAnsi"/>
        </w:rPr>
        <w:t xml:space="preserve"> per 100,000</w:t>
      </w:r>
      <w:r w:rsidR="00C77E69" w:rsidRPr="007D434E">
        <w:rPr>
          <w:rFonts w:asciiTheme="minorHAnsi" w:hAnsiTheme="minorHAnsi"/>
        </w:rPr>
        <w:t xml:space="preserve"> population</w:t>
      </w:r>
      <w:r w:rsidR="00ED135A" w:rsidRPr="007D434E">
        <w:rPr>
          <w:rFonts w:asciiTheme="minorHAnsi" w:hAnsiTheme="minorHAnsi"/>
        </w:rPr>
        <w:t>)</w:t>
      </w:r>
      <w:r w:rsidRPr="007D434E">
        <w:rPr>
          <w:rFonts w:asciiTheme="minorHAnsi" w:hAnsiTheme="minorHAnsi"/>
        </w:rPr>
        <w:t xml:space="preserve"> had a higher all-site cancer mortality rate </w:t>
      </w:r>
      <w:r w:rsidR="00B21F23" w:rsidRPr="007D434E">
        <w:rPr>
          <w:rFonts w:asciiTheme="minorHAnsi" w:hAnsiTheme="minorHAnsi"/>
        </w:rPr>
        <w:t>compared to</w:t>
      </w:r>
      <w:r w:rsidRPr="007D434E">
        <w:rPr>
          <w:rFonts w:asciiTheme="minorHAnsi" w:hAnsiTheme="minorHAnsi"/>
        </w:rPr>
        <w:t xml:space="preserve"> </w:t>
      </w:r>
      <w:r w:rsidR="00615A77" w:rsidRPr="007D434E">
        <w:rPr>
          <w:rFonts w:asciiTheme="minorHAnsi" w:hAnsiTheme="minorHAnsi"/>
        </w:rPr>
        <w:t xml:space="preserve">the </w:t>
      </w:r>
      <w:r w:rsidRPr="007D434E">
        <w:rPr>
          <w:rFonts w:asciiTheme="minorHAnsi" w:hAnsiTheme="minorHAnsi"/>
        </w:rPr>
        <w:t>U.S. (</w:t>
      </w:r>
      <w:r w:rsidR="0080225F" w:rsidRPr="007D434E">
        <w:rPr>
          <w:rFonts w:asciiTheme="minorHAnsi" w:hAnsiTheme="minorHAnsi"/>
        </w:rPr>
        <w:t>1</w:t>
      </w:r>
      <w:r w:rsidR="00777468" w:rsidRPr="007D434E">
        <w:rPr>
          <w:rFonts w:asciiTheme="minorHAnsi" w:hAnsiTheme="minorHAnsi"/>
        </w:rPr>
        <w:t>4</w:t>
      </w:r>
      <w:r w:rsidR="00E35E90">
        <w:rPr>
          <w:rFonts w:asciiTheme="minorHAnsi" w:hAnsiTheme="minorHAnsi"/>
        </w:rPr>
        <w:t>8</w:t>
      </w:r>
      <w:r w:rsidR="002606AF" w:rsidRPr="007D434E">
        <w:rPr>
          <w:rFonts w:asciiTheme="minorHAnsi" w:hAnsiTheme="minorHAnsi"/>
        </w:rPr>
        <w:t>.4</w:t>
      </w:r>
      <w:r w:rsidRPr="007D434E">
        <w:rPr>
          <w:rFonts w:asciiTheme="minorHAnsi" w:hAnsiTheme="minorHAnsi"/>
        </w:rPr>
        <w:t xml:space="preserve"> per 100,000</w:t>
      </w:r>
      <w:r w:rsidR="00C77E69" w:rsidRPr="007D434E">
        <w:rPr>
          <w:rFonts w:asciiTheme="minorHAnsi" w:hAnsiTheme="minorHAnsi"/>
        </w:rPr>
        <w:t xml:space="preserve"> population</w:t>
      </w:r>
      <w:r w:rsidRPr="007D434E">
        <w:rPr>
          <w:rFonts w:asciiTheme="minorHAnsi" w:hAnsiTheme="minorHAnsi"/>
        </w:rPr>
        <w:t>).</w:t>
      </w:r>
    </w:p>
    <w:p w14:paraId="2725D265" w14:textId="6E9C3D71" w:rsidR="003E5C0A" w:rsidRPr="00120231" w:rsidRDefault="00615A77" w:rsidP="00B21C83">
      <w:pPr>
        <w:pStyle w:val="ListParagraph"/>
        <w:numPr>
          <w:ilvl w:val="1"/>
          <w:numId w:val="6"/>
        </w:numPr>
        <w:spacing w:after="120" w:line="240" w:lineRule="auto"/>
        <w:contextualSpacing w:val="0"/>
        <w:rPr>
          <w:rFonts w:asciiTheme="minorHAnsi" w:hAnsiTheme="minorHAnsi"/>
        </w:rPr>
      </w:pPr>
      <w:r w:rsidRPr="00120231">
        <w:rPr>
          <w:rFonts w:asciiTheme="minorHAnsi" w:hAnsiTheme="minorHAnsi"/>
        </w:rPr>
        <w:t xml:space="preserve">Delaware </w:t>
      </w:r>
      <w:r w:rsidR="003E5C0A" w:rsidRPr="00120231">
        <w:rPr>
          <w:rFonts w:asciiTheme="minorHAnsi" w:hAnsiTheme="minorHAnsi"/>
        </w:rPr>
        <w:t>males</w:t>
      </w:r>
      <w:r w:rsidRPr="00120231">
        <w:rPr>
          <w:rFonts w:asciiTheme="minorHAnsi" w:hAnsiTheme="minorHAnsi"/>
        </w:rPr>
        <w:t xml:space="preserve"> (</w:t>
      </w:r>
      <w:r w:rsidR="00A5424B" w:rsidRPr="00120231">
        <w:rPr>
          <w:rFonts w:asciiTheme="minorHAnsi" w:hAnsiTheme="minorHAnsi"/>
        </w:rPr>
        <w:t>1</w:t>
      </w:r>
      <w:r w:rsidR="00E610C5" w:rsidRPr="00120231">
        <w:rPr>
          <w:rFonts w:asciiTheme="minorHAnsi" w:hAnsiTheme="minorHAnsi"/>
        </w:rPr>
        <w:t>8</w:t>
      </w:r>
      <w:r w:rsidR="0062197D">
        <w:rPr>
          <w:rFonts w:asciiTheme="minorHAnsi" w:hAnsiTheme="minorHAnsi"/>
        </w:rPr>
        <w:t>4</w:t>
      </w:r>
      <w:r w:rsidR="00E610C5" w:rsidRPr="00120231">
        <w:rPr>
          <w:rFonts w:asciiTheme="minorHAnsi" w:hAnsiTheme="minorHAnsi"/>
        </w:rPr>
        <w:t>.</w:t>
      </w:r>
      <w:r w:rsidR="0062197D">
        <w:rPr>
          <w:rFonts w:asciiTheme="minorHAnsi" w:hAnsiTheme="minorHAnsi"/>
        </w:rPr>
        <w:t>7</w:t>
      </w:r>
      <w:r w:rsidRPr="00120231">
        <w:rPr>
          <w:rFonts w:asciiTheme="minorHAnsi" w:hAnsiTheme="minorHAnsi"/>
        </w:rPr>
        <w:t xml:space="preserve"> per 100,000</w:t>
      </w:r>
      <w:r w:rsidR="00C77E69" w:rsidRPr="00120231">
        <w:rPr>
          <w:rFonts w:asciiTheme="minorHAnsi" w:hAnsiTheme="minorHAnsi"/>
        </w:rPr>
        <w:t xml:space="preserve"> population</w:t>
      </w:r>
      <w:r w:rsidRPr="00120231">
        <w:rPr>
          <w:rFonts w:asciiTheme="minorHAnsi" w:hAnsiTheme="minorHAnsi"/>
        </w:rPr>
        <w:t xml:space="preserve">) </w:t>
      </w:r>
      <w:r w:rsidR="00CD4D12" w:rsidRPr="00120231">
        <w:rPr>
          <w:rFonts w:asciiTheme="minorHAnsi" w:hAnsiTheme="minorHAnsi"/>
        </w:rPr>
        <w:t>had a</w:t>
      </w:r>
      <w:r w:rsidR="00DF186E">
        <w:rPr>
          <w:rFonts w:asciiTheme="minorHAnsi" w:hAnsiTheme="minorHAnsi"/>
        </w:rPr>
        <w:t xml:space="preserve"> </w:t>
      </w:r>
      <w:r w:rsidR="00CD4D12" w:rsidRPr="00120231">
        <w:rPr>
          <w:rFonts w:asciiTheme="minorHAnsi" w:hAnsiTheme="minorHAnsi"/>
        </w:rPr>
        <w:t xml:space="preserve">higher all-site cancer mortality rate compared to </w:t>
      </w:r>
      <w:r w:rsidRPr="00120231">
        <w:rPr>
          <w:rFonts w:asciiTheme="minorHAnsi" w:hAnsiTheme="minorHAnsi"/>
        </w:rPr>
        <w:t xml:space="preserve">U.S. males </w:t>
      </w:r>
      <w:r w:rsidR="003E5C0A" w:rsidRPr="00120231">
        <w:rPr>
          <w:rFonts w:asciiTheme="minorHAnsi" w:hAnsiTheme="minorHAnsi"/>
        </w:rPr>
        <w:t>(</w:t>
      </w:r>
      <w:r w:rsidR="000F3480" w:rsidRPr="00120231">
        <w:rPr>
          <w:rFonts w:asciiTheme="minorHAnsi" w:hAnsiTheme="minorHAnsi"/>
        </w:rPr>
        <w:t>1</w:t>
      </w:r>
      <w:r w:rsidR="00FD104D" w:rsidRPr="00120231">
        <w:rPr>
          <w:rFonts w:asciiTheme="minorHAnsi" w:hAnsiTheme="minorHAnsi"/>
        </w:rPr>
        <w:t>7</w:t>
      </w:r>
      <w:r w:rsidR="0062197D">
        <w:rPr>
          <w:rFonts w:asciiTheme="minorHAnsi" w:hAnsiTheme="minorHAnsi"/>
        </w:rPr>
        <w:t>6</w:t>
      </w:r>
      <w:r w:rsidR="00FD104D" w:rsidRPr="00120231">
        <w:rPr>
          <w:rFonts w:asciiTheme="minorHAnsi" w:hAnsiTheme="minorHAnsi"/>
        </w:rPr>
        <w:t>.5</w:t>
      </w:r>
      <w:r w:rsidR="003E5C0A" w:rsidRPr="00120231">
        <w:rPr>
          <w:rFonts w:asciiTheme="minorHAnsi" w:hAnsiTheme="minorHAnsi"/>
        </w:rPr>
        <w:t xml:space="preserve"> per 100,000</w:t>
      </w:r>
      <w:r w:rsidR="00C77E69" w:rsidRPr="00120231">
        <w:rPr>
          <w:rFonts w:asciiTheme="minorHAnsi" w:hAnsiTheme="minorHAnsi"/>
        </w:rPr>
        <w:t xml:space="preserve"> population</w:t>
      </w:r>
      <w:r w:rsidR="003E5C0A" w:rsidRPr="00120231">
        <w:rPr>
          <w:rFonts w:asciiTheme="minorHAnsi" w:hAnsiTheme="minorHAnsi"/>
        </w:rPr>
        <w:t>)</w:t>
      </w:r>
      <w:r w:rsidR="00065436" w:rsidRPr="00120231">
        <w:rPr>
          <w:rFonts w:asciiTheme="minorHAnsi" w:hAnsiTheme="minorHAnsi"/>
        </w:rPr>
        <w:t>.</w:t>
      </w:r>
    </w:p>
    <w:p w14:paraId="533507E3" w14:textId="796A3BC1" w:rsidR="00065436" w:rsidRPr="00124F3B" w:rsidRDefault="00065436" w:rsidP="00B21C83">
      <w:pPr>
        <w:pStyle w:val="ListParagraph"/>
        <w:numPr>
          <w:ilvl w:val="1"/>
          <w:numId w:val="6"/>
        </w:numPr>
        <w:spacing w:after="120" w:line="240" w:lineRule="auto"/>
        <w:contextualSpacing w:val="0"/>
        <w:rPr>
          <w:rFonts w:asciiTheme="minorHAnsi" w:hAnsiTheme="minorHAnsi"/>
        </w:rPr>
      </w:pPr>
      <w:r w:rsidRPr="00124F3B">
        <w:rPr>
          <w:rFonts w:asciiTheme="minorHAnsi" w:hAnsiTheme="minorHAnsi"/>
        </w:rPr>
        <w:t>Delaware females (</w:t>
      </w:r>
      <w:r w:rsidR="00092F58" w:rsidRPr="00124F3B">
        <w:rPr>
          <w:rFonts w:asciiTheme="minorHAnsi" w:hAnsiTheme="minorHAnsi"/>
        </w:rPr>
        <w:t>13</w:t>
      </w:r>
      <w:r w:rsidR="0062197D">
        <w:rPr>
          <w:rFonts w:asciiTheme="minorHAnsi" w:hAnsiTheme="minorHAnsi"/>
        </w:rPr>
        <w:t>1</w:t>
      </w:r>
      <w:r w:rsidR="00092F58" w:rsidRPr="00124F3B">
        <w:rPr>
          <w:rFonts w:asciiTheme="minorHAnsi" w:hAnsiTheme="minorHAnsi"/>
        </w:rPr>
        <w:t>.</w:t>
      </w:r>
      <w:r w:rsidR="0062197D">
        <w:rPr>
          <w:rFonts w:asciiTheme="minorHAnsi" w:hAnsiTheme="minorHAnsi"/>
        </w:rPr>
        <w:t>7</w:t>
      </w:r>
      <w:r w:rsidRPr="00124F3B">
        <w:rPr>
          <w:rFonts w:asciiTheme="minorHAnsi" w:hAnsiTheme="minorHAnsi"/>
        </w:rPr>
        <w:t xml:space="preserve"> per 100,000</w:t>
      </w:r>
      <w:r w:rsidR="00C77E69" w:rsidRPr="00124F3B">
        <w:rPr>
          <w:rFonts w:asciiTheme="minorHAnsi" w:hAnsiTheme="minorHAnsi"/>
        </w:rPr>
        <w:t xml:space="preserve"> population</w:t>
      </w:r>
      <w:r w:rsidRPr="00124F3B">
        <w:rPr>
          <w:rFonts w:asciiTheme="minorHAnsi" w:hAnsiTheme="minorHAnsi"/>
        </w:rPr>
        <w:t>)</w:t>
      </w:r>
      <w:r w:rsidR="0062197D">
        <w:rPr>
          <w:rFonts w:asciiTheme="minorHAnsi" w:hAnsiTheme="minorHAnsi"/>
        </w:rPr>
        <w:t xml:space="preserve"> had a higher all-site cancer mortality rate compared to </w:t>
      </w:r>
      <w:r w:rsidRPr="00124F3B">
        <w:rPr>
          <w:rFonts w:asciiTheme="minorHAnsi" w:hAnsiTheme="minorHAnsi"/>
        </w:rPr>
        <w:t>U.S. females (</w:t>
      </w:r>
      <w:r w:rsidR="00092F58" w:rsidRPr="00124F3B">
        <w:rPr>
          <w:rFonts w:asciiTheme="minorHAnsi" w:hAnsiTheme="minorHAnsi"/>
        </w:rPr>
        <w:t>1</w:t>
      </w:r>
      <w:r w:rsidR="00694282" w:rsidRPr="00124F3B">
        <w:rPr>
          <w:rFonts w:asciiTheme="minorHAnsi" w:hAnsiTheme="minorHAnsi"/>
        </w:rPr>
        <w:t>28</w:t>
      </w:r>
      <w:r w:rsidR="00092F58" w:rsidRPr="00124F3B">
        <w:rPr>
          <w:rFonts w:asciiTheme="minorHAnsi" w:hAnsiTheme="minorHAnsi"/>
        </w:rPr>
        <w:t>.</w:t>
      </w:r>
      <w:r w:rsidR="0062197D">
        <w:rPr>
          <w:rFonts w:asciiTheme="minorHAnsi" w:hAnsiTheme="minorHAnsi"/>
        </w:rPr>
        <w:t>3</w:t>
      </w:r>
      <w:r w:rsidRPr="00124F3B">
        <w:rPr>
          <w:rFonts w:asciiTheme="minorHAnsi" w:hAnsiTheme="minorHAnsi"/>
        </w:rPr>
        <w:t xml:space="preserve"> per 100,000</w:t>
      </w:r>
      <w:r w:rsidR="00C77E69" w:rsidRPr="00124F3B">
        <w:rPr>
          <w:rFonts w:asciiTheme="minorHAnsi" w:hAnsiTheme="minorHAnsi"/>
        </w:rPr>
        <w:t xml:space="preserve"> population</w:t>
      </w:r>
      <w:r w:rsidRPr="00124F3B">
        <w:rPr>
          <w:rFonts w:asciiTheme="minorHAnsi" w:hAnsiTheme="minorHAnsi"/>
        </w:rPr>
        <w:t>)</w:t>
      </w:r>
      <w:r w:rsidR="00156153" w:rsidRPr="00124F3B">
        <w:rPr>
          <w:rFonts w:asciiTheme="minorHAnsi" w:hAnsiTheme="minorHAnsi"/>
        </w:rPr>
        <w:t xml:space="preserve">. </w:t>
      </w:r>
    </w:p>
    <w:p w14:paraId="71053166" w14:textId="780D1588" w:rsidR="003E5C0A" w:rsidRPr="004B25C0" w:rsidRDefault="00364F0F" w:rsidP="00B21C83">
      <w:pPr>
        <w:pStyle w:val="ListParagraph"/>
        <w:numPr>
          <w:ilvl w:val="1"/>
          <w:numId w:val="6"/>
        </w:numPr>
        <w:spacing w:after="120" w:line="240" w:lineRule="auto"/>
        <w:contextualSpacing w:val="0"/>
        <w:rPr>
          <w:rFonts w:asciiTheme="minorHAnsi" w:hAnsiTheme="minorHAnsi"/>
        </w:rPr>
      </w:pPr>
      <w:r w:rsidRPr="00DA30B2">
        <w:rPr>
          <w:rFonts w:asciiTheme="minorHAnsi" w:hAnsiTheme="minorHAnsi"/>
        </w:rPr>
        <w:t>Non</w:t>
      </w:r>
      <w:r w:rsidRPr="004B25C0">
        <w:rPr>
          <w:rFonts w:asciiTheme="minorHAnsi" w:hAnsiTheme="minorHAnsi"/>
        </w:rPr>
        <w:t xml:space="preserve">-Hispanic </w:t>
      </w:r>
      <w:r w:rsidR="00BB3D69" w:rsidRPr="004B25C0">
        <w:rPr>
          <w:rFonts w:asciiTheme="minorHAnsi" w:hAnsiTheme="minorHAnsi"/>
        </w:rPr>
        <w:t>White</w:t>
      </w:r>
      <w:r w:rsidR="00BC1540" w:rsidRPr="004B25C0">
        <w:rPr>
          <w:rFonts w:asciiTheme="minorHAnsi" w:hAnsiTheme="minorHAnsi"/>
        </w:rPr>
        <w:t xml:space="preserve"> Delawareans</w:t>
      </w:r>
      <w:r w:rsidR="00F56AA5" w:rsidRPr="004B25C0">
        <w:rPr>
          <w:rFonts w:asciiTheme="minorHAnsi" w:hAnsiTheme="minorHAnsi"/>
        </w:rPr>
        <w:t xml:space="preserve"> (</w:t>
      </w:r>
      <w:r w:rsidR="004718D4" w:rsidRPr="004B25C0">
        <w:rPr>
          <w:rFonts w:asciiTheme="minorHAnsi" w:hAnsiTheme="minorHAnsi"/>
        </w:rPr>
        <w:t>1</w:t>
      </w:r>
      <w:r w:rsidR="006C0351" w:rsidRPr="004B25C0">
        <w:rPr>
          <w:rFonts w:asciiTheme="minorHAnsi" w:hAnsiTheme="minorHAnsi"/>
        </w:rPr>
        <w:t>5</w:t>
      </w:r>
      <w:r w:rsidR="001D2D1E" w:rsidRPr="004B25C0">
        <w:rPr>
          <w:rFonts w:asciiTheme="minorHAnsi" w:hAnsiTheme="minorHAnsi"/>
        </w:rPr>
        <w:t>5.7</w:t>
      </w:r>
      <w:r w:rsidR="00F56AA5" w:rsidRPr="004B25C0">
        <w:rPr>
          <w:rFonts w:asciiTheme="minorHAnsi" w:hAnsiTheme="minorHAnsi"/>
        </w:rPr>
        <w:t xml:space="preserve"> per 100,000</w:t>
      </w:r>
      <w:r w:rsidR="00C77E69" w:rsidRPr="004B25C0">
        <w:rPr>
          <w:rFonts w:asciiTheme="minorHAnsi" w:hAnsiTheme="minorHAnsi"/>
        </w:rPr>
        <w:t xml:space="preserve"> population</w:t>
      </w:r>
      <w:r w:rsidR="00F56AA5" w:rsidRPr="004B25C0">
        <w:rPr>
          <w:rFonts w:asciiTheme="minorHAnsi" w:hAnsiTheme="minorHAnsi"/>
        </w:rPr>
        <w:t>)</w:t>
      </w:r>
      <w:r w:rsidR="003E5C0A" w:rsidRPr="004B25C0">
        <w:rPr>
          <w:rFonts w:asciiTheme="minorHAnsi" w:hAnsiTheme="minorHAnsi"/>
        </w:rPr>
        <w:t xml:space="preserve"> </w:t>
      </w:r>
      <w:r w:rsidR="00CD4D12" w:rsidRPr="004B25C0">
        <w:rPr>
          <w:rFonts w:asciiTheme="minorHAnsi" w:hAnsiTheme="minorHAnsi"/>
        </w:rPr>
        <w:t>had</w:t>
      </w:r>
      <w:r w:rsidR="00EC57D3" w:rsidRPr="004B25C0">
        <w:rPr>
          <w:rFonts w:asciiTheme="minorHAnsi" w:hAnsiTheme="minorHAnsi"/>
        </w:rPr>
        <w:t xml:space="preserve"> a </w:t>
      </w:r>
      <w:r w:rsidR="00CD4D12" w:rsidRPr="004B25C0">
        <w:rPr>
          <w:rFonts w:asciiTheme="minorHAnsi" w:hAnsiTheme="minorHAnsi"/>
        </w:rPr>
        <w:t xml:space="preserve">higher all-site cancer mortality rate compared to </w:t>
      </w:r>
      <w:r w:rsidR="00AF10E5" w:rsidRPr="004B25C0">
        <w:rPr>
          <w:rFonts w:asciiTheme="minorHAnsi" w:hAnsiTheme="minorHAnsi"/>
        </w:rPr>
        <w:t>n</w:t>
      </w:r>
      <w:r w:rsidRPr="004B25C0">
        <w:rPr>
          <w:rFonts w:asciiTheme="minorHAnsi" w:hAnsiTheme="minorHAnsi"/>
        </w:rPr>
        <w:t xml:space="preserve">on-Hispanic </w:t>
      </w:r>
      <w:r w:rsidR="00BB3D69" w:rsidRPr="004B25C0">
        <w:rPr>
          <w:rFonts w:asciiTheme="minorHAnsi" w:hAnsiTheme="minorHAnsi"/>
        </w:rPr>
        <w:t>White</w:t>
      </w:r>
      <w:r w:rsidR="00542860" w:rsidRPr="004B25C0">
        <w:rPr>
          <w:rFonts w:asciiTheme="minorHAnsi" w:hAnsiTheme="minorHAnsi"/>
        </w:rPr>
        <w:t xml:space="preserve"> Americans</w:t>
      </w:r>
      <w:r w:rsidR="003E5C0A" w:rsidRPr="004B25C0">
        <w:rPr>
          <w:rFonts w:asciiTheme="minorHAnsi" w:hAnsiTheme="minorHAnsi"/>
        </w:rPr>
        <w:t xml:space="preserve"> in the U.S</w:t>
      </w:r>
      <w:r w:rsidR="00A85A23" w:rsidRPr="004B25C0">
        <w:rPr>
          <w:rFonts w:asciiTheme="minorHAnsi" w:hAnsiTheme="minorHAnsi"/>
        </w:rPr>
        <w:t>.</w:t>
      </w:r>
      <w:r w:rsidR="003E5C0A" w:rsidRPr="004B25C0">
        <w:rPr>
          <w:rFonts w:asciiTheme="minorHAnsi" w:hAnsiTheme="minorHAnsi"/>
        </w:rPr>
        <w:t xml:space="preserve"> (</w:t>
      </w:r>
      <w:r w:rsidR="00214A3F" w:rsidRPr="004B25C0">
        <w:rPr>
          <w:rFonts w:asciiTheme="minorHAnsi" w:hAnsiTheme="minorHAnsi"/>
        </w:rPr>
        <w:t>15</w:t>
      </w:r>
      <w:r w:rsidR="001D2D1E" w:rsidRPr="004B25C0">
        <w:rPr>
          <w:rFonts w:asciiTheme="minorHAnsi" w:hAnsiTheme="minorHAnsi"/>
        </w:rPr>
        <w:t>3</w:t>
      </w:r>
      <w:r w:rsidR="00A438FB" w:rsidRPr="004B25C0">
        <w:rPr>
          <w:rFonts w:asciiTheme="minorHAnsi" w:hAnsiTheme="minorHAnsi"/>
        </w:rPr>
        <w:t>.</w:t>
      </w:r>
      <w:r w:rsidR="001D2D1E" w:rsidRPr="004B25C0">
        <w:rPr>
          <w:rFonts w:asciiTheme="minorHAnsi" w:hAnsiTheme="minorHAnsi"/>
        </w:rPr>
        <w:t>6</w:t>
      </w:r>
      <w:r w:rsidR="003E5C0A" w:rsidRPr="004B25C0">
        <w:rPr>
          <w:rFonts w:asciiTheme="minorHAnsi" w:hAnsiTheme="minorHAnsi"/>
        </w:rPr>
        <w:t xml:space="preserve"> per 100,000</w:t>
      </w:r>
      <w:r w:rsidR="00C77E69" w:rsidRPr="004B25C0">
        <w:rPr>
          <w:rFonts w:asciiTheme="minorHAnsi" w:hAnsiTheme="minorHAnsi"/>
        </w:rPr>
        <w:t xml:space="preserve"> population</w:t>
      </w:r>
      <w:r w:rsidR="003E5C0A" w:rsidRPr="004B25C0">
        <w:rPr>
          <w:rFonts w:asciiTheme="minorHAnsi" w:hAnsiTheme="minorHAnsi"/>
        </w:rPr>
        <w:t>).</w:t>
      </w:r>
    </w:p>
    <w:p w14:paraId="05013E0C" w14:textId="3F6595B0" w:rsidR="00044A90" w:rsidRPr="004B25C0" w:rsidRDefault="00044A90" w:rsidP="00B21C83">
      <w:pPr>
        <w:pStyle w:val="ListParagraph"/>
        <w:numPr>
          <w:ilvl w:val="1"/>
          <w:numId w:val="6"/>
        </w:numPr>
        <w:spacing w:after="120" w:line="240" w:lineRule="auto"/>
        <w:contextualSpacing w:val="0"/>
        <w:rPr>
          <w:rFonts w:asciiTheme="minorHAnsi" w:hAnsiTheme="minorHAnsi"/>
        </w:rPr>
      </w:pPr>
      <w:r w:rsidRPr="004B25C0">
        <w:rPr>
          <w:rFonts w:asciiTheme="minorHAnsi" w:hAnsiTheme="minorHAnsi"/>
        </w:rPr>
        <w:lastRenderedPageBreak/>
        <w:t xml:space="preserve">Non-Hispanic </w:t>
      </w:r>
      <w:r w:rsidR="00EC57D3" w:rsidRPr="004B25C0">
        <w:rPr>
          <w:rFonts w:asciiTheme="minorHAnsi" w:hAnsiTheme="minorHAnsi"/>
        </w:rPr>
        <w:t>Black</w:t>
      </w:r>
      <w:r w:rsidR="00BC1540" w:rsidRPr="004B25C0">
        <w:rPr>
          <w:rFonts w:asciiTheme="minorHAnsi" w:hAnsiTheme="minorHAnsi"/>
        </w:rPr>
        <w:t xml:space="preserve"> Delawareans (</w:t>
      </w:r>
      <w:r w:rsidRPr="004B25C0">
        <w:rPr>
          <w:rFonts w:asciiTheme="minorHAnsi" w:hAnsiTheme="minorHAnsi"/>
        </w:rPr>
        <w:t>1</w:t>
      </w:r>
      <w:r w:rsidR="00A23CC8" w:rsidRPr="004B25C0">
        <w:rPr>
          <w:rFonts w:asciiTheme="minorHAnsi" w:hAnsiTheme="minorHAnsi"/>
        </w:rPr>
        <w:t>71.4</w:t>
      </w:r>
      <w:r w:rsidRPr="004B25C0">
        <w:rPr>
          <w:rFonts w:asciiTheme="minorHAnsi" w:hAnsiTheme="minorHAnsi"/>
        </w:rPr>
        <w:t xml:space="preserve"> per 100,000 population) had a</w:t>
      </w:r>
      <w:r w:rsidR="00EC57D3" w:rsidRPr="004B25C0">
        <w:rPr>
          <w:rFonts w:asciiTheme="minorHAnsi" w:hAnsiTheme="minorHAnsi"/>
        </w:rPr>
        <w:t xml:space="preserve"> </w:t>
      </w:r>
      <w:r w:rsidRPr="004B25C0">
        <w:rPr>
          <w:rFonts w:asciiTheme="minorHAnsi" w:hAnsiTheme="minorHAnsi"/>
        </w:rPr>
        <w:t xml:space="preserve">higher all-site cancer mortality rate compared to </w:t>
      </w:r>
      <w:r w:rsidR="00AC71E3" w:rsidRPr="004B25C0">
        <w:rPr>
          <w:rFonts w:asciiTheme="minorHAnsi" w:hAnsiTheme="minorHAnsi"/>
        </w:rPr>
        <w:t>non</w:t>
      </w:r>
      <w:r w:rsidRPr="004B25C0">
        <w:rPr>
          <w:rFonts w:asciiTheme="minorHAnsi" w:hAnsiTheme="minorHAnsi"/>
        </w:rPr>
        <w:t>-Hispanic White</w:t>
      </w:r>
      <w:r w:rsidR="004B25C0" w:rsidRPr="004B25C0">
        <w:rPr>
          <w:rFonts w:asciiTheme="minorHAnsi" w:hAnsiTheme="minorHAnsi"/>
        </w:rPr>
        <w:t xml:space="preserve"> Americans</w:t>
      </w:r>
      <w:r w:rsidRPr="004B25C0">
        <w:rPr>
          <w:rFonts w:asciiTheme="minorHAnsi" w:hAnsiTheme="minorHAnsi"/>
        </w:rPr>
        <w:t xml:space="preserve"> in the U.S. (1</w:t>
      </w:r>
      <w:r w:rsidR="00A23CC8" w:rsidRPr="004B25C0">
        <w:rPr>
          <w:rFonts w:asciiTheme="minorHAnsi" w:hAnsiTheme="minorHAnsi"/>
        </w:rPr>
        <w:t>72.0</w:t>
      </w:r>
      <w:r w:rsidRPr="004B25C0">
        <w:rPr>
          <w:rFonts w:asciiTheme="minorHAnsi" w:hAnsiTheme="minorHAnsi"/>
        </w:rPr>
        <w:t xml:space="preserve"> per 100,000 population).</w:t>
      </w:r>
    </w:p>
    <w:p w14:paraId="1BB5FFB2" w14:textId="1F95609F" w:rsidR="00044A90" w:rsidRPr="004B25C0" w:rsidRDefault="00EC57D3" w:rsidP="00B21C83">
      <w:pPr>
        <w:pStyle w:val="ListParagraph"/>
        <w:numPr>
          <w:ilvl w:val="1"/>
          <w:numId w:val="6"/>
        </w:numPr>
        <w:spacing w:after="120" w:line="240" w:lineRule="auto"/>
        <w:contextualSpacing w:val="0"/>
        <w:rPr>
          <w:rFonts w:asciiTheme="minorHAnsi" w:hAnsiTheme="minorHAnsi"/>
        </w:rPr>
      </w:pPr>
      <w:r w:rsidRPr="004B25C0">
        <w:rPr>
          <w:rFonts w:asciiTheme="minorHAnsi" w:hAnsiTheme="minorHAnsi"/>
        </w:rPr>
        <w:t>Hispanic</w:t>
      </w:r>
      <w:r w:rsidR="004B25C0" w:rsidRPr="004B25C0">
        <w:rPr>
          <w:rFonts w:asciiTheme="minorHAnsi" w:hAnsiTheme="minorHAnsi"/>
        </w:rPr>
        <w:t xml:space="preserve"> Delawareans </w:t>
      </w:r>
      <w:r w:rsidR="00044A90" w:rsidRPr="004B25C0">
        <w:rPr>
          <w:rFonts w:asciiTheme="minorHAnsi" w:hAnsiTheme="minorHAnsi"/>
        </w:rPr>
        <w:t>(</w:t>
      </w:r>
      <w:r w:rsidR="007809C3" w:rsidRPr="004B25C0">
        <w:rPr>
          <w:rFonts w:asciiTheme="minorHAnsi" w:hAnsiTheme="minorHAnsi"/>
        </w:rPr>
        <w:t>98.6</w:t>
      </w:r>
      <w:r w:rsidR="00044A90" w:rsidRPr="004B25C0">
        <w:rPr>
          <w:rFonts w:asciiTheme="minorHAnsi" w:hAnsiTheme="minorHAnsi"/>
        </w:rPr>
        <w:t xml:space="preserve"> per 100,000 population) had</w:t>
      </w:r>
      <w:r w:rsidR="003856F3" w:rsidRPr="004B25C0">
        <w:rPr>
          <w:rFonts w:asciiTheme="minorHAnsi" w:hAnsiTheme="minorHAnsi"/>
        </w:rPr>
        <w:t xml:space="preserve"> a lower</w:t>
      </w:r>
      <w:r w:rsidR="00044A90" w:rsidRPr="004B25C0">
        <w:rPr>
          <w:rFonts w:asciiTheme="minorHAnsi" w:hAnsiTheme="minorHAnsi"/>
        </w:rPr>
        <w:t xml:space="preserve"> all-site cancer mortality rate compared to </w:t>
      </w:r>
      <w:r w:rsidR="00DF6C9E" w:rsidRPr="004B25C0">
        <w:rPr>
          <w:rFonts w:asciiTheme="minorHAnsi" w:hAnsiTheme="minorHAnsi"/>
        </w:rPr>
        <w:t>Hispanic</w:t>
      </w:r>
      <w:r w:rsidR="00DF6C9E">
        <w:rPr>
          <w:rFonts w:asciiTheme="minorHAnsi" w:hAnsiTheme="minorHAnsi"/>
        </w:rPr>
        <w:t xml:space="preserve"> </w:t>
      </w:r>
      <w:r w:rsidR="00DF6C9E" w:rsidRPr="004B25C0">
        <w:rPr>
          <w:rFonts w:asciiTheme="minorHAnsi" w:hAnsiTheme="minorHAnsi"/>
        </w:rPr>
        <w:t>Americans</w:t>
      </w:r>
      <w:r w:rsidR="00044A90" w:rsidRPr="004B25C0">
        <w:rPr>
          <w:rFonts w:asciiTheme="minorHAnsi" w:hAnsiTheme="minorHAnsi"/>
        </w:rPr>
        <w:t xml:space="preserve"> in the U.S. (1</w:t>
      </w:r>
      <w:r w:rsidR="007809C3" w:rsidRPr="004B25C0">
        <w:rPr>
          <w:rFonts w:asciiTheme="minorHAnsi" w:hAnsiTheme="minorHAnsi"/>
        </w:rPr>
        <w:t xml:space="preserve">08.1 </w:t>
      </w:r>
      <w:r w:rsidR="00044A90" w:rsidRPr="004B25C0">
        <w:rPr>
          <w:rFonts w:asciiTheme="minorHAnsi" w:hAnsiTheme="minorHAnsi"/>
        </w:rPr>
        <w:t>per 100,000 population).</w:t>
      </w:r>
    </w:p>
    <w:p w14:paraId="146A9419" w14:textId="5E3AD827" w:rsidR="003F2D66" w:rsidRPr="00044A90" w:rsidRDefault="003F2D66" w:rsidP="00044A90">
      <w:pPr>
        <w:pStyle w:val="ListParagraph"/>
        <w:spacing w:after="120" w:line="240" w:lineRule="auto"/>
        <w:contextualSpacing w:val="0"/>
        <w:rPr>
          <w:rFonts w:asciiTheme="minorHAnsi" w:hAnsiTheme="minorHAnsi"/>
        </w:rPr>
      </w:pPr>
    </w:p>
    <w:p w14:paraId="6A7D69DD" w14:textId="77777777" w:rsidR="00ED63F9" w:rsidRDefault="00ED63F9">
      <w:pPr>
        <w:rPr>
          <w:rFonts w:asciiTheme="minorHAnsi" w:hAnsiTheme="minorHAnsi"/>
          <w:b/>
          <w:caps/>
          <w:color w:val="1A4070" w:themeColor="accent2" w:themeShade="7F"/>
          <w:sz w:val="24"/>
          <w:szCs w:val="24"/>
        </w:rPr>
      </w:pPr>
      <w:r>
        <w:rPr>
          <w:rFonts w:asciiTheme="minorHAnsi" w:hAnsiTheme="minorHAnsi"/>
        </w:rPr>
        <w:br w:type="page"/>
      </w:r>
    </w:p>
    <w:p w14:paraId="051AD730" w14:textId="11053CE5" w:rsidR="003E5C0A" w:rsidRPr="00CE3F54" w:rsidRDefault="007B748D" w:rsidP="000C02FF">
      <w:pPr>
        <w:pStyle w:val="StyleNew1"/>
        <w:rPr>
          <w:rFonts w:asciiTheme="minorHAnsi" w:hAnsiTheme="minorHAnsi"/>
        </w:rPr>
      </w:pPr>
      <w:r>
        <w:rPr>
          <w:rFonts w:asciiTheme="minorHAnsi" w:hAnsiTheme="minorHAnsi"/>
        </w:rPr>
        <w:lastRenderedPageBreak/>
        <w:t>Trends over Time -</w:t>
      </w:r>
      <w:r w:rsidR="003E5C0A" w:rsidRPr="00CE3F54">
        <w:rPr>
          <w:rFonts w:asciiTheme="minorHAnsi" w:hAnsiTheme="minorHAnsi"/>
        </w:rPr>
        <w:t xml:space="preserve"> U.S.</w:t>
      </w:r>
    </w:p>
    <w:p w14:paraId="2CDD5AE7" w14:textId="52E1C81C" w:rsidR="00480FE5" w:rsidRPr="00066068" w:rsidRDefault="003E5C0A" w:rsidP="00480FE5">
      <w:pPr>
        <w:pStyle w:val="Caption"/>
        <w:spacing w:after="0" w:line="240" w:lineRule="auto"/>
        <w:jc w:val="center"/>
        <w:rPr>
          <w:rFonts w:asciiTheme="minorHAnsi" w:hAnsiTheme="minorHAnsi"/>
          <w:b/>
          <w:sz w:val="22"/>
        </w:rPr>
      </w:pPr>
      <w:r w:rsidRPr="00066068">
        <w:rPr>
          <w:rFonts w:asciiTheme="minorHAnsi" w:hAnsiTheme="minorHAnsi"/>
          <w:b/>
          <w:sz w:val="22"/>
        </w:rPr>
        <w:t xml:space="preserve">Figure </w:t>
      </w:r>
      <w:r w:rsidR="0053223C" w:rsidRPr="00066068">
        <w:rPr>
          <w:rFonts w:asciiTheme="minorHAnsi" w:hAnsiTheme="minorHAnsi"/>
          <w:b/>
          <w:sz w:val="22"/>
        </w:rPr>
        <w:fldChar w:fldCharType="begin"/>
      </w:r>
      <w:r w:rsidR="0053223C" w:rsidRPr="00066068">
        <w:rPr>
          <w:rFonts w:asciiTheme="minorHAnsi" w:hAnsiTheme="minorHAnsi"/>
          <w:b/>
          <w:sz w:val="22"/>
        </w:rPr>
        <w:instrText xml:space="preserve"> STYLEREF 1 \s </w:instrText>
      </w:r>
      <w:r w:rsidR="0053223C" w:rsidRPr="00066068">
        <w:rPr>
          <w:rFonts w:asciiTheme="minorHAnsi" w:hAnsiTheme="minorHAnsi"/>
          <w:b/>
          <w:sz w:val="22"/>
        </w:rPr>
        <w:fldChar w:fldCharType="separate"/>
      </w:r>
      <w:r w:rsidR="006C24CC">
        <w:rPr>
          <w:rFonts w:asciiTheme="minorHAnsi" w:hAnsiTheme="minorHAnsi"/>
          <w:b/>
          <w:noProof/>
          <w:sz w:val="22"/>
        </w:rPr>
        <w:t>2</w:t>
      </w:r>
      <w:r w:rsidR="0053223C" w:rsidRPr="00066068">
        <w:rPr>
          <w:rFonts w:asciiTheme="minorHAnsi" w:hAnsiTheme="minorHAnsi"/>
          <w:b/>
          <w:sz w:val="22"/>
        </w:rPr>
        <w:fldChar w:fldCharType="end"/>
      </w:r>
      <w:r w:rsidR="0053223C" w:rsidRPr="00066068">
        <w:rPr>
          <w:rFonts w:asciiTheme="minorHAnsi" w:hAnsiTheme="minorHAnsi"/>
          <w:b/>
          <w:sz w:val="22"/>
        </w:rPr>
        <w:noBreakHyphen/>
      </w:r>
      <w:r w:rsidR="0053223C" w:rsidRPr="00066068">
        <w:rPr>
          <w:rFonts w:asciiTheme="minorHAnsi" w:hAnsiTheme="minorHAnsi"/>
          <w:b/>
          <w:sz w:val="22"/>
        </w:rPr>
        <w:fldChar w:fldCharType="begin"/>
      </w:r>
      <w:r w:rsidR="0053223C" w:rsidRPr="00066068">
        <w:rPr>
          <w:rFonts w:asciiTheme="minorHAnsi" w:hAnsiTheme="minorHAnsi"/>
          <w:b/>
          <w:sz w:val="22"/>
        </w:rPr>
        <w:instrText xml:space="preserve"> SEQ Figure \* ARABIC \s 1 </w:instrText>
      </w:r>
      <w:r w:rsidR="0053223C" w:rsidRPr="00066068">
        <w:rPr>
          <w:rFonts w:asciiTheme="minorHAnsi" w:hAnsiTheme="minorHAnsi"/>
          <w:b/>
          <w:sz w:val="22"/>
        </w:rPr>
        <w:fldChar w:fldCharType="separate"/>
      </w:r>
      <w:r w:rsidR="006C24CC">
        <w:rPr>
          <w:rFonts w:asciiTheme="minorHAnsi" w:hAnsiTheme="minorHAnsi"/>
          <w:b/>
          <w:noProof/>
          <w:sz w:val="22"/>
        </w:rPr>
        <w:t>9</w:t>
      </w:r>
      <w:r w:rsidR="0053223C" w:rsidRPr="00066068">
        <w:rPr>
          <w:rFonts w:asciiTheme="minorHAnsi" w:hAnsiTheme="minorHAnsi"/>
          <w:b/>
          <w:sz w:val="22"/>
        </w:rPr>
        <w:fldChar w:fldCharType="end"/>
      </w:r>
      <w:r w:rsidRPr="00066068">
        <w:rPr>
          <w:rFonts w:asciiTheme="minorHAnsi" w:hAnsiTheme="minorHAnsi"/>
          <w:b/>
          <w:sz w:val="22"/>
        </w:rPr>
        <w:t>: Age-Adjusted All-site cancer Mortality Rate</w:t>
      </w:r>
      <w:r w:rsidR="00480FE5" w:rsidRPr="00066068">
        <w:rPr>
          <w:rFonts w:asciiTheme="minorHAnsi" w:hAnsiTheme="minorHAnsi"/>
          <w:b/>
          <w:sz w:val="22"/>
        </w:rPr>
        <w:t xml:space="preserve"> Trend</w:t>
      </w:r>
      <w:r w:rsidRPr="00066068">
        <w:rPr>
          <w:rFonts w:asciiTheme="minorHAnsi" w:hAnsiTheme="minorHAnsi"/>
          <w:b/>
          <w:sz w:val="22"/>
        </w:rPr>
        <w:t xml:space="preserve"> by Sex; </w:t>
      </w:r>
      <w:r w:rsidR="00A85A23" w:rsidRPr="00066068">
        <w:rPr>
          <w:rFonts w:asciiTheme="minorHAnsi" w:hAnsiTheme="minorHAnsi"/>
          <w:b/>
          <w:sz w:val="22"/>
        </w:rPr>
        <w:t xml:space="preserve">  </w:t>
      </w:r>
    </w:p>
    <w:p w14:paraId="71BE102C" w14:textId="19F10257" w:rsidR="003E5C0A" w:rsidRDefault="003E5C0A" w:rsidP="00480FE5">
      <w:pPr>
        <w:pStyle w:val="Caption"/>
        <w:spacing w:after="120" w:line="240" w:lineRule="auto"/>
        <w:jc w:val="center"/>
        <w:rPr>
          <w:rFonts w:asciiTheme="minorHAnsi" w:hAnsiTheme="minorHAnsi"/>
          <w:b/>
          <w:sz w:val="22"/>
        </w:rPr>
      </w:pPr>
      <w:r w:rsidRPr="00066068">
        <w:rPr>
          <w:rFonts w:asciiTheme="minorHAnsi" w:hAnsiTheme="minorHAnsi"/>
          <w:b/>
          <w:sz w:val="22"/>
        </w:rPr>
        <w:t xml:space="preserve">U.S., </w:t>
      </w:r>
      <w:r w:rsidR="00320C80">
        <w:rPr>
          <w:rFonts w:asciiTheme="minorHAnsi" w:hAnsiTheme="minorHAnsi"/>
          <w:b/>
          <w:sz w:val="22"/>
        </w:rPr>
        <w:t>200</w:t>
      </w:r>
      <w:r w:rsidR="00F67B89">
        <w:rPr>
          <w:rFonts w:asciiTheme="minorHAnsi" w:hAnsiTheme="minorHAnsi"/>
          <w:b/>
          <w:sz w:val="22"/>
        </w:rPr>
        <w:t>7</w:t>
      </w:r>
      <w:r w:rsidR="00320C80">
        <w:rPr>
          <w:rFonts w:asciiTheme="minorHAnsi" w:hAnsiTheme="minorHAnsi"/>
          <w:b/>
          <w:sz w:val="22"/>
        </w:rPr>
        <w:t>-202</w:t>
      </w:r>
      <w:r w:rsidR="00F67B89">
        <w:rPr>
          <w:rFonts w:asciiTheme="minorHAnsi" w:hAnsiTheme="minorHAnsi"/>
          <w:b/>
          <w:sz w:val="22"/>
        </w:rPr>
        <w:t>1</w:t>
      </w:r>
    </w:p>
    <w:p w14:paraId="237F499E" w14:textId="727D463A" w:rsidR="003E5C0A" w:rsidRPr="00480FE5" w:rsidRDefault="00AE7337" w:rsidP="00480FE5">
      <w:pPr>
        <w:spacing w:after="0"/>
        <w:jc w:val="center"/>
      </w:pPr>
      <w:r>
        <w:rPr>
          <w:noProof/>
        </w:rPr>
        <w:drawing>
          <wp:inline distT="0" distB="0" distL="0" distR="0" wp14:anchorId="493DCE25" wp14:editId="032D3BAC">
            <wp:extent cx="4584700" cy="3213100"/>
            <wp:effectExtent l="0" t="0" r="6350" b="6350"/>
            <wp:docPr id="3818489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84700" cy="3213100"/>
                    </a:xfrm>
                    <a:prstGeom prst="rect">
                      <a:avLst/>
                    </a:prstGeom>
                    <a:noFill/>
                  </pic:spPr>
                </pic:pic>
              </a:graphicData>
            </a:graphic>
          </wp:inline>
        </w:drawing>
      </w:r>
    </w:p>
    <w:p w14:paraId="21D26891" w14:textId="11F463A9" w:rsidR="00066068" w:rsidRPr="00C77E69" w:rsidRDefault="00066068" w:rsidP="009106B2">
      <w:pPr>
        <w:spacing w:after="0"/>
        <w:ind w:left="1530" w:right="1433"/>
        <w:rPr>
          <w:sz w:val="16"/>
          <w:szCs w:val="16"/>
        </w:rPr>
      </w:pPr>
      <w:r w:rsidRPr="00C77E69">
        <w:rPr>
          <w:rFonts w:asciiTheme="minorHAnsi" w:hAnsiTheme="minorHAnsi"/>
          <w:i/>
          <w:sz w:val="16"/>
          <w:szCs w:val="16"/>
        </w:rPr>
        <w:t>Source (U.S.):  Surveillance, Epidemiology, and End Results (SEER) Program (www.seer.cancer.gov) SEER*Stat Database: Mortality - All COD, Aggregated With State, Total U.S. (1990-202</w:t>
      </w:r>
      <w:r w:rsidR="00F67B89">
        <w:rPr>
          <w:rFonts w:asciiTheme="minorHAnsi" w:hAnsiTheme="minorHAnsi"/>
          <w:i/>
          <w:sz w:val="16"/>
          <w:szCs w:val="16"/>
        </w:rPr>
        <w:t>2</w:t>
      </w:r>
      <w:r w:rsidRPr="00C77E69">
        <w:rPr>
          <w:rFonts w:asciiTheme="minorHAnsi" w:hAnsiTheme="minorHAnsi"/>
          <w:i/>
          <w:sz w:val="16"/>
          <w:szCs w:val="16"/>
        </w:rPr>
        <w:t xml:space="preserve">) </w:t>
      </w:r>
    </w:p>
    <w:p w14:paraId="5A68988C" w14:textId="77777777" w:rsidR="00F15F39" w:rsidRPr="00D95A9D" w:rsidRDefault="00F15F39" w:rsidP="00E778EA">
      <w:pPr>
        <w:pStyle w:val="NoSpacing"/>
        <w:ind w:left="1530" w:right="1523"/>
        <w:rPr>
          <w:rFonts w:asciiTheme="minorHAnsi" w:hAnsiTheme="minorHAnsi"/>
          <w:sz w:val="16"/>
          <w:szCs w:val="16"/>
        </w:rPr>
      </w:pPr>
      <w:r w:rsidRPr="00D95A9D">
        <w:rPr>
          <w:rFonts w:asciiTheme="minorHAnsi" w:hAnsiTheme="minorHAnsi"/>
          <w:sz w:val="16"/>
          <w:szCs w:val="16"/>
        </w:rPr>
        <w:t>Rates are per 100,000 of population age-adjusted to the 2000 U.S. standard populatio</w:t>
      </w:r>
      <w:r>
        <w:rPr>
          <w:rFonts w:asciiTheme="minorHAnsi" w:hAnsiTheme="minorHAnsi"/>
          <w:sz w:val="16"/>
          <w:szCs w:val="16"/>
        </w:rPr>
        <w:t>n and are   calculated using modified U.S. Census populations available from NCI (</w:t>
      </w:r>
      <w:hyperlink r:id="rId43" w:history="1">
        <w:r w:rsidRPr="00ED4EF5">
          <w:rPr>
            <w:rStyle w:val="Hyperlink"/>
            <w:rFonts w:asciiTheme="minorHAnsi" w:hAnsiTheme="minorHAnsi"/>
            <w:sz w:val="16"/>
            <w:szCs w:val="16"/>
          </w:rPr>
          <w:t>https://seer.cancer.gov/popdata/</w:t>
        </w:r>
      </w:hyperlink>
      <w:r>
        <w:rPr>
          <w:rFonts w:asciiTheme="minorHAnsi" w:hAnsiTheme="minorHAnsi"/>
          <w:sz w:val="16"/>
          <w:szCs w:val="16"/>
        </w:rPr>
        <w:t>).</w:t>
      </w:r>
    </w:p>
    <w:p w14:paraId="71396D3B" w14:textId="77777777" w:rsidR="00822222" w:rsidRDefault="00822222" w:rsidP="00C527B2">
      <w:pPr>
        <w:pStyle w:val="NoSpacing"/>
        <w:rPr>
          <w:rFonts w:asciiTheme="minorHAnsi" w:hAnsiTheme="minorHAnsi"/>
          <w:sz w:val="14"/>
        </w:rPr>
      </w:pPr>
    </w:p>
    <w:p w14:paraId="675BBE34" w14:textId="77777777" w:rsidR="00C40BBC" w:rsidRPr="00C527B2" w:rsidRDefault="00C40BBC" w:rsidP="00C527B2">
      <w:pPr>
        <w:pStyle w:val="NoSpacing"/>
        <w:rPr>
          <w:rFonts w:asciiTheme="minorHAnsi" w:hAnsiTheme="minorHAnsi"/>
          <w:i/>
          <w:sz w:val="14"/>
        </w:rPr>
      </w:pPr>
    </w:p>
    <w:p w14:paraId="4AB91174" w14:textId="37033C43" w:rsidR="001C482F" w:rsidRPr="001C482F" w:rsidRDefault="001C482F" w:rsidP="00B21C83">
      <w:pPr>
        <w:pStyle w:val="ListParagraph"/>
        <w:numPr>
          <w:ilvl w:val="0"/>
          <w:numId w:val="30"/>
        </w:numPr>
        <w:spacing w:after="160" w:line="259" w:lineRule="auto"/>
        <w:rPr>
          <w:rFonts w:asciiTheme="minorHAnsi" w:hAnsiTheme="minorHAnsi" w:cstheme="minorHAnsi"/>
        </w:rPr>
      </w:pPr>
      <w:r w:rsidRPr="001C482F">
        <w:rPr>
          <w:rFonts w:asciiTheme="minorHAnsi" w:hAnsiTheme="minorHAnsi" w:cstheme="minorHAnsi"/>
        </w:rPr>
        <w:t xml:space="preserve">Mortality rates for all-site cancer decreased an average of 1.5% per year in the U.S. between 2007 and 2021. </w:t>
      </w:r>
      <w:r w:rsidR="00B12A69">
        <w:rPr>
          <w:rFonts w:asciiTheme="minorHAnsi" w:hAnsiTheme="minorHAnsi" w:cstheme="minorHAnsi"/>
        </w:rPr>
        <w:t xml:space="preserve"> </w:t>
      </w:r>
      <w:r w:rsidRPr="001C482F">
        <w:rPr>
          <w:rFonts w:asciiTheme="minorHAnsi" w:hAnsiTheme="minorHAnsi" w:cstheme="minorHAnsi"/>
        </w:rPr>
        <w:t xml:space="preserve">There were three distinct trends in the U.S. during this time period, where there was an annual decrease of: </w:t>
      </w:r>
    </w:p>
    <w:p w14:paraId="38DF78DD" w14:textId="3056D94E" w:rsidR="001C482F" w:rsidRPr="001C482F" w:rsidRDefault="001C482F" w:rsidP="00B21C83">
      <w:pPr>
        <w:pStyle w:val="ListParagraph"/>
        <w:numPr>
          <w:ilvl w:val="1"/>
          <w:numId w:val="30"/>
        </w:numPr>
        <w:spacing w:after="160" w:line="259" w:lineRule="auto"/>
        <w:rPr>
          <w:rFonts w:asciiTheme="minorHAnsi" w:hAnsiTheme="minorHAnsi" w:cstheme="minorHAnsi"/>
        </w:rPr>
      </w:pPr>
      <w:r w:rsidRPr="001C482F">
        <w:rPr>
          <w:rFonts w:asciiTheme="minorHAnsi" w:hAnsiTheme="minorHAnsi" w:cstheme="minorHAnsi"/>
        </w:rPr>
        <w:t>1.4% between 2007 and 2016</w:t>
      </w:r>
      <w:r w:rsidR="0078692A">
        <w:rPr>
          <w:rFonts w:asciiTheme="minorHAnsi" w:hAnsiTheme="minorHAnsi" w:cstheme="minorHAnsi"/>
        </w:rPr>
        <w:t>.</w:t>
      </w:r>
    </w:p>
    <w:p w14:paraId="702C9B70" w14:textId="45DDF1BA" w:rsidR="001C482F" w:rsidRPr="001C482F" w:rsidRDefault="001C482F" w:rsidP="00B21C83">
      <w:pPr>
        <w:pStyle w:val="ListParagraph"/>
        <w:numPr>
          <w:ilvl w:val="1"/>
          <w:numId w:val="30"/>
        </w:numPr>
        <w:spacing w:after="160" w:line="259" w:lineRule="auto"/>
        <w:rPr>
          <w:rFonts w:asciiTheme="minorHAnsi" w:hAnsiTheme="minorHAnsi" w:cstheme="minorHAnsi"/>
        </w:rPr>
      </w:pPr>
      <w:r w:rsidRPr="001C482F">
        <w:rPr>
          <w:rFonts w:asciiTheme="minorHAnsi" w:hAnsiTheme="minorHAnsi" w:cstheme="minorHAnsi"/>
        </w:rPr>
        <w:t>2.1% between 2016 and 2019</w:t>
      </w:r>
      <w:r w:rsidR="0078692A">
        <w:rPr>
          <w:rFonts w:asciiTheme="minorHAnsi" w:hAnsiTheme="minorHAnsi" w:cstheme="minorHAnsi"/>
        </w:rPr>
        <w:t>.</w:t>
      </w:r>
    </w:p>
    <w:p w14:paraId="7A53F9C4" w14:textId="619E841E" w:rsidR="001C482F" w:rsidRPr="001C482F" w:rsidRDefault="001C482F" w:rsidP="00B21C83">
      <w:pPr>
        <w:pStyle w:val="ListParagraph"/>
        <w:numPr>
          <w:ilvl w:val="1"/>
          <w:numId w:val="30"/>
        </w:numPr>
        <w:spacing w:after="160" w:line="259" w:lineRule="auto"/>
        <w:rPr>
          <w:rFonts w:asciiTheme="minorHAnsi" w:hAnsiTheme="minorHAnsi" w:cstheme="minorHAnsi"/>
        </w:rPr>
      </w:pPr>
      <w:r w:rsidRPr="001C482F">
        <w:rPr>
          <w:rFonts w:asciiTheme="minorHAnsi" w:hAnsiTheme="minorHAnsi" w:cstheme="minorHAnsi"/>
        </w:rPr>
        <w:t>1.2% between 2019 and 2021</w:t>
      </w:r>
      <w:r w:rsidR="008C44AA">
        <w:rPr>
          <w:rFonts w:asciiTheme="minorHAnsi" w:hAnsiTheme="minorHAnsi" w:cstheme="minorHAnsi"/>
        </w:rPr>
        <w:t>.</w:t>
      </w:r>
    </w:p>
    <w:p w14:paraId="02A1CB91" w14:textId="1575C225" w:rsidR="001C482F" w:rsidRPr="001C482F" w:rsidRDefault="001C482F" w:rsidP="00B21C83">
      <w:pPr>
        <w:pStyle w:val="ListParagraph"/>
        <w:numPr>
          <w:ilvl w:val="0"/>
          <w:numId w:val="30"/>
        </w:numPr>
        <w:spacing w:after="160" w:line="259" w:lineRule="auto"/>
        <w:rPr>
          <w:rFonts w:asciiTheme="minorHAnsi" w:hAnsiTheme="minorHAnsi" w:cstheme="minorHAnsi"/>
        </w:rPr>
      </w:pPr>
      <w:r w:rsidRPr="001C482F">
        <w:rPr>
          <w:rFonts w:asciiTheme="minorHAnsi" w:hAnsiTheme="minorHAnsi" w:cstheme="minorHAnsi"/>
        </w:rPr>
        <w:t xml:space="preserve">Mortality rates for all-site cancer decreased an average of 1.8% per year among U.S. males between 2007 and 2021. </w:t>
      </w:r>
      <w:r w:rsidR="00B12A69">
        <w:rPr>
          <w:rFonts w:asciiTheme="minorHAnsi" w:hAnsiTheme="minorHAnsi" w:cstheme="minorHAnsi"/>
        </w:rPr>
        <w:t xml:space="preserve"> </w:t>
      </w:r>
      <w:r w:rsidRPr="001C482F">
        <w:rPr>
          <w:rFonts w:asciiTheme="minorHAnsi" w:hAnsiTheme="minorHAnsi" w:cstheme="minorHAnsi"/>
        </w:rPr>
        <w:t>There were three distinct trends among U.S. males during this time period, where there was an annual decrease of:</w:t>
      </w:r>
    </w:p>
    <w:p w14:paraId="140B3ACB" w14:textId="70FCE23F" w:rsidR="001C482F" w:rsidRPr="001C482F" w:rsidRDefault="001C482F" w:rsidP="00B21C83">
      <w:pPr>
        <w:pStyle w:val="ListParagraph"/>
        <w:numPr>
          <w:ilvl w:val="1"/>
          <w:numId w:val="30"/>
        </w:numPr>
        <w:spacing w:after="160" w:line="259" w:lineRule="auto"/>
        <w:rPr>
          <w:rFonts w:asciiTheme="minorHAnsi" w:hAnsiTheme="minorHAnsi" w:cstheme="minorHAnsi"/>
        </w:rPr>
      </w:pPr>
      <w:r w:rsidRPr="001C482F">
        <w:rPr>
          <w:rFonts w:asciiTheme="minorHAnsi" w:hAnsiTheme="minorHAnsi" w:cstheme="minorHAnsi"/>
        </w:rPr>
        <w:t>1.6% between 2007 and 2015</w:t>
      </w:r>
      <w:r w:rsidR="00F86725">
        <w:rPr>
          <w:rFonts w:asciiTheme="minorHAnsi" w:hAnsiTheme="minorHAnsi" w:cstheme="minorHAnsi"/>
        </w:rPr>
        <w:t>.</w:t>
      </w:r>
    </w:p>
    <w:p w14:paraId="0DDB2B4F" w14:textId="430E50CC" w:rsidR="001C482F" w:rsidRPr="001C482F" w:rsidRDefault="001C482F" w:rsidP="00B21C83">
      <w:pPr>
        <w:pStyle w:val="ListParagraph"/>
        <w:numPr>
          <w:ilvl w:val="1"/>
          <w:numId w:val="30"/>
        </w:numPr>
        <w:spacing w:after="160" w:line="259" w:lineRule="auto"/>
        <w:rPr>
          <w:rFonts w:asciiTheme="minorHAnsi" w:hAnsiTheme="minorHAnsi" w:cstheme="minorHAnsi"/>
        </w:rPr>
      </w:pPr>
      <w:r w:rsidRPr="001C482F">
        <w:rPr>
          <w:rFonts w:asciiTheme="minorHAnsi" w:hAnsiTheme="minorHAnsi" w:cstheme="minorHAnsi"/>
        </w:rPr>
        <w:t>2.2% between 2015 and 2019</w:t>
      </w:r>
      <w:r w:rsidR="00F86725">
        <w:rPr>
          <w:rFonts w:asciiTheme="minorHAnsi" w:hAnsiTheme="minorHAnsi" w:cstheme="minorHAnsi"/>
        </w:rPr>
        <w:t>.</w:t>
      </w:r>
    </w:p>
    <w:p w14:paraId="2C192A9A" w14:textId="77F69EDE" w:rsidR="001C482F" w:rsidRPr="001C482F" w:rsidRDefault="001C482F" w:rsidP="00B21C83">
      <w:pPr>
        <w:pStyle w:val="ListParagraph"/>
        <w:numPr>
          <w:ilvl w:val="1"/>
          <w:numId w:val="30"/>
        </w:numPr>
        <w:spacing w:after="160" w:line="259" w:lineRule="auto"/>
        <w:rPr>
          <w:rFonts w:asciiTheme="minorHAnsi" w:hAnsiTheme="minorHAnsi" w:cstheme="minorHAnsi"/>
        </w:rPr>
      </w:pPr>
      <w:r w:rsidRPr="001C482F">
        <w:rPr>
          <w:rFonts w:asciiTheme="minorHAnsi" w:hAnsiTheme="minorHAnsi" w:cstheme="minorHAnsi"/>
        </w:rPr>
        <w:t>1.5% between 2019 and 2021</w:t>
      </w:r>
      <w:r w:rsidR="008C44AA">
        <w:rPr>
          <w:rFonts w:asciiTheme="minorHAnsi" w:hAnsiTheme="minorHAnsi" w:cstheme="minorHAnsi"/>
        </w:rPr>
        <w:t>.</w:t>
      </w:r>
    </w:p>
    <w:p w14:paraId="5C841290" w14:textId="7E5755C8" w:rsidR="001C482F" w:rsidRPr="001C482F" w:rsidRDefault="001C482F" w:rsidP="00B21C83">
      <w:pPr>
        <w:pStyle w:val="ListParagraph"/>
        <w:numPr>
          <w:ilvl w:val="0"/>
          <w:numId w:val="30"/>
        </w:numPr>
        <w:spacing w:after="160" w:line="259" w:lineRule="auto"/>
        <w:rPr>
          <w:rFonts w:asciiTheme="minorHAnsi" w:hAnsiTheme="minorHAnsi" w:cstheme="minorHAnsi"/>
        </w:rPr>
      </w:pPr>
      <w:r w:rsidRPr="001C482F">
        <w:rPr>
          <w:rFonts w:asciiTheme="minorHAnsi" w:hAnsiTheme="minorHAnsi" w:cstheme="minorHAnsi"/>
        </w:rPr>
        <w:t xml:space="preserve">Mortality rates for all-site cancer decreased an average of 1.4% per year among U.S. females between 2007 and 2021. </w:t>
      </w:r>
      <w:r w:rsidR="00B12A69">
        <w:rPr>
          <w:rFonts w:asciiTheme="minorHAnsi" w:hAnsiTheme="minorHAnsi" w:cstheme="minorHAnsi"/>
        </w:rPr>
        <w:t xml:space="preserve"> </w:t>
      </w:r>
      <w:r w:rsidRPr="001C482F">
        <w:rPr>
          <w:rFonts w:asciiTheme="minorHAnsi" w:hAnsiTheme="minorHAnsi" w:cstheme="minorHAnsi"/>
        </w:rPr>
        <w:t>There were three distinct trends among U.S. females during this time period, where there was an annual decrease of:</w:t>
      </w:r>
    </w:p>
    <w:p w14:paraId="51C8F621" w14:textId="26EC36A1" w:rsidR="001C482F" w:rsidRPr="001C482F" w:rsidRDefault="001C482F" w:rsidP="00B21C83">
      <w:pPr>
        <w:pStyle w:val="ListParagraph"/>
        <w:numPr>
          <w:ilvl w:val="1"/>
          <w:numId w:val="30"/>
        </w:numPr>
        <w:spacing w:after="160" w:line="259" w:lineRule="auto"/>
        <w:rPr>
          <w:rFonts w:asciiTheme="minorHAnsi" w:hAnsiTheme="minorHAnsi" w:cstheme="minorHAnsi"/>
        </w:rPr>
      </w:pPr>
      <w:r w:rsidRPr="001C482F">
        <w:rPr>
          <w:rFonts w:asciiTheme="minorHAnsi" w:hAnsiTheme="minorHAnsi" w:cstheme="minorHAnsi"/>
        </w:rPr>
        <w:t>1.2% between 2007 and 2016</w:t>
      </w:r>
      <w:r w:rsidR="00F86725">
        <w:rPr>
          <w:rFonts w:asciiTheme="minorHAnsi" w:hAnsiTheme="minorHAnsi" w:cstheme="minorHAnsi"/>
        </w:rPr>
        <w:t>.</w:t>
      </w:r>
    </w:p>
    <w:p w14:paraId="25972555" w14:textId="11349102" w:rsidR="001C482F" w:rsidRPr="001C482F" w:rsidRDefault="001C482F" w:rsidP="00B21C83">
      <w:pPr>
        <w:pStyle w:val="ListParagraph"/>
        <w:numPr>
          <w:ilvl w:val="1"/>
          <w:numId w:val="30"/>
        </w:numPr>
        <w:spacing w:after="160" w:line="259" w:lineRule="auto"/>
        <w:rPr>
          <w:rFonts w:asciiTheme="minorHAnsi" w:hAnsiTheme="minorHAnsi" w:cstheme="minorHAnsi"/>
        </w:rPr>
      </w:pPr>
      <w:r w:rsidRPr="001C482F">
        <w:rPr>
          <w:rFonts w:asciiTheme="minorHAnsi" w:hAnsiTheme="minorHAnsi" w:cstheme="minorHAnsi"/>
        </w:rPr>
        <w:t>2.0% between 2016 and 2019</w:t>
      </w:r>
      <w:r w:rsidR="00F86725">
        <w:rPr>
          <w:rFonts w:asciiTheme="minorHAnsi" w:hAnsiTheme="minorHAnsi" w:cstheme="minorHAnsi"/>
        </w:rPr>
        <w:t>.</w:t>
      </w:r>
    </w:p>
    <w:p w14:paraId="32800373" w14:textId="572F3E6C" w:rsidR="001C482F" w:rsidRPr="001C482F" w:rsidRDefault="001C482F" w:rsidP="00B21C83">
      <w:pPr>
        <w:pStyle w:val="ListParagraph"/>
        <w:numPr>
          <w:ilvl w:val="1"/>
          <w:numId w:val="30"/>
        </w:numPr>
        <w:spacing w:after="160" w:line="259" w:lineRule="auto"/>
        <w:rPr>
          <w:rFonts w:asciiTheme="minorHAnsi" w:hAnsiTheme="minorHAnsi" w:cstheme="minorHAnsi"/>
        </w:rPr>
      </w:pPr>
      <w:r w:rsidRPr="001C482F">
        <w:rPr>
          <w:rFonts w:asciiTheme="minorHAnsi" w:hAnsiTheme="minorHAnsi" w:cstheme="minorHAnsi"/>
        </w:rPr>
        <w:t>1.1% between 2019 and 2021</w:t>
      </w:r>
      <w:r w:rsidR="008C44AA">
        <w:rPr>
          <w:rFonts w:asciiTheme="minorHAnsi" w:hAnsiTheme="minorHAnsi" w:cstheme="minorHAnsi"/>
        </w:rPr>
        <w:t>.</w:t>
      </w:r>
    </w:p>
    <w:p w14:paraId="64FD2DA1" w14:textId="77777777" w:rsidR="00663AAB" w:rsidRDefault="00663AAB">
      <w:pPr>
        <w:rPr>
          <w:rFonts w:asciiTheme="minorHAnsi" w:hAnsiTheme="minorHAnsi"/>
          <w:b/>
          <w:caps/>
          <w:color w:val="1A4070" w:themeColor="accent2" w:themeShade="7F"/>
          <w:sz w:val="24"/>
          <w:szCs w:val="24"/>
        </w:rPr>
      </w:pPr>
      <w:r>
        <w:rPr>
          <w:rFonts w:asciiTheme="minorHAnsi" w:hAnsiTheme="minorHAnsi"/>
        </w:rPr>
        <w:br w:type="page"/>
      </w:r>
    </w:p>
    <w:p w14:paraId="72360FD4" w14:textId="143233E2" w:rsidR="003E5C0A" w:rsidRPr="00CE3F54" w:rsidRDefault="003E5C0A" w:rsidP="000C02FF">
      <w:pPr>
        <w:pStyle w:val="StyleNew1"/>
        <w:rPr>
          <w:rFonts w:asciiTheme="minorHAnsi" w:hAnsiTheme="minorHAnsi"/>
        </w:rPr>
      </w:pPr>
      <w:r w:rsidRPr="00CE3F54">
        <w:rPr>
          <w:rFonts w:asciiTheme="minorHAnsi" w:hAnsiTheme="minorHAnsi"/>
        </w:rPr>
        <w:lastRenderedPageBreak/>
        <w:t xml:space="preserve">Trends over Time - Delaware </w:t>
      </w:r>
    </w:p>
    <w:p w14:paraId="5D8B2584" w14:textId="033A238C" w:rsidR="00D651F8" w:rsidRPr="00066068" w:rsidRDefault="003E5C0A" w:rsidP="00D651F8">
      <w:pPr>
        <w:pStyle w:val="Caption"/>
        <w:spacing w:after="0" w:line="240" w:lineRule="auto"/>
        <w:jc w:val="center"/>
        <w:rPr>
          <w:rFonts w:asciiTheme="minorHAnsi" w:hAnsiTheme="minorHAnsi"/>
          <w:b/>
          <w:sz w:val="22"/>
        </w:rPr>
      </w:pPr>
      <w:r w:rsidRPr="00066068">
        <w:rPr>
          <w:rFonts w:asciiTheme="minorHAnsi" w:hAnsiTheme="minorHAnsi"/>
          <w:b/>
          <w:sz w:val="22"/>
        </w:rPr>
        <w:t xml:space="preserve">Figure </w:t>
      </w:r>
      <w:r w:rsidR="0053223C" w:rsidRPr="00066068">
        <w:rPr>
          <w:rFonts w:asciiTheme="minorHAnsi" w:hAnsiTheme="minorHAnsi"/>
          <w:b/>
          <w:sz w:val="22"/>
        </w:rPr>
        <w:fldChar w:fldCharType="begin"/>
      </w:r>
      <w:r w:rsidR="0053223C" w:rsidRPr="00066068">
        <w:rPr>
          <w:rFonts w:asciiTheme="minorHAnsi" w:hAnsiTheme="minorHAnsi"/>
          <w:b/>
          <w:sz w:val="22"/>
        </w:rPr>
        <w:instrText xml:space="preserve"> STYLEREF 1 \s </w:instrText>
      </w:r>
      <w:r w:rsidR="0053223C" w:rsidRPr="00066068">
        <w:rPr>
          <w:rFonts w:asciiTheme="minorHAnsi" w:hAnsiTheme="minorHAnsi"/>
          <w:b/>
          <w:sz w:val="22"/>
        </w:rPr>
        <w:fldChar w:fldCharType="separate"/>
      </w:r>
      <w:r w:rsidR="006C24CC">
        <w:rPr>
          <w:rFonts w:asciiTheme="minorHAnsi" w:hAnsiTheme="minorHAnsi"/>
          <w:b/>
          <w:noProof/>
          <w:sz w:val="22"/>
        </w:rPr>
        <w:t>2</w:t>
      </w:r>
      <w:r w:rsidR="0053223C" w:rsidRPr="00066068">
        <w:rPr>
          <w:rFonts w:asciiTheme="minorHAnsi" w:hAnsiTheme="minorHAnsi"/>
          <w:b/>
          <w:sz w:val="22"/>
        </w:rPr>
        <w:fldChar w:fldCharType="end"/>
      </w:r>
      <w:r w:rsidR="0053223C" w:rsidRPr="00066068">
        <w:rPr>
          <w:rFonts w:asciiTheme="minorHAnsi" w:hAnsiTheme="minorHAnsi"/>
          <w:b/>
          <w:sz w:val="22"/>
        </w:rPr>
        <w:noBreakHyphen/>
      </w:r>
      <w:r w:rsidR="0053223C" w:rsidRPr="00066068">
        <w:rPr>
          <w:rFonts w:asciiTheme="minorHAnsi" w:hAnsiTheme="minorHAnsi"/>
          <w:b/>
          <w:sz w:val="22"/>
        </w:rPr>
        <w:fldChar w:fldCharType="begin"/>
      </w:r>
      <w:r w:rsidR="0053223C" w:rsidRPr="00066068">
        <w:rPr>
          <w:rFonts w:asciiTheme="minorHAnsi" w:hAnsiTheme="minorHAnsi"/>
          <w:b/>
          <w:sz w:val="22"/>
        </w:rPr>
        <w:instrText xml:space="preserve"> SEQ Figure \* ARABIC \s 1 </w:instrText>
      </w:r>
      <w:r w:rsidR="0053223C" w:rsidRPr="00066068">
        <w:rPr>
          <w:rFonts w:asciiTheme="minorHAnsi" w:hAnsiTheme="minorHAnsi"/>
          <w:b/>
          <w:sz w:val="22"/>
        </w:rPr>
        <w:fldChar w:fldCharType="separate"/>
      </w:r>
      <w:r w:rsidR="006C24CC">
        <w:rPr>
          <w:rFonts w:asciiTheme="minorHAnsi" w:hAnsiTheme="minorHAnsi"/>
          <w:b/>
          <w:noProof/>
          <w:sz w:val="22"/>
        </w:rPr>
        <w:t>10</w:t>
      </w:r>
      <w:r w:rsidR="0053223C" w:rsidRPr="00066068">
        <w:rPr>
          <w:rFonts w:asciiTheme="minorHAnsi" w:hAnsiTheme="minorHAnsi"/>
          <w:b/>
          <w:sz w:val="22"/>
        </w:rPr>
        <w:fldChar w:fldCharType="end"/>
      </w:r>
      <w:r w:rsidRPr="00066068">
        <w:rPr>
          <w:rFonts w:asciiTheme="minorHAnsi" w:hAnsiTheme="minorHAnsi"/>
          <w:b/>
          <w:sz w:val="22"/>
        </w:rPr>
        <w:t>: Age-Adjusted All-site CANCER MORTALITY RATE</w:t>
      </w:r>
      <w:r w:rsidR="00D651F8" w:rsidRPr="00066068">
        <w:rPr>
          <w:rFonts w:asciiTheme="minorHAnsi" w:hAnsiTheme="minorHAnsi"/>
          <w:b/>
          <w:sz w:val="22"/>
        </w:rPr>
        <w:t xml:space="preserve"> Trend</w:t>
      </w:r>
      <w:r w:rsidRPr="00066068">
        <w:rPr>
          <w:rFonts w:asciiTheme="minorHAnsi" w:hAnsiTheme="minorHAnsi"/>
          <w:b/>
          <w:sz w:val="22"/>
        </w:rPr>
        <w:t xml:space="preserve"> </w:t>
      </w:r>
    </w:p>
    <w:p w14:paraId="1F0A1D3F" w14:textId="1B47ABE1" w:rsidR="003E5C0A" w:rsidRDefault="00315A11" w:rsidP="00D651F8">
      <w:pPr>
        <w:pStyle w:val="Caption"/>
        <w:spacing w:after="120" w:line="240" w:lineRule="auto"/>
        <w:jc w:val="center"/>
        <w:rPr>
          <w:rFonts w:asciiTheme="minorHAnsi" w:hAnsiTheme="minorHAnsi"/>
          <w:b/>
          <w:sz w:val="22"/>
        </w:rPr>
      </w:pPr>
      <w:r w:rsidRPr="00066068">
        <w:rPr>
          <w:rFonts w:asciiTheme="minorHAnsi" w:hAnsiTheme="minorHAnsi"/>
          <w:b/>
          <w:sz w:val="22"/>
        </w:rPr>
        <w:t>BY SEX</w:t>
      </w:r>
      <w:r w:rsidR="003E5C0A" w:rsidRPr="00066068">
        <w:rPr>
          <w:rFonts w:asciiTheme="minorHAnsi" w:hAnsiTheme="minorHAnsi"/>
          <w:b/>
          <w:sz w:val="22"/>
        </w:rPr>
        <w:t xml:space="preserve">; Delaware, </w:t>
      </w:r>
      <w:r w:rsidR="00320C80">
        <w:rPr>
          <w:rFonts w:asciiTheme="minorHAnsi" w:hAnsiTheme="minorHAnsi"/>
          <w:b/>
          <w:sz w:val="22"/>
        </w:rPr>
        <w:t>200</w:t>
      </w:r>
      <w:r w:rsidR="001C482F">
        <w:rPr>
          <w:rFonts w:asciiTheme="minorHAnsi" w:hAnsiTheme="minorHAnsi"/>
          <w:b/>
          <w:sz w:val="22"/>
        </w:rPr>
        <w:t>7</w:t>
      </w:r>
      <w:r w:rsidR="00320C80">
        <w:rPr>
          <w:rFonts w:asciiTheme="minorHAnsi" w:hAnsiTheme="minorHAnsi"/>
          <w:b/>
          <w:sz w:val="22"/>
        </w:rPr>
        <w:t>-202</w:t>
      </w:r>
      <w:r w:rsidR="001C482F">
        <w:rPr>
          <w:rFonts w:asciiTheme="minorHAnsi" w:hAnsiTheme="minorHAnsi"/>
          <w:b/>
          <w:sz w:val="22"/>
        </w:rPr>
        <w:t>1</w:t>
      </w:r>
    </w:p>
    <w:p w14:paraId="6210BCA5" w14:textId="1B97AB83" w:rsidR="003E5C0A" w:rsidRPr="009C1AA2" w:rsidRDefault="00AE7337" w:rsidP="009C1AA2">
      <w:pPr>
        <w:spacing w:after="0"/>
        <w:jc w:val="center"/>
      </w:pPr>
      <w:r>
        <w:rPr>
          <w:noProof/>
        </w:rPr>
        <w:drawing>
          <wp:inline distT="0" distB="0" distL="0" distR="0" wp14:anchorId="11FAF034" wp14:editId="61194D93">
            <wp:extent cx="4584700" cy="2755900"/>
            <wp:effectExtent l="0" t="0" r="6350" b="6350"/>
            <wp:docPr id="6425928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138D82F" w14:textId="66EB1FB5" w:rsidR="00066068" w:rsidRPr="00C77E69" w:rsidRDefault="00066068" w:rsidP="00066068">
      <w:pPr>
        <w:spacing w:after="0"/>
        <w:ind w:left="1530" w:right="1523"/>
        <w:rPr>
          <w:rFonts w:asciiTheme="minorHAnsi" w:hAnsiTheme="minorHAnsi"/>
          <w:i/>
          <w:sz w:val="16"/>
          <w:szCs w:val="16"/>
        </w:rPr>
      </w:pPr>
      <w:r w:rsidRPr="00C77E69">
        <w:rPr>
          <w:rFonts w:asciiTheme="minorHAnsi" w:hAnsiTheme="minorHAnsi"/>
          <w:i/>
          <w:sz w:val="16"/>
          <w:szCs w:val="16"/>
        </w:rPr>
        <w:t xml:space="preserve">Source (Delaware): Delaware Department of Health and Social Services, Division of Public Health, Delaware Health Statistics Center, </w:t>
      </w:r>
      <w:r w:rsidR="001C482F">
        <w:rPr>
          <w:rFonts w:asciiTheme="minorHAnsi" w:hAnsiTheme="minorHAnsi"/>
          <w:i/>
          <w:sz w:val="16"/>
          <w:szCs w:val="16"/>
        </w:rPr>
        <w:t>2024</w:t>
      </w:r>
    </w:p>
    <w:p w14:paraId="5C3702DD" w14:textId="6467C9DD" w:rsidR="002B28EA" w:rsidRPr="00C77E69" w:rsidRDefault="004F392A" w:rsidP="004F392A">
      <w:pPr>
        <w:pStyle w:val="NoSpacing"/>
        <w:ind w:left="1530" w:right="1523"/>
        <w:rPr>
          <w:rFonts w:asciiTheme="minorHAnsi" w:hAnsiTheme="minorHAnsi"/>
          <w:sz w:val="16"/>
          <w:szCs w:val="16"/>
        </w:rPr>
      </w:pPr>
      <w:bookmarkStart w:id="30" w:name="_Hlk147243980"/>
      <w:r w:rsidRPr="00D95A9D">
        <w:rPr>
          <w:rFonts w:asciiTheme="minorHAnsi" w:hAnsiTheme="minorHAnsi"/>
          <w:sz w:val="16"/>
          <w:szCs w:val="16"/>
        </w:rPr>
        <w:t>Rates are per 100,000 of population age-adjusted to the 2000 U.S. standard populatio</w:t>
      </w:r>
      <w:r>
        <w:rPr>
          <w:rFonts w:asciiTheme="minorHAnsi" w:hAnsiTheme="minorHAnsi"/>
          <w:sz w:val="16"/>
          <w:szCs w:val="16"/>
        </w:rPr>
        <w:t>n and are   calculated using modified U.S. Census populations available from NCI (</w:t>
      </w:r>
      <w:hyperlink r:id="rId45" w:history="1">
        <w:r w:rsidRPr="00ED4EF5">
          <w:rPr>
            <w:rStyle w:val="Hyperlink"/>
            <w:rFonts w:asciiTheme="minorHAnsi" w:hAnsiTheme="minorHAnsi"/>
            <w:sz w:val="16"/>
            <w:szCs w:val="16"/>
          </w:rPr>
          <w:t>https://seer.cancer.gov/popdata/</w:t>
        </w:r>
      </w:hyperlink>
      <w:r>
        <w:rPr>
          <w:rFonts w:asciiTheme="minorHAnsi" w:hAnsiTheme="minorHAnsi"/>
          <w:sz w:val="16"/>
          <w:szCs w:val="16"/>
        </w:rPr>
        <w:t>).</w:t>
      </w:r>
      <w:bookmarkEnd w:id="30"/>
    </w:p>
    <w:p w14:paraId="2CDAC01D" w14:textId="77777777" w:rsidR="00822222" w:rsidRDefault="00822222" w:rsidP="00E778EA">
      <w:pPr>
        <w:pStyle w:val="NoSpacing"/>
        <w:spacing w:after="120"/>
        <w:ind w:left="2430" w:firstLine="360"/>
        <w:rPr>
          <w:rFonts w:asciiTheme="minorHAnsi" w:hAnsiTheme="minorHAnsi"/>
          <w:sz w:val="14"/>
        </w:rPr>
      </w:pPr>
    </w:p>
    <w:p w14:paraId="256E717A" w14:textId="77777777" w:rsidR="0044111E" w:rsidRPr="00CE3F54" w:rsidRDefault="0044111E" w:rsidP="00E778EA">
      <w:pPr>
        <w:pStyle w:val="NoSpacing"/>
        <w:spacing w:after="120"/>
        <w:ind w:left="2430" w:firstLine="360"/>
        <w:rPr>
          <w:rFonts w:asciiTheme="minorHAnsi" w:hAnsiTheme="minorHAnsi"/>
          <w:sz w:val="14"/>
        </w:rPr>
      </w:pPr>
    </w:p>
    <w:p w14:paraId="7E388459" w14:textId="77777777" w:rsidR="001C482F" w:rsidRPr="001C482F" w:rsidRDefault="001C482F" w:rsidP="00B21C83">
      <w:pPr>
        <w:pStyle w:val="ListParagraph"/>
        <w:numPr>
          <w:ilvl w:val="0"/>
          <w:numId w:val="31"/>
        </w:numPr>
        <w:spacing w:after="160" w:line="259" w:lineRule="auto"/>
        <w:rPr>
          <w:rFonts w:asciiTheme="minorHAnsi" w:hAnsiTheme="minorHAnsi" w:cstheme="minorHAnsi"/>
          <w:b/>
          <w:bCs/>
        </w:rPr>
      </w:pPr>
      <w:r w:rsidRPr="001C482F">
        <w:rPr>
          <w:rFonts w:asciiTheme="minorHAnsi" w:hAnsiTheme="minorHAnsi" w:cstheme="minorHAnsi"/>
        </w:rPr>
        <w:t>Mortality rates for all-site cancer decreased an average of 1.8% per year in Delaware between 2007 and 2021 and the trend was consistent over this time period.</w:t>
      </w:r>
    </w:p>
    <w:p w14:paraId="593A45BD" w14:textId="77777777" w:rsidR="001C482F" w:rsidRPr="001C482F" w:rsidRDefault="001C482F" w:rsidP="00B21C83">
      <w:pPr>
        <w:pStyle w:val="ListParagraph"/>
        <w:numPr>
          <w:ilvl w:val="0"/>
          <w:numId w:val="31"/>
        </w:numPr>
        <w:spacing w:after="160" w:line="259" w:lineRule="auto"/>
        <w:rPr>
          <w:rFonts w:asciiTheme="minorHAnsi" w:hAnsiTheme="minorHAnsi" w:cstheme="minorHAnsi"/>
          <w:b/>
          <w:bCs/>
        </w:rPr>
      </w:pPr>
      <w:r w:rsidRPr="001C482F">
        <w:rPr>
          <w:rFonts w:asciiTheme="minorHAnsi" w:hAnsiTheme="minorHAnsi" w:cstheme="minorHAnsi"/>
        </w:rPr>
        <w:t>Mortality rates for all-site cancer decreased an average of 1.7% per year among Delaware males between 2007 and 2021 and the trend was consistent over this time period.</w:t>
      </w:r>
    </w:p>
    <w:p w14:paraId="2B9243CB" w14:textId="77777777" w:rsidR="001C482F" w:rsidRPr="001C482F" w:rsidRDefault="001C482F" w:rsidP="00B21C83">
      <w:pPr>
        <w:pStyle w:val="ListParagraph"/>
        <w:numPr>
          <w:ilvl w:val="0"/>
          <w:numId w:val="31"/>
        </w:numPr>
        <w:spacing w:after="160" w:line="259" w:lineRule="auto"/>
        <w:rPr>
          <w:rFonts w:asciiTheme="minorHAnsi" w:hAnsiTheme="minorHAnsi" w:cstheme="minorHAnsi"/>
          <w:b/>
          <w:bCs/>
        </w:rPr>
      </w:pPr>
      <w:r w:rsidRPr="001C482F">
        <w:rPr>
          <w:rFonts w:asciiTheme="minorHAnsi" w:hAnsiTheme="minorHAnsi" w:cstheme="minorHAnsi"/>
        </w:rPr>
        <w:t>Mortality rates for all-site cancer decreased an average of 1.8% per year among Delaware females between 2007 and 2021 and the trend was consistent over this time period.</w:t>
      </w:r>
    </w:p>
    <w:p w14:paraId="64C6F671" w14:textId="7B60EA0D" w:rsidR="001C482F" w:rsidRPr="00066068" w:rsidRDefault="00A82277" w:rsidP="001C482F">
      <w:pPr>
        <w:pStyle w:val="Caption"/>
        <w:spacing w:after="0" w:line="240" w:lineRule="auto"/>
        <w:jc w:val="center"/>
        <w:rPr>
          <w:rFonts w:asciiTheme="minorHAnsi" w:hAnsiTheme="minorHAnsi"/>
          <w:b/>
          <w:sz w:val="22"/>
        </w:rPr>
      </w:pPr>
      <w:r w:rsidRPr="001C482F">
        <w:rPr>
          <w:rFonts w:asciiTheme="minorHAnsi" w:hAnsiTheme="minorHAnsi" w:cstheme="minorHAnsi"/>
          <w:highlight w:val="green"/>
        </w:rPr>
        <w:br w:type="page"/>
      </w:r>
      <w:r w:rsidR="001C482F" w:rsidRPr="00066068">
        <w:rPr>
          <w:rFonts w:asciiTheme="minorHAnsi" w:hAnsiTheme="minorHAnsi"/>
          <w:b/>
          <w:sz w:val="22"/>
        </w:rPr>
        <w:lastRenderedPageBreak/>
        <w:t xml:space="preserve">Figure </w:t>
      </w:r>
      <w:r w:rsidR="001C482F" w:rsidRPr="00066068">
        <w:rPr>
          <w:rFonts w:asciiTheme="minorHAnsi" w:hAnsiTheme="minorHAnsi"/>
          <w:b/>
          <w:sz w:val="22"/>
        </w:rPr>
        <w:fldChar w:fldCharType="begin"/>
      </w:r>
      <w:r w:rsidR="001C482F" w:rsidRPr="00066068">
        <w:rPr>
          <w:rFonts w:asciiTheme="minorHAnsi" w:hAnsiTheme="minorHAnsi"/>
          <w:b/>
          <w:sz w:val="22"/>
        </w:rPr>
        <w:instrText xml:space="preserve"> STYLEREF 1 \s </w:instrText>
      </w:r>
      <w:r w:rsidR="001C482F" w:rsidRPr="00066068">
        <w:rPr>
          <w:rFonts w:asciiTheme="minorHAnsi" w:hAnsiTheme="minorHAnsi"/>
          <w:b/>
          <w:sz w:val="22"/>
        </w:rPr>
        <w:fldChar w:fldCharType="separate"/>
      </w:r>
      <w:r w:rsidR="006C24CC">
        <w:rPr>
          <w:rFonts w:asciiTheme="minorHAnsi" w:hAnsiTheme="minorHAnsi"/>
          <w:b/>
          <w:noProof/>
          <w:sz w:val="22"/>
        </w:rPr>
        <w:t>2</w:t>
      </w:r>
      <w:r w:rsidR="001C482F" w:rsidRPr="00066068">
        <w:rPr>
          <w:rFonts w:asciiTheme="minorHAnsi" w:hAnsiTheme="minorHAnsi"/>
          <w:b/>
          <w:sz w:val="22"/>
        </w:rPr>
        <w:fldChar w:fldCharType="end"/>
      </w:r>
      <w:r w:rsidR="001C482F" w:rsidRPr="00066068">
        <w:rPr>
          <w:rFonts w:asciiTheme="minorHAnsi" w:hAnsiTheme="minorHAnsi"/>
          <w:b/>
          <w:sz w:val="22"/>
        </w:rPr>
        <w:noBreakHyphen/>
      </w:r>
      <w:r w:rsidR="001C482F" w:rsidRPr="00066068">
        <w:rPr>
          <w:rFonts w:asciiTheme="minorHAnsi" w:hAnsiTheme="minorHAnsi"/>
          <w:b/>
          <w:sz w:val="22"/>
        </w:rPr>
        <w:fldChar w:fldCharType="begin"/>
      </w:r>
      <w:r w:rsidR="001C482F" w:rsidRPr="00066068">
        <w:rPr>
          <w:rFonts w:asciiTheme="minorHAnsi" w:hAnsiTheme="minorHAnsi"/>
          <w:b/>
          <w:sz w:val="22"/>
        </w:rPr>
        <w:instrText xml:space="preserve"> SEQ Figure \* ARABIC \s 1 </w:instrText>
      </w:r>
      <w:r w:rsidR="001C482F" w:rsidRPr="00066068">
        <w:rPr>
          <w:rFonts w:asciiTheme="minorHAnsi" w:hAnsiTheme="minorHAnsi"/>
          <w:b/>
          <w:sz w:val="22"/>
        </w:rPr>
        <w:fldChar w:fldCharType="separate"/>
      </w:r>
      <w:r w:rsidR="006C24CC">
        <w:rPr>
          <w:rFonts w:asciiTheme="minorHAnsi" w:hAnsiTheme="minorHAnsi"/>
          <w:b/>
          <w:noProof/>
          <w:sz w:val="22"/>
        </w:rPr>
        <w:t>11</w:t>
      </w:r>
      <w:r w:rsidR="001C482F" w:rsidRPr="00066068">
        <w:rPr>
          <w:rFonts w:asciiTheme="minorHAnsi" w:hAnsiTheme="minorHAnsi"/>
          <w:b/>
          <w:sz w:val="22"/>
        </w:rPr>
        <w:fldChar w:fldCharType="end"/>
      </w:r>
      <w:r w:rsidR="001C482F" w:rsidRPr="00066068">
        <w:rPr>
          <w:rFonts w:asciiTheme="minorHAnsi" w:hAnsiTheme="minorHAnsi"/>
          <w:b/>
          <w:sz w:val="22"/>
        </w:rPr>
        <w:t xml:space="preserve">: Age-Adjusted All-site CANCER MORTALITY RATE Trend </w:t>
      </w:r>
    </w:p>
    <w:p w14:paraId="3FE944C9" w14:textId="01924BF4" w:rsidR="001C482F" w:rsidRDefault="001C482F" w:rsidP="001C482F">
      <w:pPr>
        <w:pStyle w:val="Caption"/>
        <w:spacing w:after="120" w:line="240" w:lineRule="auto"/>
        <w:jc w:val="center"/>
        <w:rPr>
          <w:rFonts w:asciiTheme="minorHAnsi" w:hAnsiTheme="minorHAnsi"/>
          <w:b/>
          <w:sz w:val="22"/>
        </w:rPr>
      </w:pPr>
      <w:r w:rsidRPr="00066068">
        <w:rPr>
          <w:rFonts w:asciiTheme="minorHAnsi" w:hAnsiTheme="minorHAnsi"/>
          <w:b/>
          <w:sz w:val="22"/>
        </w:rPr>
        <w:t xml:space="preserve">BY </w:t>
      </w:r>
      <w:r w:rsidR="00F72943">
        <w:rPr>
          <w:rFonts w:asciiTheme="minorHAnsi" w:hAnsiTheme="minorHAnsi"/>
          <w:b/>
          <w:sz w:val="22"/>
        </w:rPr>
        <w:t>Race/ethnicity</w:t>
      </w:r>
      <w:r w:rsidRPr="00066068">
        <w:rPr>
          <w:rFonts w:asciiTheme="minorHAnsi" w:hAnsiTheme="minorHAnsi"/>
          <w:b/>
          <w:sz w:val="22"/>
        </w:rPr>
        <w:t xml:space="preserve">; </w:t>
      </w:r>
      <w:r w:rsidR="00F72943">
        <w:rPr>
          <w:rFonts w:asciiTheme="minorHAnsi" w:hAnsiTheme="minorHAnsi"/>
          <w:b/>
          <w:sz w:val="22"/>
        </w:rPr>
        <w:t xml:space="preserve">males, </w:t>
      </w:r>
      <w:r w:rsidRPr="00066068">
        <w:rPr>
          <w:rFonts w:asciiTheme="minorHAnsi" w:hAnsiTheme="minorHAnsi"/>
          <w:b/>
          <w:sz w:val="22"/>
        </w:rPr>
        <w:t xml:space="preserve">Delaware, </w:t>
      </w:r>
      <w:r>
        <w:rPr>
          <w:rFonts w:asciiTheme="minorHAnsi" w:hAnsiTheme="minorHAnsi"/>
          <w:b/>
          <w:sz w:val="22"/>
        </w:rPr>
        <w:t>2007-2021</w:t>
      </w:r>
    </w:p>
    <w:p w14:paraId="3FD0A606" w14:textId="317F9D1F" w:rsidR="00F72943" w:rsidRDefault="00883A8D" w:rsidP="00F72943">
      <w:pPr>
        <w:jc w:val="center"/>
      </w:pPr>
      <w:r>
        <w:rPr>
          <w:noProof/>
        </w:rPr>
        <w:drawing>
          <wp:inline distT="0" distB="0" distL="0" distR="0" wp14:anchorId="7867A9AD" wp14:editId="1C3828BD">
            <wp:extent cx="4584700" cy="2755900"/>
            <wp:effectExtent l="0" t="0" r="6350" b="6350"/>
            <wp:docPr id="9761694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1855BE1" w14:textId="652C52B2" w:rsidR="00F72943" w:rsidRPr="00C77E69" w:rsidRDefault="00F72943" w:rsidP="00F72943">
      <w:pPr>
        <w:spacing w:after="0"/>
        <w:ind w:left="1530" w:right="1523"/>
        <w:rPr>
          <w:rFonts w:asciiTheme="minorHAnsi" w:hAnsiTheme="minorHAnsi"/>
          <w:i/>
          <w:sz w:val="16"/>
          <w:szCs w:val="16"/>
        </w:rPr>
      </w:pPr>
      <w:r w:rsidRPr="00C77E69">
        <w:rPr>
          <w:rFonts w:asciiTheme="minorHAnsi" w:hAnsiTheme="minorHAnsi"/>
          <w:i/>
          <w:sz w:val="16"/>
          <w:szCs w:val="16"/>
        </w:rPr>
        <w:t xml:space="preserve">Source (Delaware): Delaware Department of Health and Social Services, Division of Public Health, Delaware Health Statistics Center, </w:t>
      </w:r>
      <w:r>
        <w:rPr>
          <w:rFonts w:asciiTheme="minorHAnsi" w:hAnsiTheme="minorHAnsi"/>
          <w:i/>
          <w:sz w:val="16"/>
          <w:szCs w:val="16"/>
        </w:rPr>
        <w:t>2024</w:t>
      </w:r>
    </w:p>
    <w:p w14:paraId="5422AFC9" w14:textId="77777777" w:rsidR="00F72943" w:rsidRPr="00C77E69" w:rsidRDefault="00F72943" w:rsidP="00F72943">
      <w:pPr>
        <w:pStyle w:val="NoSpacing"/>
        <w:ind w:left="1530" w:right="1523"/>
        <w:rPr>
          <w:rFonts w:asciiTheme="minorHAnsi" w:hAnsiTheme="minorHAnsi"/>
          <w:sz w:val="16"/>
          <w:szCs w:val="16"/>
        </w:rPr>
      </w:pPr>
      <w:r w:rsidRPr="00D95A9D">
        <w:rPr>
          <w:rFonts w:asciiTheme="minorHAnsi" w:hAnsiTheme="minorHAnsi"/>
          <w:sz w:val="16"/>
          <w:szCs w:val="16"/>
        </w:rPr>
        <w:t>Rates are per 100,000 of population age-adjusted to the 2000 U.S. standard populatio</w:t>
      </w:r>
      <w:r>
        <w:rPr>
          <w:rFonts w:asciiTheme="minorHAnsi" w:hAnsiTheme="minorHAnsi"/>
          <w:sz w:val="16"/>
          <w:szCs w:val="16"/>
        </w:rPr>
        <w:t>n and are   calculated using modified U.S. Census populations available from NCI (</w:t>
      </w:r>
      <w:hyperlink r:id="rId47" w:history="1">
        <w:r w:rsidRPr="00ED4EF5">
          <w:rPr>
            <w:rStyle w:val="Hyperlink"/>
            <w:rFonts w:asciiTheme="minorHAnsi" w:hAnsiTheme="minorHAnsi"/>
            <w:sz w:val="16"/>
            <w:szCs w:val="16"/>
          </w:rPr>
          <w:t>https://seer.cancer.gov/popdata/</w:t>
        </w:r>
      </w:hyperlink>
      <w:r>
        <w:rPr>
          <w:rFonts w:asciiTheme="minorHAnsi" w:hAnsiTheme="minorHAnsi"/>
          <w:sz w:val="16"/>
          <w:szCs w:val="16"/>
        </w:rPr>
        <w:t>).</w:t>
      </w:r>
    </w:p>
    <w:p w14:paraId="47DD9755" w14:textId="77777777" w:rsidR="00F72943" w:rsidRPr="00F72943" w:rsidRDefault="00F72943" w:rsidP="00F72943">
      <w:pPr>
        <w:rPr>
          <w:rFonts w:asciiTheme="minorHAnsi" w:hAnsiTheme="minorHAnsi" w:cstheme="minorHAnsi"/>
        </w:rPr>
      </w:pPr>
    </w:p>
    <w:p w14:paraId="7C0B15CB" w14:textId="2ED85DF7" w:rsidR="00F72943" w:rsidRPr="00F72943" w:rsidRDefault="00F72943" w:rsidP="00B21C83">
      <w:pPr>
        <w:pStyle w:val="ListParagraph"/>
        <w:numPr>
          <w:ilvl w:val="0"/>
          <w:numId w:val="31"/>
        </w:numPr>
        <w:spacing w:after="160" w:line="259" w:lineRule="auto"/>
        <w:rPr>
          <w:rFonts w:asciiTheme="minorHAnsi" w:hAnsiTheme="minorHAnsi" w:cstheme="minorHAnsi"/>
          <w:b/>
          <w:bCs/>
        </w:rPr>
      </w:pPr>
      <w:r w:rsidRPr="00F72943">
        <w:rPr>
          <w:rFonts w:asciiTheme="minorHAnsi" w:hAnsiTheme="minorHAnsi" w:cstheme="minorHAnsi"/>
        </w:rPr>
        <w:t xml:space="preserve">Mortality rates for all-site cancer decreased an average of 1.6% per year among </w:t>
      </w:r>
      <w:r w:rsidR="003C6103">
        <w:rPr>
          <w:rFonts w:asciiTheme="minorHAnsi" w:hAnsiTheme="minorHAnsi" w:cstheme="minorHAnsi"/>
        </w:rPr>
        <w:t>n</w:t>
      </w:r>
      <w:r w:rsidRPr="00F72943">
        <w:rPr>
          <w:rFonts w:asciiTheme="minorHAnsi" w:hAnsiTheme="minorHAnsi" w:cstheme="minorHAnsi"/>
        </w:rPr>
        <w:t>on-Hispanic White males in Delaware between 2007 and 2021 and the trend was consistent over this time period.</w:t>
      </w:r>
    </w:p>
    <w:p w14:paraId="504FF8B8" w14:textId="38F6C720" w:rsidR="00F72943" w:rsidRPr="00F72943" w:rsidRDefault="00F72943" w:rsidP="00B21C83">
      <w:pPr>
        <w:pStyle w:val="ListParagraph"/>
        <w:numPr>
          <w:ilvl w:val="0"/>
          <w:numId w:val="31"/>
        </w:numPr>
        <w:spacing w:after="160" w:line="259" w:lineRule="auto"/>
        <w:rPr>
          <w:rFonts w:asciiTheme="minorHAnsi" w:hAnsiTheme="minorHAnsi" w:cstheme="minorHAnsi"/>
          <w:b/>
          <w:bCs/>
        </w:rPr>
      </w:pPr>
      <w:r w:rsidRPr="00F72943">
        <w:rPr>
          <w:rFonts w:asciiTheme="minorHAnsi" w:hAnsiTheme="minorHAnsi" w:cstheme="minorHAnsi"/>
        </w:rPr>
        <w:t xml:space="preserve">Mortality rates for all-site cancer decreased an average of 1.7% per year among </w:t>
      </w:r>
      <w:r w:rsidR="00AC71E3">
        <w:rPr>
          <w:rFonts w:asciiTheme="minorHAnsi" w:hAnsiTheme="minorHAnsi" w:cstheme="minorHAnsi"/>
        </w:rPr>
        <w:t>non</w:t>
      </w:r>
      <w:r w:rsidRPr="00F72943">
        <w:rPr>
          <w:rFonts w:asciiTheme="minorHAnsi" w:hAnsiTheme="minorHAnsi" w:cstheme="minorHAnsi"/>
        </w:rPr>
        <w:t>-Hispanic Black males in Delaware between 2007 and 2021 and the trend was consistent over this time period.</w:t>
      </w:r>
    </w:p>
    <w:p w14:paraId="27057AF2" w14:textId="77777777" w:rsidR="00F72943" w:rsidRPr="00F72943" w:rsidRDefault="00F72943" w:rsidP="00B21C83">
      <w:pPr>
        <w:pStyle w:val="ListParagraph"/>
        <w:numPr>
          <w:ilvl w:val="0"/>
          <w:numId w:val="31"/>
        </w:numPr>
        <w:spacing w:after="160" w:line="259" w:lineRule="auto"/>
        <w:rPr>
          <w:rFonts w:asciiTheme="minorHAnsi" w:hAnsiTheme="minorHAnsi" w:cstheme="minorHAnsi"/>
        </w:rPr>
      </w:pPr>
      <w:r w:rsidRPr="00F72943">
        <w:rPr>
          <w:rFonts w:asciiTheme="minorHAnsi" w:hAnsiTheme="minorHAnsi" w:cstheme="minorHAnsi"/>
        </w:rPr>
        <w:t>The trend in mortality rates for all-site cancer was stable among Hispanic males in Delaware between 2007 and 2021.</w:t>
      </w:r>
    </w:p>
    <w:p w14:paraId="51065C2D" w14:textId="77777777" w:rsidR="00F72943" w:rsidRPr="00F72943" w:rsidRDefault="00F72943" w:rsidP="00F72943"/>
    <w:p w14:paraId="6CC8C6A8" w14:textId="77777777" w:rsidR="00EB01C9" w:rsidRDefault="00EB01C9">
      <w:pPr>
        <w:rPr>
          <w:rFonts w:asciiTheme="minorHAnsi" w:hAnsiTheme="minorHAnsi"/>
          <w:b/>
          <w:caps/>
          <w:spacing w:val="10"/>
          <w:szCs w:val="18"/>
        </w:rPr>
      </w:pPr>
      <w:r>
        <w:rPr>
          <w:rFonts w:asciiTheme="minorHAnsi" w:hAnsiTheme="minorHAnsi"/>
          <w:b/>
        </w:rPr>
        <w:br w:type="page"/>
      </w:r>
    </w:p>
    <w:p w14:paraId="439A0392" w14:textId="62CC2C6F" w:rsidR="00EB01C9" w:rsidRPr="00066068" w:rsidRDefault="00EB01C9" w:rsidP="00EB01C9">
      <w:pPr>
        <w:pStyle w:val="Caption"/>
        <w:spacing w:after="0" w:line="240" w:lineRule="auto"/>
        <w:jc w:val="center"/>
        <w:rPr>
          <w:rFonts w:asciiTheme="minorHAnsi" w:hAnsiTheme="minorHAnsi"/>
          <w:b/>
          <w:sz w:val="22"/>
        </w:rPr>
      </w:pPr>
      <w:r w:rsidRPr="00066068">
        <w:rPr>
          <w:rFonts w:asciiTheme="minorHAnsi" w:hAnsiTheme="minorHAnsi"/>
          <w:b/>
          <w:sz w:val="22"/>
        </w:rPr>
        <w:lastRenderedPageBreak/>
        <w:t xml:space="preserve">Figure </w:t>
      </w:r>
      <w:r w:rsidRPr="00066068">
        <w:rPr>
          <w:rFonts w:asciiTheme="minorHAnsi" w:hAnsiTheme="minorHAnsi"/>
          <w:b/>
          <w:sz w:val="22"/>
        </w:rPr>
        <w:fldChar w:fldCharType="begin"/>
      </w:r>
      <w:r w:rsidRPr="00066068">
        <w:rPr>
          <w:rFonts w:asciiTheme="minorHAnsi" w:hAnsiTheme="minorHAnsi"/>
          <w:b/>
          <w:sz w:val="22"/>
        </w:rPr>
        <w:instrText xml:space="preserve"> STYLEREF 1 \s </w:instrText>
      </w:r>
      <w:r w:rsidRPr="00066068">
        <w:rPr>
          <w:rFonts w:asciiTheme="minorHAnsi" w:hAnsiTheme="minorHAnsi"/>
          <w:b/>
          <w:sz w:val="22"/>
        </w:rPr>
        <w:fldChar w:fldCharType="separate"/>
      </w:r>
      <w:r w:rsidR="006C24CC">
        <w:rPr>
          <w:rFonts w:asciiTheme="minorHAnsi" w:hAnsiTheme="minorHAnsi"/>
          <w:b/>
          <w:noProof/>
          <w:sz w:val="22"/>
        </w:rPr>
        <w:t>2</w:t>
      </w:r>
      <w:r w:rsidRPr="00066068">
        <w:rPr>
          <w:rFonts w:asciiTheme="minorHAnsi" w:hAnsiTheme="minorHAnsi"/>
          <w:b/>
          <w:sz w:val="22"/>
        </w:rPr>
        <w:fldChar w:fldCharType="end"/>
      </w:r>
      <w:r w:rsidRPr="00066068">
        <w:rPr>
          <w:rFonts w:asciiTheme="minorHAnsi" w:hAnsiTheme="minorHAnsi"/>
          <w:b/>
          <w:sz w:val="22"/>
        </w:rPr>
        <w:noBreakHyphen/>
      </w:r>
      <w:r w:rsidRPr="00066068">
        <w:rPr>
          <w:rFonts w:asciiTheme="minorHAnsi" w:hAnsiTheme="minorHAnsi"/>
          <w:b/>
          <w:sz w:val="22"/>
        </w:rPr>
        <w:fldChar w:fldCharType="begin"/>
      </w:r>
      <w:r w:rsidRPr="00066068">
        <w:rPr>
          <w:rFonts w:asciiTheme="minorHAnsi" w:hAnsiTheme="minorHAnsi"/>
          <w:b/>
          <w:sz w:val="22"/>
        </w:rPr>
        <w:instrText xml:space="preserve"> SEQ Figure \* ARABIC \s 1 </w:instrText>
      </w:r>
      <w:r w:rsidRPr="00066068">
        <w:rPr>
          <w:rFonts w:asciiTheme="minorHAnsi" w:hAnsiTheme="minorHAnsi"/>
          <w:b/>
          <w:sz w:val="22"/>
        </w:rPr>
        <w:fldChar w:fldCharType="separate"/>
      </w:r>
      <w:r w:rsidR="006C24CC">
        <w:rPr>
          <w:rFonts w:asciiTheme="minorHAnsi" w:hAnsiTheme="minorHAnsi"/>
          <w:b/>
          <w:noProof/>
          <w:sz w:val="22"/>
        </w:rPr>
        <w:t>12</w:t>
      </w:r>
      <w:r w:rsidRPr="00066068">
        <w:rPr>
          <w:rFonts w:asciiTheme="minorHAnsi" w:hAnsiTheme="minorHAnsi"/>
          <w:b/>
          <w:sz w:val="22"/>
        </w:rPr>
        <w:fldChar w:fldCharType="end"/>
      </w:r>
      <w:r w:rsidRPr="00066068">
        <w:rPr>
          <w:rFonts w:asciiTheme="minorHAnsi" w:hAnsiTheme="minorHAnsi"/>
          <w:b/>
          <w:sz w:val="22"/>
        </w:rPr>
        <w:t xml:space="preserve">: Age-Adjusted All-site CANCER MORTALITY RATE Trend </w:t>
      </w:r>
    </w:p>
    <w:p w14:paraId="0687C5D2" w14:textId="17757E5A" w:rsidR="00EB01C9" w:rsidRDefault="00EB01C9" w:rsidP="00EB01C9">
      <w:pPr>
        <w:pStyle w:val="Caption"/>
        <w:spacing w:after="120" w:line="240" w:lineRule="auto"/>
        <w:jc w:val="center"/>
        <w:rPr>
          <w:rFonts w:asciiTheme="minorHAnsi" w:hAnsiTheme="minorHAnsi"/>
          <w:b/>
          <w:sz w:val="22"/>
        </w:rPr>
      </w:pPr>
      <w:r w:rsidRPr="00066068">
        <w:rPr>
          <w:rFonts w:asciiTheme="minorHAnsi" w:hAnsiTheme="minorHAnsi"/>
          <w:b/>
          <w:sz w:val="22"/>
        </w:rPr>
        <w:t xml:space="preserve">BY </w:t>
      </w:r>
      <w:r>
        <w:rPr>
          <w:rFonts w:asciiTheme="minorHAnsi" w:hAnsiTheme="minorHAnsi"/>
          <w:b/>
          <w:sz w:val="22"/>
        </w:rPr>
        <w:t>Race/ethnicity</w:t>
      </w:r>
      <w:r w:rsidRPr="00066068">
        <w:rPr>
          <w:rFonts w:asciiTheme="minorHAnsi" w:hAnsiTheme="minorHAnsi"/>
          <w:b/>
          <w:sz w:val="22"/>
        </w:rPr>
        <w:t xml:space="preserve">; </w:t>
      </w:r>
      <w:r>
        <w:rPr>
          <w:rFonts w:asciiTheme="minorHAnsi" w:hAnsiTheme="minorHAnsi"/>
          <w:b/>
          <w:sz w:val="22"/>
        </w:rPr>
        <w:t xml:space="preserve">FEmales, </w:t>
      </w:r>
      <w:r w:rsidRPr="00066068">
        <w:rPr>
          <w:rFonts w:asciiTheme="minorHAnsi" w:hAnsiTheme="minorHAnsi"/>
          <w:b/>
          <w:sz w:val="22"/>
        </w:rPr>
        <w:t xml:space="preserve">Delaware, </w:t>
      </w:r>
      <w:r>
        <w:rPr>
          <w:rFonts w:asciiTheme="minorHAnsi" w:hAnsiTheme="minorHAnsi"/>
          <w:b/>
          <w:sz w:val="22"/>
        </w:rPr>
        <w:t>2007-2021</w:t>
      </w:r>
    </w:p>
    <w:p w14:paraId="514D9AD1" w14:textId="7DE0AE9E" w:rsidR="00EB01C9" w:rsidRPr="00EB01C9" w:rsidRDefault="007332B9" w:rsidP="00EB01C9">
      <w:pPr>
        <w:jc w:val="center"/>
      </w:pPr>
      <w:r>
        <w:rPr>
          <w:noProof/>
        </w:rPr>
        <w:drawing>
          <wp:inline distT="0" distB="0" distL="0" distR="0" wp14:anchorId="700C2110" wp14:editId="2389F09E">
            <wp:extent cx="4584700" cy="2664460"/>
            <wp:effectExtent l="0" t="0" r="6350" b="2540"/>
            <wp:docPr id="18407718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584700" cy="2664460"/>
                    </a:xfrm>
                    <a:prstGeom prst="rect">
                      <a:avLst/>
                    </a:prstGeom>
                    <a:noFill/>
                  </pic:spPr>
                </pic:pic>
              </a:graphicData>
            </a:graphic>
          </wp:inline>
        </w:drawing>
      </w:r>
    </w:p>
    <w:p w14:paraId="70B9362F" w14:textId="6E41E0A7" w:rsidR="00EB01C9" w:rsidRPr="00C77E69" w:rsidRDefault="00EB01C9" w:rsidP="00EB01C9">
      <w:pPr>
        <w:spacing w:after="0"/>
        <w:ind w:left="1530" w:right="1523"/>
        <w:rPr>
          <w:rFonts w:asciiTheme="minorHAnsi" w:hAnsiTheme="minorHAnsi"/>
          <w:i/>
          <w:sz w:val="16"/>
          <w:szCs w:val="16"/>
        </w:rPr>
      </w:pPr>
      <w:r w:rsidRPr="00C77E69">
        <w:rPr>
          <w:rFonts w:asciiTheme="minorHAnsi" w:hAnsiTheme="minorHAnsi"/>
          <w:i/>
          <w:sz w:val="16"/>
          <w:szCs w:val="16"/>
        </w:rPr>
        <w:t xml:space="preserve">Source (Delaware): Delaware Department of Health and Social Services, Division of Public Health, Delaware Health Statistics Center, </w:t>
      </w:r>
      <w:r>
        <w:rPr>
          <w:rFonts w:asciiTheme="minorHAnsi" w:hAnsiTheme="minorHAnsi"/>
          <w:i/>
          <w:sz w:val="16"/>
          <w:szCs w:val="16"/>
        </w:rPr>
        <w:t>2024</w:t>
      </w:r>
    </w:p>
    <w:p w14:paraId="28EF1C5B" w14:textId="5D13CAF7" w:rsidR="00A82277" w:rsidRDefault="00EB01C9" w:rsidP="00EB01C9">
      <w:pPr>
        <w:pStyle w:val="NoSpacing"/>
        <w:ind w:left="1530" w:right="1523"/>
        <w:rPr>
          <w:rFonts w:asciiTheme="minorHAnsi" w:hAnsiTheme="minorHAnsi"/>
          <w:sz w:val="16"/>
          <w:szCs w:val="16"/>
        </w:rPr>
      </w:pPr>
      <w:r w:rsidRPr="00D95A9D">
        <w:rPr>
          <w:rFonts w:asciiTheme="minorHAnsi" w:hAnsiTheme="minorHAnsi"/>
          <w:sz w:val="16"/>
          <w:szCs w:val="16"/>
        </w:rPr>
        <w:t>Rates are per 100,000 of population age-adjusted to the 2000 U.S. standard populatio</w:t>
      </w:r>
      <w:r>
        <w:rPr>
          <w:rFonts w:asciiTheme="minorHAnsi" w:hAnsiTheme="minorHAnsi"/>
          <w:sz w:val="16"/>
          <w:szCs w:val="16"/>
        </w:rPr>
        <w:t>n and are   calculated using modified U.S. Census populations available from NCI (</w:t>
      </w:r>
      <w:hyperlink r:id="rId49" w:history="1">
        <w:r w:rsidRPr="00ED4EF5">
          <w:rPr>
            <w:rStyle w:val="Hyperlink"/>
            <w:rFonts w:asciiTheme="minorHAnsi" w:hAnsiTheme="minorHAnsi"/>
            <w:sz w:val="16"/>
            <w:szCs w:val="16"/>
          </w:rPr>
          <w:t>https://seer.cancer.gov/popdata/</w:t>
        </w:r>
      </w:hyperlink>
      <w:r>
        <w:rPr>
          <w:rFonts w:asciiTheme="minorHAnsi" w:hAnsiTheme="minorHAnsi"/>
          <w:sz w:val="16"/>
          <w:szCs w:val="16"/>
        </w:rPr>
        <w:t>).</w:t>
      </w:r>
    </w:p>
    <w:p w14:paraId="6740FD9A" w14:textId="77777777" w:rsidR="0033760F" w:rsidRDefault="0033760F" w:rsidP="00EB01C9">
      <w:pPr>
        <w:pStyle w:val="NoSpacing"/>
        <w:ind w:left="1530" w:right="1523"/>
        <w:rPr>
          <w:rFonts w:asciiTheme="minorHAnsi" w:hAnsiTheme="minorHAnsi"/>
          <w:sz w:val="16"/>
          <w:szCs w:val="16"/>
        </w:rPr>
      </w:pPr>
    </w:p>
    <w:p w14:paraId="49FBB2BC" w14:textId="77777777" w:rsidR="00EB01C9" w:rsidRPr="00EB01C9" w:rsidRDefault="00EB01C9" w:rsidP="00EB01C9">
      <w:pPr>
        <w:pStyle w:val="NoSpacing"/>
        <w:ind w:left="1530" w:right="1523"/>
        <w:rPr>
          <w:rFonts w:asciiTheme="minorHAnsi" w:hAnsiTheme="minorHAnsi"/>
          <w:sz w:val="16"/>
          <w:szCs w:val="16"/>
        </w:rPr>
      </w:pPr>
    </w:p>
    <w:p w14:paraId="4BD2A12D" w14:textId="0F85AB17" w:rsidR="00EB01C9" w:rsidRPr="00EB01C9" w:rsidRDefault="00EB01C9" w:rsidP="00B21C83">
      <w:pPr>
        <w:pStyle w:val="ListParagraph"/>
        <w:numPr>
          <w:ilvl w:val="0"/>
          <w:numId w:val="31"/>
        </w:numPr>
        <w:spacing w:after="160" w:line="259" w:lineRule="auto"/>
        <w:rPr>
          <w:rFonts w:asciiTheme="minorHAnsi" w:hAnsiTheme="minorHAnsi" w:cstheme="minorHAnsi"/>
          <w:b/>
          <w:bCs/>
        </w:rPr>
      </w:pPr>
      <w:r w:rsidRPr="00EB01C9">
        <w:rPr>
          <w:rFonts w:asciiTheme="minorHAnsi" w:hAnsiTheme="minorHAnsi" w:cstheme="minorHAnsi"/>
        </w:rPr>
        <w:t xml:space="preserve">Mortality rates for all-site cancer decreased an average of </w:t>
      </w:r>
      <w:r w:rsidR="00F102D9">
        <w:rPr>
          <w:rFonts w:asciiTheme="minorHAnsi" w:hAnsiTheme="minorHAnsi" w:cstheme="minorHAnsi"/>
        </w:rPr>
        <w:t>2.0</w:t>
      </w:r>
      <w:r w:rsidRPr="00EB01C9">
        <w:rPr>
          <w:rFonts w:asciiTheme="minorHAnsi" w:hAnsiTheme="minorHAnsi" w:cstheme="minorHAnsi"/>
        </w:rPr>
        <w:t xml:space="preserve">% per year among </w:t>
      </w:r>
      <w:r w:rsidR="00AC71E3">
        <w:rPr>
          <w:rFonts w:asciiTheme="minorHAnsi" w:hAnsiTheme="minorHAnsi" w:cstheme="minorHAnsi"/>
        </w:rPr>
        <w:t>non</w:t>
      </w:r>
      <w:r w:rsidRPr="00EB01C9">
        <w:rPr>
          <w:rFonts w:asciiTheme="minorHAnsi" w:hAnsiTheme="minorHAnsi" w:cstheme="minorHAnsi"/>
        </w:rPr>
        <w:t>-Hispanic White females in Delaware between 2007 and 2021 and the trend was consistent over this time period.</w:t>
      </w:r>
    </w:p>
    <w:p w14:paraId="6A7E0992" w14:textId="4B9064BD" w:rsidR="00EB01C9" w:rsidRPr="00EB01C9" w:rsidRDefault="00EB01C9" w:rsidP="00B21C83">
      <w:pPr>
        <w:pStyle w:val="ListParagraph"/>
        <w:numPr>
          <w:ilvl w:val="0"/>
          <w:numId w:val="31"/>
        </w:numPr>
        <w:spacing w:after="160" w:line="259" w:lineRule="auto"/>
        <w:rPr>
          <w:rFonts w:asciiTheme="minorHAnsi" w:hAnsiTheme="minorHAnsi" w:cstheme="minorHAnsi"/>
        </w:rPr>
      </w:pPr>
      <w:r w:rsidRPr="00EB01C9">
        <w:rPr>
          <w:rFonts w:asciiTheme="minorHAnsi" w:hAnsiTheme="minorHAnsi" w:cstheme="minorHAnsi"/>
        </w:rPr>
        <w:t xml:space="preserve">The trend in mortality rates for all-site cancer was stable among both </w:t>
      </w:r>
      <w:r w:rsidR="00AC71E3">
        <w:rPr>
          <w:rFonts w:asciiTheme="minorHAnsi" w:hAnsiTheme="minorHAnsi" w:cstheme="minorHAnsi"/>
        </w:rPr>
        <w:t>non</w:t>
      </w:r>
      <w:r w:rsidRPr="00EB01C9">
        <w:rPr>
          <w:rFonts w:asciiTheme="minorHAnsi" w:hAnsiTheme="minorHAnsi" w:cstheme="minorHAnsi"/>
        </w:rPr>
        <w:t>-Hispanic Black and Hispanic females in Delaware between 2007 and 2021.</w:t>
      </w:r>
    </w:p>
    <w:p w14:paraId="0D95814E" w14:textId="3B8E5784" w:rsidR="00EB01C9" w:rsidRPr="001C482F" w:rsidRDefault="00EB01C9">
      <w:pPr>
        <w:rPr>
          <w:rFonts w:asciiTheme="minorHAnsi" w:hAnsiTheme="minorHAnsi" w:cstheme="minorHAnsi"/>
          <w:b/>
          <w:caps/>
          <w:color w:val="1A4070" w:themeColor="accent2" w:themeShade="7F"/>
          <w:sz w:val="24"/>
          <w:szCs w:val="24"/>
          <w:highlight w:val="green"/>
        </w:rPr>
      </w:pPr>
      <w:r>
        <w:rPr>
          <w:rFonts w:asciiTheme="minorHAnsi" w:hAnsiTheme="minorHAnsi" w:cstheme="minorHAnsi"/>
          <w:b/>
          <w:caps/>
          <w:color w:val="1A4070" w:themeColor="accent2" w:themeShade="7F"/>
          <w:sz w:val="24"/>
          <w:szCs w:val="24"/>
          <w:highlight w:val="green"/>
        </w:rPr>
        <w:br w:type="page"/>
      </w:r>
    </w:p>
    <w:p w14:paraId="6201C63B" w14:textId="3C610FA9" w:rsidR="003E5C0A" w:rsidRPr="00CE3F54" w:rsidRDefault="003E5C0A" w:rsidP="000C02FF">
      <w:pPr>
        <w:pStyle w:val="StyleNew1"/>
        <w:rPr>
          <w:rFonts w:asciiTheme="minorHAnsi" w:hAnsiTheme="minorHAnsi"/>
        </w:rPr>
      </w:pPr>
      <w:r w:rsidRPr="00CE3F54">
        <w:rPr>
          <w:rFonts w:asciiTheme="minorHAnsi" w:hAnsiTheme="minorHAnsi"/>
        </w:rPr>
        <w:lastRenderedPageBreak/>
        <w:t>Age-Specific Mortality Rates – Delaware</w:t>
      </w:r>
    </w:p>
    <w:p w14:paraId="7A08A6C1" w14:textId="59EBC072" w:rsidR="001143E0" w:rsidRPr="00066068" w:rsidRDefault="003E5C0A" w:rsidP="000C02FF">
      <w:pPr>
        <w:pStyle w:val="Caption"/>
        <w:spacing w:after="120" w:line="240" w:lineRule="auto"/>
        <w:contextualSpacing/>
        <w:jc w:val="center"/>
        <w:rPr>
          <w:rFonts w:asciiTheme="minorHAnsi" w:hAnsiTheme="minorHAnsi"/>
          <w:b/>
          <w:sz w:val="22"/>
        </w:rPr>
      </w:pPr>
      <w:r w:rsidRPr="00066068">
        <w:rPr>
          <w:rFonts w:asciiTheme="minorHAnsi" w:hAnsiTheme="minorHAnsi"/>
          <w:b/>
          <w:sz w:val="22"/>
        </w:rPr>
        <w:t xml:space="preserve">Figure </w:t>
      </w:r>
      <w:r w:rsidR="0053223C" w:rsidRPr="00066068">
        <w:rPr>
          <w:rFonts w:asciiTheme="minorHAnsi" w:hAnsiTheme="minorHAnsi"/>
          <w:b/>
          <w:sz w:val="22"/>
        </w:rPr>
        <w:fldChar w:fldCharType="begin"/>
      </w:r>
      <w:r w:rsidR="0053223C" w:rsidRPr="00066068">
        <w:rPr>
          <w:rFonts w:asciiTheme="minorHAnsi" w:hAnsiTheme="minorHAnsi"/>
          <w:b/>
          <w:sz w:val="22"/>
        </w:rPr>
        <w:instrText xml:space="preserve"> STYLEREF 1 \s </w:instrText>
      </w:r>
      <w:r w:rsidR="0053223C" w:rsidRPr="00066068">
        <w:rPr>
          <w:rFonts w:asciiTheme="minorHAnsi" w:hAnsiTheme="minorHAnsi"/>
          <w:b/>
          <w:sz w:val="22"/>
        </w:rPr>
        <w:fldChar w:fldCharType="separate"/>
      </w:r>
      <w:r w:rsidR="006C24CC">
        <w:rPr>
          <w:rFonts w:asciiTheme="minorHAnsi" w:hAnsiTheme="minorHAnsi"/>
          <w:b/>
          <w:noProof/>
          <w:sz w:val="22"/>
        </w:rPr>
        <w:t>2</w:t>
      </w:r>
      <w:r w:rsidR="0053223C" w:rsidRPr="00066068">
        <w:rPr>
          <w:rFonts w:asciiTheme="minorHAnsi" w:hAnsiTheme="minorHAnsi"/>
          <w:b/>
          <w:sz w:val="22"/>
        </w:rPr>
        <w:fldChar w:fldCharType="end"/>
      </w:r>
      <w:r w:rsidR="0053223C" w:rsidRPr="00066068">
        <w:rPr>
          <w:rFonts w:asciiTheme="minorHAnsi" w:hAnsiTheme="minorHAnsi"/>
          <w:b/>
          <w:sz w:val="22"/>
        </w:rPr>
        <w:noBreakHyphen/>
      </w:r>
      <w:r w:rsidR="0053223C" w:rsidRPr="00066068">
        <w:rPr>
          <w:rFonts w:asciiTheme="minorHAnsi" w:hAnsiTheme="minorHAnsi"/>
          <w:b/>
          <w:sz w:val="22"/>
        </w:rPr>
        <w:fldChar w:fldCharType="begin"/>
      </w:r>
      <w:r w:rsidR="0053223C" w:rsidRPr="00066068">
        <w:rPr>
          <w:rFonts w:asciiTheme="minorHAnsi" w:hAnsiTheme="minorHAnsi"/>
          <w:b/>
          <w:sz w:val="22"/>
        </w:rPr>
        <w:instrText xml:space="preserve"> SEQ Figure \* ARABIC \s 1 </w:instrText>
      </w:r>
      <w:r w:rsidR="0053223C" w:rsidRPr="00066068">
        <w:rPr>
          <w:rFonts w:asciiTheme="minorHAnsi" w:hAnsiTheme="minorHAnsi"/>
          <w:b/>
          <w:sz w:val="22"/>
        </w:rPr>
        <w:fldChar w:fldCharType="separate"/>
      </w:r>
      <w:r w:rsidR="006C24CC">
        <w:rPr>
          <w:rFonts w:asciiTheme="minorHAnsi" w:hAnsiTheme="minorHAnsi"/>
          <w:b/>
          <w:noProof/>
          <w:sz w:val="22"/>
        </w:rPr>
        <w:t>13</w:t>
      </w:r>
      <w:r w:rsidR="0053223C" w:rsidRPr="00066068">
        <w:rPr>
          <w:rFonts w:asciiTheme="minorHAnsi" w:hAnsiTheme="minorHAnsi"/>
          <w:b/>
          <w:sz w:val="22"/>
        </w:rPr>
        <w:fldChar w:fldCharType="end"/>
      </w:r>
      <w:r w:rsidRPr="00066068">
        <w:rPr>
          <w:rFonts w:asciiTheme="minorHAnsi" w:hAnsiTheme="minorHAnsi"/>
          <w:b/>
          <w:sz w:val="22"/>
        </w:rPr>
        <w:t xml:space="preserve">: Age-Specific All-site cancer Mortality Rates by Sex; </w:t>
      </w:r>
    </w:p>
    <w:p w14:paraId="791EC0EA" w14:textId="176460EC" w:rsidR="003E5C0A" w:rsidRDefault="003E5C0A" w:rsidP="000C02FF">
      <w:pPr>
        <w:pStyle w:val="Caption"/>
        <w:spacing w:after="120" w:line="240" w:lineRule="auto"/>
        <w:jc w:val="center"/>
        <w:rPr>
          <w:rFonts w:asciiTheme="minorHAnsi" w:hAnsiTheme="minorHAnsi"/>
          <w:b/>
          <w:sz w:val="22"/>
        </w:rPr>
      </w:pPr>
      <w:r w:rsidRPr="00066068">
        <w:rPr>
          <w:rFonts w:asciiTheme="minorHAnsi" w:hAnsiTheme="minorHAnsi"/>
          <w:b/>
          <w:sz w:val="22"/>
        </w:rPr>
        <w:t xml:space="preserve">Delaware, </w:t>
      </w:r>
      <w:r w:rsidR="00D403E9" w:rsidRPr="00066068">
        <w:rPr>
          <w:rFonts w:asciiTheme="minorHAnsi" w:hAnsiTheme="minorHAnsi"/>
          <w:b/>
          <w:sz w:val="22"/>
        </w:rPr>
        <w:t>201</w:t>
      </w:r>
      <w:r w:rsidR="00A06BE5">
        <w:rPr>
          <w:rFonts w:asciiTheme="minorHAnsi" w:hAnsiTheme="minorHAnsi"/>
          <w:b/>
          <w:sz w:val="22"/>
        </w:rPr>
        <w:t>7</w:t>
      </w:r>
      <w:r w:rsidR="00D403E9" w:rsidRPr="00066068">
        <w:rPr>
          <w:rFonts w:asciiTheme="minorHAnsi" w:hAnsiTheme="minorHAnsi"/>
          <w:b/>
          <w:sz w:val="22"/>
        </w:rPr>
        <w:t>-20</w:t>
      </w:r>
      <w:r w:rsidR="00401E2F">
        <w:rPr>
          <w:rFonts w:asciiTheme="minorHAnsi" w:hAnsiTheme="minorHAnsi"/>
          <w:b/>
          <w:sz w:val="22"/>
        </w:rPr>
        <w:t>2</w:t>
      </w:r>
      <w:r w:rsidR="00A06BE5">
        <w:rPr>
          <w:rFonts w:asciiTheme="minorHAnsi" w:hAnsiTheme="minorHAnsi"/>
          <w:b/>
          <w:sz w:val="22"/>
        </w:rPr>
        <w:t>1</w:t>
      </w:r>
    </w:p>
    <w:p w14:paraId="2BDBB809" w14:textId="5CFD860B" w:rsidR="003E5C0A" w:rsidRPr="00416558" w:rsidRDefault="00EF6E1E" w:rsidP="00416558">
      <w:pPr>
        <w:spacing w:after="0"/>
        <w:jc w:val="center"/>
      </w:pPr>
      <w:r>
        <w:rPr>
          <w:noProof/>
        </w:rPr>
        <w:drawing>
          <wp:inline distT="0" distB="0" distL="0" distR="0" wp14:anchorId="6CF2D1C3" wp14:editId="101454AA">
            <wp:extent cx="4151376" cy="2926080"/>
            <wp:effectExtent l="0" t="0" r="1905" b="7620"/>
            <wp:docPr id="18357554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151376" cy="2926080"/>
                    </a:xfrm>
                    <a:prstGeom prst="rect">
                      <a:avLst/>
                    </a:prstGeom>
                    <a:noFill/>
                  </pic:spPr>
                </pic:pic>
              </a:graphicData>
            </a:graphic>
          </wp:inline>
        </w:drawing>
      </w:r>
    </w:p>
    <w:p w14:paraId="48DF79AC" w14:textId="77777777" w:rsidR="00DC181D" w:rsidRDefault="003E5C0A" w:rsidP="00DC181D">
      <w:pPr>
        <w:pStyle w:val="NoSpacing"/>
        <w:ind w:left="1728"/>
        <w:rPr>
          <w:rFonts w:asciiTheme="minorHAnsi" w:hAnsiTheme="minorHAnsi"/>
          <w:i/>
          <w:sz w:val="16"/>
          <w:szCs w:val="16"/>
        </w:rPr>
      </w:pPr>
      <w:r w:rsidRPr="00E778EA">
        <w:rPr>
          <w:rFonts w:asciiTheme="minorHAnsi" w:hAnsiTheme="minorHAnsi"/>
          <w:i/>
          <w:sz w:val="16"/>
          <w:szCs w:val="16"/>
        </w:rPr>
        <w:t xml:space="preserve">Source: </w:t>
      </w:r>
      <w:r w:rsidR="00E9687A" w:rsidRPr="00E778EA">
        <w:rPr>
          <w:rFonts w:asciiTheme="minorHAnsi" w:hAnsiTheme="minorHAnsi"/>
          <w:i/>
          <w:sz w:val="16"/>
          <w:szCs w:val="16"/>
        </w:rPr>
        <w:t xml:space="preserve">Delaware Department of Health and Social Services, Division of Public Health, Delaware </w:t>
      </w:r>
    </w:p>
    <w:p w14:paraId="273001D2" w14:textId="2050DA5B" w:rsidR="003E5C0A" w:rsidRPr="00E778EA" w:rsidRDefault="00E9687A" w:rsidP="006D51FB">
      <w:pPr>
        <w:pStyle w:val="NoSpacing"/>
        <w:ind w:left="1728"/>
        <w:rPr>
          <w:rFonts w:asciiTheme="minorHAnsi" w:hAnsiTheme="minorHAnsi"/>
          <w:i/>
          <w:sz w:val="16"/>
          <w:szCs w:val="16"/>
        </w:rPr>
      </w:pPr>
      <w:r w:rsidRPr="00E778EA">
        <w:rPr>
          <w:rFonts w:asciiTheme="minorHAnsi" w:hAnsiTheme="minorHAnsi"/>
          <w:i/>
          <w:sz w:val="16"/>
          <w:szCs w:val="16"/>
        </w:rPr>
        <w:t>Health Statistics Center</w:t>
      </w:r>
      <w:r w:rsidR="00786A83" w:rsidRPr="00E778EA">
        <w:rPr>
          <w:rFonts w:asciiTheme="minorHAnsi" w:hAnsiTheme="minorHAnsi"/>
          <w:i/>
          <w:sz w:val="16"/>
          <w:szCs w:val="16"/>
        </w:rPr>
        <w:t xml:space="preserve">, </w:t>
      </w:r>
      <w:r w:rsidR="002C47A8" w:rsidRPr="00E778EA">
        <w:rPr>
          <w:rFonts w:asciiTheme="minorHAnsi" w:hAnsiTheme="minorHAnsi"/>
          <w:i/>
          <w:sz w:val="16"/>
          <w:szCs w:val="16"/>
        </w:rPr>
        <w:t>20</w:t>
      </w:r>
      <w:r w:rsidR="00101CA7" w:rsidRPr="00E778EA">
        <w:rPr>
          <w:rFonts w:asciiTheme="minorHAnsi" w:hAnsiTheme="minorHAnsi"/>
          <w:i/>
          <w:sz w:val="16"/>
          <w:szCs w:val="16"/>
        </w:rPr>
        <w:t>2</w:t>
      </w:r>
      <w:r w:rsidR="00C109D3">
        <w:rPr>
          <w:rFonts w:asciiTheme="minorHAnsi" w:hAnsiTheme="minorHAnsi"/>
          <w:i/>
          <w:sz w:val="16"/>
          <w:szCs w:val="16"/>
        </w:rPr>
        <w:t>4</w:t>
      </w:r>
    </w:p>
    <w:p w14:paraId="50928BDB" w14:textId="77777777" w:rsidR="00DC181D" w:rsidRDefault="003000BB" w:rsidP="00DC181D">
      <w:pPr>
        <w:pStyle w:val="NoSpacing"/>
        <w:spacing w:after="120"/>
        <w:ind w:left="1728"/>
        <w:contextualSpacing/>
        <w:rPr>
          <w:rFonts w:asciiTheme="minorHAnsi" w:hAnsiTheme="minorHAnsi"/>
          <w:sz w:val="16"/>
          <w:szCs w:val="16"/>
        </w:rPr>
      </w:pPr>
      <w:r w:rsidRPr="00E778EA">
        <w:rPr>
          <w:rFonts w:asciiTheme="minorHAnsi" w:hAnsiTheme="minorHAnsi"/>
          <w:sz w:val="16"/>
          <w:szCs w:val="16"/>
        </w:rPr>
        <w:t xml:space="preserve">Rates are per 100,000 of population age-adjusted to the 2000 U.S. standard population and are </w:t>
      </w:r>
    </w:p>
    <w:p w14:paraId="23D6FECD" w14:textId="58D58E87" w:rsidR="005020A1" w:rsidRDefault="003000BB" w:rsidP="006D51FB">
      <w:pPr>
        <w:pStyle w:val="NoSpacing"/>
        <w:spacing w:after="120"/>
        <w:ind w:left="1728"/>
        <w:contextualSpacing/>
        <w:rPr>
          <w:rFonts w:asciiTheme="minorHAnsi" w:hAnsiTheme="minorHAnsi"/>
          <w:sz w:val="16"/>
          <w:szCs w:val="16"/>
        </w:rPr>
      </w:pPr>
      <w:r w:rsidRPr="00E778EA">
        <w:rPr>
          <w:rFonts w:asciiTheme="minorHAnsi" w:hAnsiTheme="minorHAnsi"/>
          <w:sz w:val="16"/>
          <w:szCs w:val="16"/>
        </w:rPr>
        <w:t>calculated using modified U.S. Census populations available from NCI (</w:t>
      </w:r>
      <w:hyperlink r:id="rId51" w:history="1">
        <w:r w:rsidRPr="00E778EA">
          <w:rPr>
            <w:rStyle w:val="Hyperlink"/>
            <w:rFonts w:asciiTheme="minorHAnsi" w:hAnsiTheme="minorHAnsi"/>
            <w:sz w:val="16"/>
            <w:szCs w:val="16"/>
          </w:rPr>
          <w:t>https://seer.cancer.gov/popdata/</w:t>
        </w:r>
      </w:hyperlink>
      <w:r w:rsidRPr="00E778EA">
        <w:rPr>
          <w:rFonts w:asciiTheme="minorHAnsi" w:hAnsiTheme="minorHAnsi"/>
          <w:sz w:val="16"/>
          <w:szCs w:val="16"/>
        </w:rPr>
        <w:t xml:space="preserve">). </w:t>
      </w:r>
    </w:p>
    <w:p w14:paraId="45C5B9E2" w14:textId="77777777" w:rsidR="00D03AB6" w:rsidRPr="001916B4" w:rsidRDefault="00D03AB6" w:rsidP="00E778EA">
      <w:pPr>
        <w:pStyle w:val="NoSpacing"/>
        <w:spacing w:after="120"/>
        <w:ind w:left="1440"/>
        <w:contextualSpacing/>
        <w:rPr>
          <w:rFonts w:asciiTheme="minorHAnsi" w:hAnsiTheme="minorHAnsi"/>
        </w:rPr>
      </w:pPr>
    </w:p>
    <w:p w14:paraId="0D2A15A7" w14:textId="043A1A32" w:rsidR="00103276" w:rsidRDefault="005020A1" w:rsidP="00B21C83">
      <w:pPr>
        <w:pStyle w:val="ListParagraph"/>
        <w:numPr>
          <w:ilvl w:val="0"/>
          <w:numId w:val="7"/>
        </w:numPr>
        <w:spacing w:after="120" w:line="240" w:lineRule="auto"/>
        <w:ind w:left="360"/>
        <w:contextualSpacing w:val="0"/>
        <w:rPr>
          <w:rFonts w:asciiTheme="minorHAnsi" w:hAnsiTheme="minorHAnsi"/>
        </w:rPr>
      </w:pPr>
      <w:r w:rsidRPr="00C77E69">
        <w:rPr>
          <w:rFonts w:asciiTheme="minorHAnsi" w:hAnsiTheme="minorHAnsi"/>
        </w:rPr>
        <w:t>In 201</w:t>
      </w:r>
      <w:r w:rsidR="00025E5D">
        <w:rPr>
          <w:rFonts w:asciiTheme="minorHAnsi" w:hAnsiTheme="minorHAnsi"/>
        </w:rPr>
        <w:t>7</w:t>
      </w:r>
      <w:r w:rsidRPr="00C77E69">
        <w:rPr>
          <w:rFonts w:asciiTheme="minorHAnsi" w:hAnsiTheme="minorHAnsi"/>
        </w:rPr>
        <w:t>-20</w:t>
      </w:r>
      <w:r w:rsidR="00E45609">
        <w:rPr>
          <w:rFonts w:asciiTheme="minorHAnsi" w:hAnsiTheme="minorHAnsi"/>
        </w:rPr>
        <w:t>2</w:t>
      </w:r>
      <w:r w:rsidR="00025E5D">
        <w:rPr>
          <w:rFonts w:asciiTheme="minorHAnsi" w:hAnsiTheme="minorHAnsi"/>
        </w:rPr>
        <w:t>1</w:t>
      </w:r>
      <w:r w:rsidRPr="00C77E69">
        <w:rPr>
          <w:rFonts w:asciiTheme="minorHAnsi" w:hAnsiTheme="minorHAnsi"/>
        </w:rPr>
        <w:t xml:space="preserve">, Delaware’s </w:t>
      </w:r>
      <w:r w:rsidR="00686EA9" w:rsidRPr="00C77E69">
        <w:rPr>
          <w:rFonts w:asciiTheme="minorHAnsi" w:hAnsiTheme="minorHAnsi"/>
        </w:rPr>
        <w:t xml:space="preserve">all-site mortality rate </w:t>
      </w:r>
      <w:r w:rsidR="00351E39" w:rsidRPr="00C77E69">
        <w:rPr>
          <w:rFonts w:asciiTheme="minorHAnsi" w:hAnsiTheme="minorHAnsi"/>
        </w:rPr>
        <w:t>wa</w:t>
      </w:r>
      <w:r w:rsidR="00686EA9" w:rsidRPr="00C77E69">
        <w:rPr>
          <w:rFonts w:asciiTheme="minorHAnsi" w:hAnsiTheme="minorHAnsi"/>
        </w:rPr>
        <w:t>s highest for both males and females 85 years of age and older</w:t>
      </w:r>
      <w:r w:rsidR="00C77E69">
        <w:rPr>
          <w:rFonts w:asciiTheme="minorHAnsi" w:hAnsiTheme="minorHAnsi"/>
        </w:rPr>
        <w:t>.</w:t>
      </w:r>
    </w:p>
    <w:p w14:paraId="2D83036C" w14:textId="77777777" w:rsidR="00C77E69" w:rsidRDefault="00C77E69">
      <w:pPr>
        <w:rPr>
          <w:rFonts w:asciiTheme="minorHAnsi" w:hAnsiTheme="minorHAnsi"/>
          <w:b/>
          <w:caps/>
          <w:spacing w:val="10"/>
          <w:szCs w:val="18"/>
        </w:rPr>
      </w:pPr>
      <w:r>
        <w:rPr>
          <w:rFonts w:asciiTheme="minorHAnsi" w:hAnsiTheme="minorHAnsi"/>
          <w:b/>
        </w:rPr>
        <w:br w:type="page"/>
      </w:r>
    </w:p>
    <w:p w14:paraId="4A271398" w14:textId="2024814A" w:rsidR="007F3570" w:rsidRDefault="00686EA9" w:rsidP="007F3570">
      <w:pPr>
        <w:pStyle w:val="Caption"/>
        <w:spacing w:after="120" w:line="240" w:lineRule="auto"/>
        <w:ind w:left="720" w:firstLine="630"/>
        <w:contextualSpacing/>
        <w:rPr>
          <w:rFonts w:asciiTheme="minorHAnsi" w:hAnsiTheme="minorHAnsi"/>
          <w:b/>
          <w:sz w:val="22"/>
        </w:rPr>
      </w:pPr>
      <w:r w:rsidRPr="00066068">
        <w:rPr>
          <w:rFonts w:asciiTheme="minorHAnsi" w:hAnsiTheme="minorHAnsi"/>
          <w:b/>
          <w:sz w:val="22"/>
        </w:rPr>
        <w:lastRenderedPageBreak/>
        <w:t xml:space="preserve">Figure </w:t>
      </w:r>
      <w:r w:rsidR="00E9060F" w:rsidRPr="00066068">
        <w:rPr>
          <w:rFonts w:asciiTheme="minorHAnsi" w:hAnsiTheme="minorHAnsi"/>
          <w:b/>
          <w:sz w:val="22"/>
        </w:rPr>
        <w:fldChar w:fldCharType="begin"/>
      </w:r>
      <w:r w:rsidR="00E9060F" w:rsidRPr="00066068">
        <w:rPr>
          <w:rFonts w:asciiTheme="minorHAnsi" w:hAnsiTheme="minorHAnsi"/>
          <w:b/>
          <w:sz w:val="22"/>
        </w:rPr>
        <w:instrText xml:space="preserve"> STYLEREF 1 \s </w:instrText>
      </w:r>
      <w:r w:rsidR="00E9060F" w:rsidRPr="00066068">
        <w:rPr>
          <w:rFonts w:asciiTheme="minorHAnsi" w:hAnsiTheme="minorHAnsi"/>
          <w:b/>
          <w:sz w:val="22"/>
        </w:rPr>
        <w:fldChar w:fldCharType="separate"/>
      </w:r>
      <w:r w:rsidR="006C24CC">
        <w:rPr>
          <w:rFonts w:asciiTheme="minorHAnsi" w:hAnsiTheme="minorHAnsi"/>
          <w:b/>
          <w:noProof/>
          <w:sz w:val="22"/>
        </w:rPr>
        <w:t>2</w:t>
      </w:r>
      <w:r w:rsidR="00E9060F" w:rsidRPr="00066068">
        <w:rPr>
          <w:rFonts w:asciiTheme="minorHAnsi" w:hAnsiTheme="minorHAnsi"/>
          <w:b/>
          <w:sz w:val="22"/>
        </w:rPr>
        <w:fldChar w:fldCharType="end"/>
      </w:r>
      <w:r w:rsidR="00E9060F" w:rsidRPr="00066068">
        <w:rPr>
          <w:rFonts w:asciiTheme="minorHAnsi" w:hAnsiTheme="minorHAnsi"/>
          <w:b/>
          <w:sz w:val="22"/>
        </w:rPr>
        <w:noBreakHyphen/>
      </w:r>
      <w:r w:rsidR="00E9060F" w:rsidRPr="00066068">
        <w:rPr>
          <w:rFonts w:asciiTheme="minorHAnsi" w:hAnsiTheme="minorHAnsi"/>
          <w:b/>
          <w:sz w:val="22"/>
        </w:rPr>
        <w:fldChar w:fldCharType="begin"/>
      </w:r>
      <w:r w:rsidR="00E9060F" w:rsidRPr="00066068">
        <w:rPr>
          <w:rFonts w:asciiTheme="minorHAnsi" w:hAnsiTheme="minorHAnsi"/>
          <w:b/>
          <w:sz w:val="22"/>
        </w:rPr>
        <w:instrText xml:space="preserve"> SEQ Figure \* ARABIC \s 1 </w:instrText>
      </w:r>
      <w:r w:rsidR="00E9060F" w:rsidRPr="00066068">
        <w:rPr>
          <w:rFonts w:asciiTheme="minorHAnsi" w:hAnsiTheme="minorHAnsi"/>
          <w:b/>
          <w:sz w:val="22"/>
        </w:rPr>
        <w:fldChar w:fldCharType="separate"/>
      </w:r>
      <w:r w:rsidR="006C24CC">
        <w:rPr>
          <w:rFonts w:asciiTheme="minorHAnsi" w:hAnsiTheme="minorHAnsi"/>
          <w:b/>
          <w:noProof/>
          <w:sz w:val="22"/>
        </w:rPr>
        <w:t>14</w:t>
      </w:r>
      <w:r w:rsidR="00E9060F" w:rsidRPr="00066068">
        <w:rPr>
          <w:rFonts w:asciiTheme="minorHAnsi" w:hAnsiTheme="minorHAnsi"/>
          <w:b/>
          <w:sz w:val="22"/>
        </w:rPr>
        <w:fldChar w:fldCharType="end"/>
      </w:r>
      <w:r w:rsidRPr="00066068">
        <w:rPr>
          <w:rFonts w:asciiTheme="minorHAnsi" w:hAnsiTheme="minorHAnsi"/>
          <w:b/>
          <w:sz w:val="22"/>
        </w:rPr>
        <w:t xml:space="preserve">: Age-Specific All-site cancer Mortality Rates by </w:t>
      </w:r>
    </w:p>
    <w:p w14:paraId="70715CA1" w14:textId="6D67A919" w:rsidR="00686EA9" w:rsidRDefault="00686EA9" w:rsidP="007F3570">
      <w:pPr>
        <w:pStyle w:val="Caption"/>
        <w:spacing w:after="120" w:line="240" w:lineRule="auto"/>
        <w:ind w:left="720"/>
        <w:contextualSpacing/>
        <w:jc w:val="center"/>
        <w:rPr>
          <w:rFonts w:asciiTheme="minorHAnsi" w:hAnsiTheme="minorHAnsi"/>
          <w:b/>
          <w:sz w:val="22"/>
        </w:rPr>
      </w:pPr>
      <w:r w:rsidRPr="00066068">
        <w:rPr>
          <w:rFonts w:asciiTheme="minorHAnsi" w:hAnsiTheme="minorHAnsi"/>
          <w:b/>
          <w:sz w:val="22"/>
        </w:rPr>
        <w:t>RACE/Ethnicity;</w:t>
      </w:r>
      <w:r w:rsidR="007F3570">
        <w:rPr>
          <w:rFonts w:asciiTheme="minorHAnsi" w:hAnsiTheme="minorHAnsi"/>
          <w:b/>
          <w:sz w:val="22"/>
        </w:rPr>
        <w:t xml:space="preserve"> </w:t>
      </w:r>
      <w:r w:rsidRPr="00066068">
        <w:rPr>
          <w:rFonts w:asciiTheme="minorHAnsi" w:hAnsiTheme="minorHAnsi"/>
          <w:b/>
          <w:sz w:val="22"/>
        </w:rPr>
        <w:t xml:space="preserve">Delaware, </w:t>
      </w:r>
      <w:r w:rsidR="00D403E9" w:rsidRPr="00066068">
        <w:rPr>
          <w:rFonts w:asciiTheme="minorHAnsi" w:hAnsiTheme="minorHAnsi"/>
          <w:b/>
          <w:sz w:val="22"/>
        </w:rPr>
        <w:t>201</w:t>
      </w:r>
      <w:r w:rsidR="00DB5738">
        <w:rPr>
          <w:rFonts w:asciiTheme="minorHAnsi" w:hAnsiTheme="minorHAnsi"/>
          <w:b/>
          <w:sz w:val="22"/>
        </w:rPr>
        <w:t>7</w:t>
      </w:r>
      <w:r w:rsidR="00D403E9" w:rsidRPr="00066068">
        <w:rPr>
          <w:rFonts w:asciiTheme="minorHAnsi" w:hAnsiTheme="minorHAnsi"/>
          <w:b/>
          <w:sz w:val="22"/>
        </w:rPr>
        <w:t>-20</w:t>
      </w:r>
      <w:r w:rsidR="00AD2C54">
        <w:rPr>
          <w:rFonts w:asciiTheme="minorHAnsi" w:hAnsiTheme="minorHAnsi"/>
          <w:b/>
          <w:sz w:val="22"/>
        </w:rPr>
        <w:t>2</w:t>
      </w:r>
      <w:r w:rsidR="00DB5738">
        <w:rPr>
          <w:rFonts w:asciiTheme="minorHAnsi" w:hAnsiTheme="minorHAnsi"/>
          <w:b/>
          <w:sz w:val="22"/>
        </w:rPr>
        <w:t>1</w:t>
      </w:r>
    </w:p>
    <w:p w14:paraId="4D4CE794" w14:textId="0A706AFE" w:rsidR="00935A9C" w:rsidRPr="00935A9C" w:rsidRDefault="00011C4C" w:rsidP="00D31DFE">
      <w:pPr>
        <w:spacing w:after="0"/>
        <w:jc w:val="center"/>
      </w:pPr>
      <w:r>
        <w:rPr>
          <w:noProof/>
        </w:rPr>
        <w:drawing>
          <wp:inline distT="0" distB="0" distL="0" distR="0" wp14:anchorId="5597FF5F" wp14:editId="15C55AE2">
            <wp:extent cx="4471416" cy="2926080"/>
            <wp:effectExtent l="0" t="0" r="5715" b="7620"/>
            <wp:docPr id="263951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471416" cy="2926080"/>
                    </a:xfrm>
                    <a:prstGeom prst="rect">
                      <a:avLst/>
                    </a:prstGeom>
                    <a:noFill/>
                  </pic:spPr>
                </pic:pic>
              </a:graphicData>
            </a:graphic>
          </wp:inline>
        </w:drawing>
      </w:r>
    </w:p>
    <w:p w14:paraId="709E961B" w14:textId="13C9B719" w:rsidR="00686EA9" w:rsidRPr="00C77E69" w:rsidRDefault="00686EA9" w:rsidP="00C77E69">
      <w:pPr>
        <w:pStyle w:val="NoSpacing"/>
        <w:ind w:left="1440" w:right="1523"/>
        <w:rPr>
          <w:rFonts w:asciiTheme="minorHAnsi" w:hAnsiTheme="minorHAnsi"/>
          <w:i/>
          <w:sz w:val="16"/>
          <w:szCs w:val="16"/>
        </w:rPr>
      </w:pPr>
      <w:r w:rsidRPr="00C77E69">
        <w:rPr>
          <w:rFonts w:asciiTheme="minorHAnsi" w:hAnsiTheme="minorHAnsi"/>
          <w:i/>
          <w:sz w:val="16"/>
          <w:szCs w:val="16"/>
        </w:rPr>
        <w:t xml:space="preserve">Source: </w:t>
      </w:r>
      <w:r w:rsidR="00A80BC9" w:rsidRPr="00C77E69">
        <w:rPr>
          <w:rFonts w:asciiTheme="minorHAnsi" w:hAnsiTheme="minorHAnsi"/>
          <w:i/>
          <w:sz w:val="16"/>
          <w:szCs w:val="16"/>
        </w:rPr>
        <w:t>Delaware Department of Health and Social Services, Division of Public Health, Delaware Health Statistics Center</w:t>
      </w:r>
      <w:r w:rsidRPr="00C77E69">
        <w:rPr>
          <w:rFonts w:asciiTheme="minorHAnsi" w:hAnsiTheme="minorHAnsi"/>
          <w:i/>
          <w:sz w:val="16"/>
          <w:szCs w:val="16"/>
        </w:rPr>
        <w:t>, 20</w:t>
      </w:r>
      <w:r w:rsidR="00101CA7" w:rsidRPr="00C77E69">
        <w:rPr>
          <w:rFonts w:asciiTheme="minorHAnsi" w:hAnsiTheme="minorHAnsi"/>
          <w:i/>
          <w:sz w:val="16"/>
          <w:szCs w:val="16"/>
        </w:rPr>
        <w:t>2</w:t>
      </w:r>
      <w:r w:rsidR="00BA152A">
        <w:rPr>
          <w:rFonts w:asciiTheme="minorHAnsi" w:hAnsiTheme="minorHAnsi"/>
          <w:i/>
          <w:sz w:val="16"/>
          <w:szCs w:val="16"/>
        </w:rPr>
        <w:t>4</w:t>
      </w:r>
    </w:p>
    <w:p w14:paraId="5D7060D3" w14:textId="30361068" w:rsidR="00686EA9" w:rsidRPr="003000BB" w:rsidRDefault="003000BB" w:rsidP="00C77E69">
      <w:pPr>
        <w:pStyle w:val="NoSpacing"/>
        <w:spacing w:after="120"/>
        <w:ind w:left="1440" w:right="1523"/>
        <w:rPr>
          <w:rFonts w:asciiTheme="minorHAnsi" w:hAnsiTheme="minorHAnsi"/>
          <w:sz w:val="16"/>
          <w:szCs w:val="16"/>
        </w:rPr>
      </w:pPr>
      <w:r w:rsidRPr="00E778EA">
        <w:rPr>
          <w:rFonts w:asciiTheme="minorHAnsi" w:hAnsiTheme="minorHAnsi"/>
          <w:sz w:val="16"/>
          <w:szCs w:val="16"/>
        </w:rPr>
        <w:t>Rates are per 100,000 of population age-adjusted to the 2000 U.S. standard population and are calculated using modified U.S. Census populations available from NCI (</w:t>
      </w:r>
      <w:hyperlink r:id="rId53" w:history="1">
        <w:r w:rsidRPr="00E778EA">
          <w:rPr>
            <w:rStyle w:val="Hyperlink"/>
            <w:rFonts w:asciiTheme="minorHAnsi" w:hAnsiTheme="minorHAnsi"/>
            <w:sz w:val="16"/>
            <w:szCs w:val="16"/>
          </w:rPr>
          <w:t>https://seer.cancer.gov/popdata/</w:t>
        </w:r>
      </w:hyperlink>
      <w:r w:rsidRPr="00E778EA">
        <w:rPr>
          <w:rFonts w:asciiTheme="minorHAnsi" w:hAnsiTheme="minorHAnsi"/>
          <w:sz w:val="16"/>
          <w:szCs w:val="16"/>
        </w:rPr>
        <w:t xml:space="preserve">). </w:t>
      </w:r>
    </w:p>
    <w:p w14:paraId="560A3FB8" w14:textId="77777777" w:rsidR="007D74D6" w:rsidRPr="001916B4" w:rsidRDefault="007D74D6" w:rsidP="00626556">
      <w:pPr>
        <w:pStyle w:val="NoSpacing"/>
        <w:spacing w:after="120"/>
        <w:ind w:left="1440"/>
        <w:rPr>
          <w:rFonts w:asciiTheme="minorHAnsi" w:hAnsiTheme="minorHAnsi"/>
          <w:sz w:val="8"/>
          <w:szCs w:val="8"/>
        </w:rPr>
      </w:pPr>
    </w:p>
    <w:p w14:paraId="6462F90A" w14:textId="553268FD" w:rsidR="002B5312" w:rsidRPr="00AF42EC" w:rsidRDefault="005020A1" w:rsidP="00B21C83">
      <w:pPr>
        <w:pStyle w:val="ListParagraph"/>
        <w:numPr>
          <w:ilvl w:val="0"/>
          <w:numId w:val="7"/>
        </w:numPr>
        <w:spacing w:after="120" w:line="240" w:lineRule="auto"/>
        <w:ind w:left="360"/>
        <w:contextualSpacing w:val="0"/>
        <w:rPr>
          <w:rFonts w:asciiTheme="minorHAnsi" w:hAnsiTheme="minorHAnsi"/>
          <w:b/>
          <w:caps/>
          <w:spacing w:val="10"/>
          <w:szCs w:val="18"/>
        </w:rPr>
      </w:pPr>
      <w:r w:rsidRPr="00AF42EC">
        <w:rPr>
          <w:rFonts w:asciiTheme="minorHAnsi" w:hAnsiTheme="minorHAnsi"/>
        </w:rPr>
        <w:t>Delaware’s 201</w:t>
      </w:r>
      <w:r w:rsidR="0047148C" w:rsidRPr="00AF42EC">
        <w:rPr>
          <w:rFonts w:asciiTheme="minorHAnsi" w:hAnsiTheme="minorHAnsi"/>
        </w:rPr>
        <w:t>7</w:t>
      </w:r>
      <w:r w:rsidRPr="00AF42EC">
        <w:rPr>
          <w:rFonts w:asciiTheme="minorHAnsi" w:hAnsiTheme="minorHAnsi"/>
        </w:rPr>
        <w:t>-20</w:t>
      </w:r>
      <w:r w:rsidR="00450EED" w:rsidRPr="00AF42EC">
        <w:rPr>
          <w:rFonts w:asciiTheme="minorHAnsi" w:hAnsiTheme="minorHAnsi"/>
        </w:rPr>
        <w:t>2</w:t>
      </w:r>
      <w:r w:rsidR="0047148C" w:rsidRPr="00AF42EC">
        <w:rPr>
          <w:rFonts w:asciiTheme="minorHAnsi" w:hAnsiTheme="minorHAnsi"/>
        </w:rPr>
        <w:t>1</w:t>
      </w:r>
      <w:r w:rsidRPr="00AF42EC">
        <w:rPr>
          <w:rFonts w:asciiTheme="minorHAnsi" w:hAnsiTheme="minorHAnsi"/>
        </w:rPr>
        <w:t xml:space="preserve"> </w:t>
      </w:r>
      <w:r w:rsidR="00351E39" w:rsidRPr="00AF42EC">
        <w:rPr>
          <w:rFonts w:asciiTheme="minorHAnsi" w:hAnsiTheme="minorHAnsi"/>
        </w:rPr>
        <w:t>all-site mortality rate was</w:t>
      </w:r>
      <w:r w:rsidR="00686EA9" w:rsidRPr="00AF42EC">
        <w:rPr>
          <w:rFonts w:asciiTheme="minorHAnsi" w:hAnsiTheme="minorHAnsi"/>
        </w:rPr>
        <w:t xml:space="preserve"> highest for </w:t>
      </w:r>
      <w:r w:rsidR="00010F43" w:rsidRPr="00AF42EC">
        <w:rPr>
          <w:rFonts w:asciiTheme="minorHAnsi" w:hAnsiTheme="minorHAnsi"/>
        </w:rPr>
        <w:t>n</w:t>
      </w:r>
      <w:r w:rsidR="00686EA9" w:rsidRPr="00AF42EC">
        <w:rPr>
          <w:rFonts w:asciiTheme="minorHAnsi" w:hAnsiTheme="minorHAnsi"/>
        </w:rPr>
        <w:t xml:space="preserve">on-Hispanic </w:t>
      </w:r>
      <w:r w:rsidR="00BB3D69" w:rsidRPr="00AF42EC">
        <w:rPr>
          <w:rFonts w:asciiTheme="minorHAnsi" w:hAnsiTheme="minorHAnsi"/>
        </w:rPr>
        <w:t>White</w:t>
      </w:r>
      <w:r w:rsidR="00AB0F7F" w:rsidRPr="00AF42EC">
        <w:rPr>
          <w:rFonts w:asciiTheme="minorHAnsi" w:hAnsiTheme="minorHAnsi"/>
        </w:rPr>
        <w:t xml:space="preserve">, </w:t>
      </w:r>
      <w:r w:rsidR="00AC71E3" w:rsidRPr="00AF42EC">
        <w:rPr>
          <w:rFonts w:asciiTheme="minorHAnsi" w:hAnsiTheme="minorHAnsi"/>
        </w:rPr>
        <w:t>non</w:t>
      </w:r>
      <w:r w:rsidR="00686EA9" w:rsidRPr="00AF42EC">
        <w:rPr>
          <w:rFonts w:asciiTheme="minorHAnsi" w:hAnsiTheme="minorHAnsi"/>
        </w:rPr>
        <w:t xml:space="preserve">-Hispanic </w:t>
      </w:r>
      <w:r w:rsidR="00BB3D69" w:rsidRPr="00AF42EC">
        <w:rPr>
          <w:rFonts w:asciiTheme="minorHAnsi" w:hAnsiTheme="minorHAnsi"/>
        </w:rPr>
        <w:t>Black</w:t>
      </w:r>
      <w:r w:rsidR="008932ED" w:rsidRPr="00AF42EC">
        <w:rPr>
          <w:rFonts w:asciiTheme="minorHAnsi" w:hAnsiTheme="minorHAnsi"/>
        </w:rPr>
        <w:t>,</w:t>
      </w:r>
      <w:r w:rsidR="00AB0F7F" w:rsidRPr="00AF42EC">
        <w:rPr>
          <w:rFonts w:asciiTheme="minorHAnsi" w:hAnsiTheme="minorHAnsi"/>
        </w:rPr>
        <w:t xml:space="preserve"> and Hispanic</w:t>
      </w:r>
      <w:r w:rsidR="00AF42EC" w:rsidRPr="00AF42EC">
        <w:rPr>
          <w:rFonts w:asciiTheme="minorHAnsi" w:hAnsiTheme="minorHAnsi"/>
        </w:rPr>
        <w:t xml:space="preserve"> Delawareans </w:t>
      </w:r>
      <w:r w:rsidR="00686EA9" w:rsidRPr="00AF42EC">
        <w:rPr>
          <w:rFonts w:asciiTheme="minorHAnsi" w:hAnsiTheme="minorHAnsi"/>
        </w:rPr>
        <w:t>85 years of age and older</w:t>
      </w:r>
      <w:r w:rsidR="00AB0F7F" w:rsidRPr="00AF42EC">
        <w:rPr>
          <w:rFonts w:asciiTheme="minorHAnsi" w:hAnsiTheme="minorHAnsi"/>
        </w:rPr>
        <w:t>.</w:t>
      </w:r>
    </w:p>
    <w:p w14:paraId="45699C14" w14:textId="77777777" w:rsidR="00626556" w:rsidRPr="001916B4" w:rsidRDefault="00626556" w:rsidP="00626556">
      <w:pPr>
        <w:spacing w:after="120" w:line="240" w:lineRule="auto"/>
        <w:rPr>
          <w:rFonts w:asciiTheme="minorHAnsi" w:hAnsiTheme="minorHAnsi"/>
          <w:b/>
          <w:caps/>
          <w:spacing w:val="10"/>
          <w:sz w:val="16"/>
          <w:szCs w:val="16"/>
        </w:rPr>
      </w:pPr>
    </w:p>
    <w:p w14:paraId="7B082E6A" w14:textId="5E103AE3" w:rsidR="001143E0" w:rsidRPr="00066068" w:rsidRDefault="003E5C0A" w:rsidP="000C02FF">
      <w:pPr>
        <w:pStyle w:val="Caption"/>
        <w:spacing w:after="120" w:line="240" w:lineRule="auto"/>
        <w:contextualSpacing/>
        <w:jc w:val="center"/>
        <w:rPr>
          <w:rFonts w:asciiTheme="minorHAnsi" w:hAnsiTheme="minorHAnsi"/>
          <w:b/>
          <w:sz w:val="22"/>
        </w:rPr>
      </w:pPr>
      <w:r w:rsidRPr="00066068">
        <w:rPr>
          <w:rFonts w:asciiTheme="minorHAnsi" w:hAnsiTheme="minorHAnsi"/>
          <w:b/>
          <w:sz w:val="22"/>
        </w:rPr>
        <w:t xml:space="preserve">Table </w:t>
      </w:r>
      <w:r w:rsidR="001A19D6" w:rsidRPr="00066068">
        <w:rPr>
          <w:rFonts w:asciiTheme="minorHAnsi" w:hAnsiTheme="minorHAnsi"/>
          <w:b/>
          <w:sz w:val="22"/>
        </w:rPr>
        <w:fldChar w:fldCharType="begin"/>
      </w:r>
      <w:r w:rsidR="001A19D6" w:rsidRPr="00066068">
        <w:rPr>
          <w:rFonts w:asciiTheme="minorHAnsi" w:hAnsiTheme="minorHAnsi"/>
          <w:b/>
          <w:sz w:val="22"/>
        </w:rPr>
        <w:instrText xml:space="preserve"> STYLEREF 1 \s </w:instrText>
      </w:r>
      <w:r w:rsidR="001A19D6" w:rsidRPr="00066068">
        <w:rPr>
          <w:rFonts w:asciiTheme="minorHAnsi" w:hAnsiTheme="minorHAnsi"/>
          <w:b/>
          <w:sz w:val="22"/>
        </w:rPr>
        <w:fldChar w:fldCharType="separate"/>
      </w:r>
      <w:r w:rsidR="006C24CC">
        <w:rPr>
          <w:rFonts w:asciiTheme="minorHAnsi" w:hAnsiTheme="minorHAnsi"/>
          <w:b/>
          <w:noProof/>
          <w:sz w:val="22"/>
        </w:rPr>
        <w:t>2</w:t>
      </w:r>
      <w:r w:rsidR="001A19D6" w:rsidRPr="00066068">
        <w:rPr>
          <w:rFonts w:asciiTheme="minorHAnsi" w:hAnsiTheme="minorHAnsi"/>
          <w:b/>
          <w:sz w:val="22"/>
        </w:rPr>
        <w:fldChar w:fldCharType="end"/>
      </w:r>
      <w:r w:rsidR="001A19D6" w:rsidRPr="00066068">
        <w:rPr>
          <w:rFonts w:asciiTheme="minorHAnsi" w:hAnsiTheme="minorHAnsi"/>
          <w:b/>
          <w:sz w:val="22"/>
        </w:rPr>
        <w:noBreakHyphen/>
      </w:r>
      <w:r w:rsidR="001A19D6" w:rsidRPr="00066068">
        <w:rPr>
          <w:rFonts w:asciiTheme="minorHAnsi" w:hAnsiTheme="minorHAnsi"/>
          <w:b/>
          <w:sz w:val="22"/>
        </w:rPr>
        <w:fldChar w:fldCharType="begin"/>
      </w:r>
      <w:r w:rsidR="001A19D6" w:rsidRPr="00066068">
        <w:rPr>
          <w:rFonts w:asciiTheme="minorHAnsi" w:hAnsiTheme="minorHAnsi"/>
          <w:b/>
          <w:sz w:val="22"/>
        </w:rPr>
        <w:instrText xml:space="preserve"> SEQ Table \* ARABIC \s 1 </w:instrText>
      </w:r>
      <w:r w:rsidR="001A19D6" w:rsidRPr="00066068">
        <w:rPr>
          <w:rFonts w:asciiTheme="minorHAnsi" w:hAnsiTheme="minorHAnsi"/>
          <w:b/>
          <w:sz w:val="22"/>
        </w:rPr>
        <w:fldChar w:fldCharType="separate"/>
      </w:r>
      <w:r w:rsidR="006C24CC">
        <w:rPr>
          <w:rFonts w:asciiTheme="minorHAnsi" w:hAnsiTheme="minorHAnsi"/>
          <w:b/>
          <w:noProof/>
          <w:sz w:val="22"/>
        </w:rPr>
        <w:t>6</w:t>
      </w:r>
      <w:r w:rsidR="001A19D6" w:rsidRPr="00066068">
        <w:rPr>
          <w:rFonts w:asciiTheme="minorHAnsi" w:hAnsiTheme="minorHAnsi"/>
          <w:b/>
          <w:sz w:val="22"/>
        </w:rPr>
        <w:fldChar w:fldCharType="end"/>
      </w:r>
      <w:r w:rsidRPr="00066068">
        <w:rPr>
          <w:rFonts w:asciiTheme="minorHAnsi" w:hAnsiTheme="minorHAnsi"/>
          <w:b/>
          <w:sz w:val="22"/>
        </w:rPr>
        <w:t xml:space="preserve">: Age-Specific All-site cancer Mortality Rates </w:t>
      </w:r>
      <w:r w:rsidR="00315A11" w:rsidRPr="00066068">
        <w:rPr>
          <w:rFonts w:asciiTheme="minorHAnsi" w:hAnsiTheme="minorHAnsi"/>
          <w:b/>
          <w:sz w:val="22"/>
        </w:rPr>
        <w:t>BY SEX AND RACE/</w:t>
      </w:r>
      <w:proofErr w:type="gramStart"/>
      <w:r w:rsidR="002E7159" w:rsidRPr="00066068">
        <w:rPr>
          <w:rFonts w:asciiTheme="minorHAnsi" w:hAnsiTheme="minorHAnsi"/>
          <w:b/>
          <w:sz w:val="22"/>
        </w:rPr>
        <w:t>ETHNICITY</w:t>
      </w:r>
      <w:r w:rsidR="005B7ECC">
        <w:rPr>
          <w:rFonts w:asciiTheme="minorHAnsi" w:hAnsiTheme="minorHAnsi"/>
          <w:b/>
          <w:sz w:val="22"/>
        </w:rPr>
        <w:t>;</w:t>
      </w:r>
      <w:proofErr w:type="gramEnd"/>
      <w:r w:rsidRPr="00066068">
        <w:rPr>
          <w:rFonts w:asciiTheme="minorHAnsi" w:hAnsiTheme="minorHAnsi"/>
          <w:b/>
          <w:sz w:val="22"/>
        </w:rPr>
        <w:t xml:space="preserve"> </w:t>
      </w:r>
    </w:p>
    <w:p w14:paraId="4EA032BF" w14:textId="2579B1F1" w:rsidR="003E5C0A" w:rsidRPr="00CE3F54" w:rsidRDefault="003E5C0A" w:rsidP="000C02FF">
      <w:pPr>
        <w:pStyle w:val="Caption"/>
        <w:spacing w:after="120" w:line="240" w:lineRule="auto"/>
        <w:jc w:val="center"/>
        <w:rPr>
          <w:rFonts w:asciiTheme="minorHAnsi" w:hAnsiTheme="minorHAnsi"/>
          <w:b/>
          <w:sz w:val="22"/>
        </w:rPr>
      </w:pPr>
      <w:r w:rsidRPr="00066068">
        <w:rPr>
          <w:rFonts w:asciiTheme="minorHAnsi" w:hAnsiTheme="minorHAnsi"/>
          <w:b/>
          <w:sz w:val="22"/>
        </w:rPr>
        <w:t xml:space="preserve">Delaware, </w:t>
      </w:r>
      <w:r w:rsidR="00D403E9" w:rsidRPr="00066068">
        <w:rPr>
          <w:rFonts w:asciiTheme="minorHAnsi" w:hAnsiTheme="minorHAnsi"/>
          <w:b/>
          <w:sz w:val="22"/>
        </w:rPr>
        <w:t>201</w:t>
      </w:r>
      <w:r w:rsidR="00BB6C65">
        <w:rPr>
          <w:rFonts w:asciiTheme="minorHAnsi" w:hAnsiTheme="minorHAnsi"/>
          <w:b/>
          <w:sz w:val="22"/>
        </w:rPr>
        <w:t>7</w:t>
      </w:r>
      <w:r w:rsidR="00D403E9" w:rsidRPr="00066068">
        <w:rPr>
          <w:rFonts w:asciiTheme="minorHAnsi" w:hAnsiTheme="minorHAnsi"/>
          <w:b/>
          <w:sz w:val="22"/>
        </w:rPr>
        <w:t>-20</w:t>
      </w:r>
      <w:r w:rsidR="00D5797E">
        <w:rPr>
          <w:rFonts w:asciiTheme="minorHAnsi" w:hAnsiTheme="minorHAnsi"/>
          <w:b/>
          <w:sz w:val="22"/>
        </w:rPr>
        <w:t>2</w:t>
      </w:r>
      <w:r w:rsidR="00BB6C65">
        <w:rPr>
          <w:rFonts w:asciiTheme="minorHAnsi" w:hAnsiTheme="minorHAnsi"/>
          <w:b/>
          <w:sz w:val="22"/>
        </w:rPr>
        <w:t>1</w:t>
      </w:r>
    </w:p>
    <w:tbl>
      <w:tblPr>
        <w:tblStyle w:val="MediumGrid1-Accent2"/>
        <w:tblW w:w="9800" w:type="dxa"/>
        <w:tblLayout w:type="fixed"/>
        <w:tblLook w:val="04A0" w:firstRow="1" w:lastRow="0" w:firstColumn="1" w:lastColumn="0" w:noHBand="0" w:noVBand="1"/>
      </w:tblPr>
      <w:tblGrid>
        <w:gridCol w:w="1088"/>
        <w:gridCol w:w="1512"/>
        <w:gridCol w:w="1800"/>
        <w:gridCol w:w="1080"/>
        <w:gridCol w:w="1440"/>
        <w:gridCol w:w="1800"/>
        <w:gridCol w:w="1080"/>
      </w:tblGrid>
      <w:tr w:rsidR="00D94B8D" w:rsidRPr="00D44001" w14:paraId="34C5139E" w14:textId="77777777" w:rsidTr="00FB4B4A">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088" w:type="dxa"/>
            <w:vMerge w:val="restart"/>
          </w:tcPr>
          <w:p w14:paraId="79F4000F" w14:textId="1B32DA69" w:rsidR="00D94B8D" w:rsidRPr="00D44001" w:rsidRDefault="00D94B8D" w:rsidP="00D94B8D">
            <w:pPr>
              <w:jc w:val="center"/>
              <w:rPr>
                <w:rFonts w:asciiTheme="minorHAnsi" w:hAnsiTheme="minorHAnsi" w:cstheme="minorHAnsi"/>
              </w:rPr>
            </w:pPr>
            <w:r w:rsidRPr="00D44001">
              <w:rPr>
                <w:rFonts w:asciiTheme="minorHAnsi" w:hAnsiTheme="minorHAnsi" w:cstheme="minorHAnsi"/>
              </w:rPr>
              <w:t>Age at Death</w:t>
            </w:r>
          </w:p>
        </w:tc>
        <w:tc>
          <w:tcPr>
            <w:tcW w:w="4392" w:type="dxa"/>
            <w:gridSpan w:val="3"/>
          </w:tcPr>
          <w:p w14:paraId="20B33E74" w14:textId="77777777" w:rsidR="00D94B8D" w:rsidRPr="00D44001" w:rsidRDefault="00D94B8D" w:rsidP="00F9550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44001">
              <w:rPr>
                <w:rFonts w:asciiTheme="minorHAnsi" w:hAnsiTheme="minorHAnsi" w:cstheme="minorHAnsi"/>
              </w:rPr>
              <w:t>Males</w:t>
            </w:r>
          </w:p>
        </w:tc>
        <w:tc>
          <w:tcPr>
            <w:tcW w:w="4320" w:type="dxa"/>
            <w:gridSpan w:val="3"/>
          </w:tcPr>
          <w:p w14:paraId="176FBD7D" w14:textId="77777777" w:rsidR="00D94B8D" w:rsidRPr="00D44001" w:rsidRDefault="00D94B8D" w:rsidP="00F9550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44001">
              <w:rPr>
                <w:rFonts w:asciiTheme="minorHAnsi" w:hAnsiTheme="minorHAnsi" w:cstheme="minorHAnsi"/>
              </w:rPr>
              <w:t>Females</w:t>
            </w:r>
          </w:p>
        </w:tc>
      </w:tr>
      <w:tr w:rsidR="00D94B8D" w:rsidRPr="00D44001" w14:paraId="524F4F48" w14:textId="77777777" w:rsidTr="00FB4B4A">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088" w:type="dxa"/>
            <w:vMerge/>
          </w:tcPr>
          <w:p w14:paraId="078E5883" w14:textId="77777777" w:rsidR="00D94B8D" w:rsidRPr="00D44001" w:rsidRDefault="00D94B8D" w:rsidP="00F95504">
            <w:pPr>
              <w:jc w:val="center"/>
              <w:rPr>
                <w:rFonts w:asciiTheme="minorHAnsi" w:hAnsiTheme="minorHAnsi" w:cstheme="minorHAnsi"/>
                <w:b w:val="0"/>
                <w:bCs w:val="0"/>
              </w:rPr>
            </w:pPr>
          </w:p>
        </w:tc>
        <w:tc>
          <w:tcPr>
            <w:tcW w:w="1512" w:type="dxa"/>
          </w:tcPr>
          <w:p w14:paraId="7AE65155" w14:textId="28789D05" w:rsidR="00D94B8D" w:rsidRPr="00D44001" w:rsidRDefault="00A07658" w:rsidP="00F95504">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aps/>
                <w:color w:val="1B4171"/>
                <w:spacing w:val="20"/>
              </w:rPr>
            </w:pPr>
            <w:r w:rsidRPr="00D44001">
              <w:rPr>
                <w:rFonts w:asciiTheme="minorHAnsi" w:hAnsiTheme="minorHAnsi" w:cstheme="minorHAnsi"/>
                <w:b/>
              </w:rPr>
              <w:t xml:space="preserve">Non-Hispanic </w:t>
            </w:r>
            <w:r w:rsidR="00BB3D69" w:rsidRPr="00D44001">
              <w:rPr>
                <w:rFonts w:asciiTheme="minorHAnsi" w:hAnsiTheme="minorHAnsi" w:cstheme="minorHAnsi"/>
                <w:b/>
              </w:rPr>
              <w:t>White</w:t>
            </w:r>
          </w:p>
        </w:tc>
        <w:tc>
          <w:tcPr>
            <w:tcW w:w="1800" w:type="dxa"/>
          </w:tcPr>
          <w:p w14:paraId="70CB2F79" w14:textId="6BC86CEA" w:rsidR="00D94B8D" w:rsidRPr="00D44001" w:rsidRDefault="00A07658" w:rsidP="00F95504">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aps/>
                <w:color w:val="1B4171"/>
                <w:spacing w:val="20"/>
              </w:rPr>
            </w:pPr>
            <w:r w:rsidRPr="00D44001">
              <w:rPr>
                <w:rFonts w:asciiTheme="minorHAnsi" w:hAnsiTheme="minorHAnsi" w:cstheme="minorHAnsi"/>
                <w:b/>
              </w:rPr>
              <w:t xml:space="preserve">Non-Hispanic </w:t>
            </w:r>
            <w:r w:rsidR="00BB3D69" w:rsidRPr="00D44001">
              <w:rPr>
                <w:rFonts w:asciiTheme="minorHAnsi" w:hAnsiTheme="minorHAnsi" w:cstheme="minorHAnsi"/>
                <w:b/>
              </w:rPr>
              <w:t>Black</w:t>
            </w:r>
          </w:p>
        </w:tc>
        <w:tc>
          <w:tcPr>
            <w:tcW w:w="1080" w:type="dxa"/>
          </w:tcPr>
          <w:p w14:paraId="3DE93011" w14:textId="77777777" w:rsidR="00D94B8D" w:rsidRPr="00D44001" w:rsidRDefault="00D94B8D" w:rsidP="00F9550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44001">
              <w:rPr>
                <w:rFonts w:asciiTheme="minorHAnsi" w:hAnsiTheme="minorHAnsi" w:cstheme="minorHAnsi"/>
                <w:b/>
              </w:rPr>
              <w:t>Hispanic</w:t>
            </w:r>
          </w:p>
        </w:tc>
        <w:tc>
          <w:tcPr>
            <w:tcW w:w="1440" w:type="dxa"/>
          </w:tcPr>
          <w:p w14:paraId="35E5C070" w14:textId="6843A5E4" w:rsidR="00D94B8D" w:rsidRPr="00D44001" w:rsidRDefault="00A07658" w:rsidP="00F95504">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aps/>
                <w:color w:val="1B4171"/>
                <w:spacing w:val="20"/>
              </w:rPr>
            </w:pPr>
            <w:r w:rsidRPr="00D44001">
              <w:rPr>
                <w:rFonts w:asciiTheme="minorHAnsi" w:hAnsiTheme="minorHAnsi" w:cstheme="minorHAnsi"/>
                <w:b/>
              </w:rPr>
              <w:t xml:space="preserve">Non-Hispanic </w:t>
            </w:r>
            <w:r w:rsidR="00BB3D69" w:rsidRPr="00D44001">
              <w:rPr>
                <w:rFonts w:asciiTheme="minorHAnsi" w:hAnsiTheme="minorHAnsi" w:cstheme="minorHAnsi"/>
                <w:b/>
              </w:rPr>
              <w:t>White</w:t>
            </w:r>
          </w:p>
        </w:tc>
        <w:tc>
          <w:tcPr>
            <w:tcW w:w="1800" w:type="dxa"/>
          </w:tcPr>
          <w:p w14:paraId="4A144E5F" w14:textId="46F6A74C" w:rsidR="00D94B8D" w:rsidRPr="00D44001" w:rsidRDefault="00A07658" w:rsidP="00F9550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44001">
              <w:rPr>
                <w:rFonts w:asciiTheme="minorHAnsi" w:hAnsiTheme="minorHAnsi" w:cstheme="minorHAnsi"/>
                <w:b/>
              </w:rPr>
              <w:t xml:space="preserve">Non-Hispanic </w:t>
            </w:r>
            <w:r w:rsidR="00BB3D69" w:rsidRPr="00D44001">
              <w:rPr>
                <w:rFonts w:asciiTheme="minorHAnsi" w:hAnsiTheme="minorHAnsi" w:cstheme="minorHAnsi"/>
                <w:b/>
              </w:rPr>
              <w:t>Black</w:t>
            </w:r>
          </w:p>
        </w:tc>
        <w:tc>
          <w:tcPr>
            <w:tcW w:w="1080" w:type="dxa"/>
          </w:tcPr>
          <w:p w14:paraId="080F6982" w14:textId="77777777" w:rsidR="00D94B8D" w:rsidRPr="00D44001" w:rsidRDefault="00D94B8D" w:rsidP="00F9550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44001">
              <w:rPr>
                <w:rFonts w:asciiTheme="minorHAnsi" w:hAnsiTheme="minorHAnsi" w:cstheme="minorHAnsi"/>
                <w:b/>
              </w:rPr>
              <w:t>Hispanic</w:t>
            </w:r>
          </w:p>
        </w:tc>
      </w:tr>
      <w:tr w:rsidR="0086418C" w:rsidRPr="00D44001" w14:paraId="68B9528E" w14:textId="77777777" w:rsidTr="00FB4B4A">
        <w:trPr>
          <w:trHeight w:val="259"/>
        </w:trPr>
        <w:tc>
          <w:tcPr>
            <w:cnfStyle w:val="001000000000" w:firstRow="0" w:lastRow="0" w:firstColumn="1" w:lastColumn="0" w:oddVBand="0" w:evenVBand="0" w:oddHBand="0" w:evenHBand="0" w:firstRowFirstColumn="0" w:firstRowLastColumn="0" w:lastRowFirstColumn="0" w:lastRowLastColumn="0"/>
            <w:tcW w:w="1088" w:type="dxa"/>
          </w:tcPr>
          <w:p w14:paraId="47A159B1" w14:textId="77777777" w:rsidR="0086418C" w:rsidRPr="00D44001" w:rsidRDefault="0086418C" w:rsidP="0086418C">
            <w:pPr>
              <w:jc w:val="center"/>
              <w:rPr>
                <w:rFonts w:asciiTheme="minorHAnsi" w:hAnsiTheme="minorHAnsi" w:cstheme="minorHAnsi"/>
              </w:rPr>
            </w:pPr>
            <w:r w:rsidRPr="00D44001">
              <w:rPr>
                <w:rFonts w:asciiTheme="minorHAnsi" w:hAnsiTheme="minorHAnsi" w:cstheme="minorHAnsi"/>
              </w:rPr>
              <w:t>0-39</w:t>
            </w:r>
          </w:p>
        </w:tc>
        <w:tc>
          <w:tcPr>
            <w:tcW w:w="1512" w:type="dxa"/>
            <w:vAlign w:val="bottom"/>
          </w:tcPr>
          <w:p w14:paraId="13FAC1A8" w14:textId="1D85D796" w:rsidR="0086418C" w:rsidRPr="00D44001" w:rsidRDefault="0086418C" w:rsidP="0086418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4.8</w:t>
            </w:r>
          </w:p>
        </w:tc>
        <w:tc>
          <w:tcPr>
            <w:tcW w:w="1800" w:type="dxa"/>
            <w:vAlign w:val="bottom"/>
          </w:tcPr>
          <w:p w14:paraId="15E40228" w14:textId="1482327B" w:rsidR="0086418C" w:rsidRPr="00D44001" w:rsidRDefault="0086418C" w:rsidP="0086418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44001">
              <w:rPr>
                <w:rFonts w:asciiTheme="minorHAnsi" w:hAnsiTheme="minorHAnsi" w:cstheme="minorHAnsi"/>
                <w:color w:val="000000"/>
              </w:rPr>
              <w:t>---</w:t>
            </w:r>
          </w:p>
        </w:tc>
        <w:tc>
          <w:tcPr>
            <w:tcW w:w="1080" w:type="dxa"/>
            <w:vAlign w:val="bottom"/>
          </w:tcPr>
          <w:p w14:paraId="67336DE1" w14:textId="1CBC851E" w:rsidR="0086418C" w:rsidRPr="00D44001" w:rsidRDefault="0086418C" w:rsidP="0086418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D44001">
              <w:rPr>
                <w:rFonts w:asciiTheme="minorHAnsi" w:hAnsiTheme="minorHAnsi" w:cstheme="minorHAnsi"/>
                <w:color w:val="000000"/>
              </w:rPr>
              <w:t>---</w:t>
            </w:r>
          </w:p>
        </w:tc>
        <w:tc>
          <w:tcPr>
            <w:tcW w:w="1440" w:type="dxa"/>
            <w:vAlign w:val="bottom"/>
          </w:tcPr>
          <w:p w14:paraId="3B0B372A" w14:textId="7D90B852" w:rsidR="0086418C" w:rsidRPr="00D44001" w:rsidRDefault="0086418C" w:rsidP="0086418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5.3</w:t>
            </w:r>
          </w:p>
        </w:tc>
        <w:tc>
          <w:tcPr>
            <w:tcW w:w="1800" w:type="dxa"/>
            <w:vAlign w:val="bottom"/>
          </w:tcPr>
          <w:p w14:paraId="38502BB6" w14:textId="4834A8F8" w:rsidR="0086418C" w:rsidRPr="00D44001" w:rsidRDefault="0086418C" w:rsidP="0086418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5.7</w:t>
            </w:r>
          </w:p>
        </w:tc>
        <w:tc>
          <w:tcPr>
            <w:tcW w:w="1080" w:type="dxa"/>
            <w:vAlign w:val="bottom"/>
          </w:tcPr>
          <w:p w14:paraId="76A9BCB5" w14:textId="633EBDA9" w:rsidR="0086418C" w:rsidRPr="00D44001" w:rsidRDefault="0086418C" w:rsidP="0086418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D44001">
              <w:rPr>
                <w:rFonts w:asciiTheme="minorHAnsi" w:hAnsiTheme="minorHAnsi" w:cstheme="minorHAnsi"/>
                <w:color w:val="000000"/>
              </w:rPr>
              <w:t>---</w:t>
            </w:r>
          </w:p>
        </w:tc>
      </w:tr>
      <w:tr w:rsidR="00A771D9" w:rsidRPr="00D44001" w14:paraId="2DE7140B" w14:textId="77777777" w:rsidTr="00FB4B4A">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088" w:type="dxa"/>
          </w:tcPr>
          <w:p w14:paraId="28A0F385" w14:textId="77777777" w:rsidR="00A771D9" w:rsidRPr="00D44001" w:rsidRDefault="00A771D9" w:rsidP="00A771D9">
            <w:pPr>
              <w:jc w:val="center"/>
              <w:rPr>
                <w:rFonts w:asciiTheme="minorHAnsi" w:hAnsiTheme="minorHAnsi" w:cstheme="minorHAnsi"/>
              </w:rPr>
            </w:pPr>
            <w:r w:rsidRPr="00D44001">
              <w:rPr>
                <w:rFonts w:asciiTheme="minorHAnsi" w:hAnsiTheme="minorHAnsi" w:cstheme="minorHAnsi"/>
              </w:rPr>
              <w:t>40-64</w:t>
            </w:r>
          </w:p>
        </w:tc>
        <w:tc>
          <w:tcPr>
            <w:tcW w:w="1512" w:type="dxa"/>
            <w:vAlign w:val="bottom"/>
          </w:tcPr>
          <w:p w14:paraId="41AAF84D" w14:textId="191BA560" w:rsidR="00A771D9" w:rsidRPr="00D44001" w:rsidRDefault="00A771D9" w:rsidP="00A771D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142.7</w:t>
            </w:r>
          </w:p>
        </w:tc>
        <w:tc>
          <w:tcPr>
            <w:tcW w:w="1800" w:type="dxa"/>
            <w:vAlign w:val="bottom"/>
          </w:tcPr>
          <w:p w14:paraId="57048AA5" w14:textId="509BC554" w:rsidR="00A771D9" w:rsidRPr="00D44001" w:rsidRDefault="00A771D9" w:rsidP="00A771D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134.2</w:t>
            </w:r>
          </w:p>
        </w:tc>
        <w:tc>
          <w:tcPr>
            <w:tcW w:w="1080" w:type="dxa"/>
            <w:vAlign w:val="bottom"/>
          </w:tcPr>
          <w:p w14:paraId="6447D2A0" w14:textId="6D3933B0" w:rsidR="00A771D9" w:rsidRPr="00D44001" w:rsidRDefault="00A771D9" w:rsidP="00A771D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Calibri" w:hAnsi="Calibri" w:cs="Calibri"/>
                <w:color w:val="000000"/>
              </w:rPr>
              <w:t>82.8</w:t>
            </w:r>
          </w:p>
        </w:tc>
        <w:tc>
          <w:tcPr>
            <w:tcW w:w="1440" w:type="dxa"/>
            <w:vAlign w:val="bottom"/>
          </w:tcPr>
          <w:p w14:paraId="3268398A" w14:textId="6B0CDAE1" w:rsidR="00A771D9" w:rsidRPr="00D44001" w:rsidRDefault="00A771D9" w:rsidP="00A771D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117.8</w:t>
            </w:r>
          </w:p>
        </w:tc>
        <w:tc>
          <w:tcPr>
            <w:tcW w:w="1800" w:type="dxa"/>
            <w:vAlign w:val="bottom"/>
          </w:tcPr>
          <w:p w14:paraId="63742ECF" w14:textId="53D14E9D" w:rsidR="00A771D9" w:rsidRPr="00D44001" w:rsidRDefault="00A771D9" w:rsidP="00A771D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146.3</w:t>
            </w:r>
          </w:p>
        </w:tc>
        <w:tc>
          <w:tcPr>
            <w:tcW w:w="1080" w:type="dxa"/>
            <w:vAlign w:val="bottom"/>
          </w:tcPr>
          <w:p w14:paraId="7B34A691" w14:textId="72C9EEFF" w:rsidR="00A771D9" w:rsidRPr="00D44001" w:rsidRDefault="00A771D9" w:rsidP="00A771D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Calibri" w:hAnsi="Calibri" w:cs="Calibri"/>
                <w:color w:val="000000"/>
              </w:rPr>
              <w:t>65.0</w:t>
            </w:r>
          </w:p>
        </w:tc>
      </w:tr>
      <w:tr w:rsidR="00A771D9" w:rsidRPr="00D44001" w14:paraId="3F1FF1CE" w14:textId="77777777" w:rsidTr="00FB4B4A">
        <w:trPr>
          <w:trHeight w:val="248"/>
        </w:trPr>
        <w:tc>
          <w:tcPr>
            <w:cnfStyle w:val="001000000000" w:firstRow="0" w:lastRow="0" w:firstColumn="1" w:lastColumn="0" w:oddVBand="0" w:evenVBand="0" w:oddHBand="0" w:evenHBand="0" w:firstRowFirstColumn="0" w:firstRowLastColumn="0" w:lastRowFirstColumn="0" w:lastRowLastColumn="0"/>
            <w:tcW w:w="1088" w:type="dxa"/>
          </w:tcPr>
          <w:p w14:paraId="14F8BE25" w14:textId="77777777" w:rsidR="00A771D9" w:rsidRPr="00D44001" w:rsidRDefault="00A771D9" w:rsidP="00A771D9">
            <w:pPr>
              <w:jc w:val="center"/>
              <w:rPr>
                <w:rFonts w:asciiTheme="minorHAnsi" w:hAnsiTheme="minorHAnsi" w:cstheme="minorHAnsi"/>
              </w:rPr>
            </w:pPr>
            <w:r w:rsidRPr="00D44001">
              <w:rPr>
                <w:rFonts w:asciiTheme="minorHAnsi" w:hAnsiTheme="minorHAnsi" w:cstheme="minorHAnsi"/>
              </w:rPr>
              <w:t>65-74</w:t>
            </w:r>
          </w:p>
        </w:tc>
        <w:tc>
          <w:tcPr>
            <w:tcW w:w="1512" w:type="dxa"/>
            <w:vAlign w:val="bottom"/>
          </w:tcPr>
          <w:p w14:paraId="25A3443F" w14:textId="38020818" w:rsidR="00A771D9" w:rsidRPr="00D44001" w:rsidRDefault="00A771D9" w:rsidP="00A771D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642.7</w:t>
            </w:r>
          </w:p>
        </w:tc>
        <w:tc>
          <w:tcPr>
            <w:tcW w:w="1800" w:type="dxa"/>
            <w:vAlign w:val="bottom"/>
          </w:tcPr>
          <w:p w14:paraId="037DDE36" w14:textId="7E77C015" w:rsidR="00A771D9" w:rsidRPr="00D44001" w:rsidRDefault="00A771D9" w:rsidP="00A771D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843.4</w:t>
            </w:r>
          </w:p>
        </w:tc>
        <w:tc>
          <w:tcPr>
            <w:tcW w:w="1080" w:type="dxa"/>
            <w:vAlign w:val="bottom"/>
          </w:tcPr>
          <w:p w14:paraId="0EC26F5F" w14:textId="598C4945" w:rsidR="00A771D9" w:rsidRPr="00D44001" w:rsidRDefault="00A771D9" w:rsidP="00A771D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Calibri" w:hAnsi="Calibri" w:cs="Calibri"/>
                <w:color w:val="000000"/>
              </w:rPr>
              <w:t>527.3</w:t>
            </w:r>
          </w:p>
        </w:tc>
        <w:tc>
          <w:tcPr>
            <w:tcW w:w="1440" w:type="dxa"/>
            <w:vAlign w:val="bottom"/>
          </w:tcPr>
          <w:p w14:paraId="54375A5D" w14:textId="18D2C618" w:rsidR="00A771D9" w:rsidRPr="00D44001" w:rsidRDefault="00A771D9" w:rsidP="00A771D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462.3</w:t>
            </w:r>
          </w:p>
        </w:tc>
        <w:tc>
          <w:tcPr>
            <w:tcW w:w="1800" w:type="dxa"/>
            <w:vAlign w:val="bottom"/>
          </w:tcPr>
          <w:p w14:paraId="6A928D3B" w14:textId="6751ECDF" w:rsidR="00A771D9" w:rsidRPr="00D44001" w:rsidRDefault="00A771D9" w:rsidP="00A771D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562.9</w:t>
            </w:r>
          </w:p>
        </w:tc>
        <w:tc>
          <w:tcPr>
            <w:tcW w:w="1080" w:type="dxa"/>
            <w:vAlign w:val="bottom"/>
          </w:tcPr>
          <w:p w14:paraId="1340FC69" w14:textId="5BE2BEE3" w:rsidR="00A771D9" w:rsidRPr="00D44001" w:rsidRDefault="00A771D9" w:rsidP="00A771D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Calibri" w:hAnsi="Calibri" w:cs="Calibri"/>
                <w:color w:val="000000"/>
              </w:rPr>
              <w:t>276.5</w:t>
            </w:r>
          </w:p>
        </w:tc>
      </w:tr>
      <w:tr w:rsidR="00A771D9" w:rsidRPr="00D44001" w14:paraId="67D46B46" w14:textId="77777777" w:rsidTr="00FB4B4A">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088" w:type="dxa"/>
          </w:tcPr>
          <w:p w14:paraId="478C4560" w14:textId="77777777" w:rsidR="00A771D9" w:rsidRPr="00D44001" w:rsidRDefault="00A771D9" w:rsidP="00A771D9">
            <w:pPr>
              <w:jc w:val="center"/>
              <w:rPr>
                <w:rFonts w:asciiTheme="minorHAnsi" w:hAnsiTheme="minorHAnsi" w:cstheme="minorHAnsi"/>
              </w:rPr>
            </w:pPr>
            <w:r w:rsidRPr="00D44001">
              <w:rPr>
                <w:rFonts w:asciiTheme="minorHAnsi" w:hAnsiTheme="minorHAnsi" w:cstheme="minorHAnsi"/>
              </w:rPr>
              <w:t>75-84</w:t>
            </w:r>
          </w:p>
        </w:tc>
        <w:tc>
          <w:tcPr>
            <w:tcW w:w="1512" w:type="dxa"/>
            <w:vAlign w:val="bottom"/>
          </w:tcPr>
          <w:p w14:paraId="6B4E5009" w14:textId="52E10D9C" w:rsidR="00A771D9" w:rsidRPr="00D44001" w:rsidRDefault="00A771D9" w:rsidP="00A771D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1315.3</w:t>
            </w:r>
          </w:p>
        </w:tc>
        <w:tc>
          <w:tcPr>
            <w:tcW w:w="1800" w:type="dxa"/>
            <w:vAlign w:val="bottom"/>
          </w:tcPr>
          <w:p w14:paraId="36615325" w14:textId="49CCAAF3" w:rsidR="00A771D9" w:rsidRPr="00D44001" w:rsidRDefault="00A771D9" w:rsidP="00A771D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1407.6</w:t>
            </w:r>
          </w:p>
        </w:tc>
        <w:tc>
          <w:tcPr>
            <w:tcW w:w="1080" w:type="dxa"/>
            <w:vAlign w:val="bottom"/>
          </w:tcPr>
          <w:p w14:paraId="4EBF7F3E" w14:textId="3E80D787" w:rsidR="00A771D9" w:rsidRPr="00D44001" w:rsidRDefault="00A771D9" w:rsidP="00A771D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Calibri" w:hAnsi="Calibri" w:cs="Calibri"/>
                <w:color w:val="000000"/>
              </w:rPr>
              <w:t>810.7</w:t>
            </w:r>
          </w:p>
        </w:tc>
        <w:tc>
          <w:tcPr>
            <w:tcW w:w="1440" w:type="dxa"/>
            <w:vAlign w:val="bottom"/>
          </w:tcPr>
          <w:p w14:paraId="23814E55" w14:textId="2F57FD50" w:rsidR="00A771D9" w:rsidRPr="00D44001" w:rsidRDefault="00A771D9" w:rsidP="00A771D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922.1</w:t>
            </w:r>
          </w:p>
        </w:tc>
        <w:tc>
          <w:tcPr>
            <w:tcW w:w="1800" w:type="dxa"/>
            <w:vAlign w:val="bottom"/>
          </w:tcPr>
          <w:p w14:paraId="32A6E06E" w14:textId="08F5AD9C" w:rsidR="00A771D9" w:rsidRPr="00D44001" w:rsidRDefault="00A771D9" w:rsidP="00A771D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Calibri" w:hAnsi="Calibri" w:cs="Calibri"/>
                <w:color w:val="000000"/>
              </w:rPr>
              <w:t>996.4</w:t>
            </w:r>
          </w:p>
        </w:tc>
        <w:tc>
          <w:tcPr>
            <w:tcW w:w="1080" w:type="dxa"/>
            <w:vAlign w:val="bottom"/>
          </w:tcPr>
          <w:p w14:paraId="46FCB5BA" w14:textId="3DDBF072" w:rsidR="00A771D9" w:rsidRPr="00D44001" w:rsidRDefault="00A771D9" w:rsidP="00A771D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Calibri" w:hAnsi="Calibri" w:cs="Calibri"/>
                <w:color w:val="000000"/>
              </w:rPr>
              <w:t>475.8</w:t>
            </w:r>
          </w:p>
        </w:tc>
      </w:tr>
      <w:tr w:rsidR="00A771D9" w:rsidRPr="00D44001" w14:paraId="0FDFD184" w14:textId="77777777" w:rsidTr="00FB4B4A">
        <w:trPr>
          <w:trHeight w:val="259"/>
        </w:trPr>
        <w:tc>
          <w:tcPr>
            <w:cnfStyle w:val="001000000000" w:firstRow="0" w:lastRow="0" w:firstColumn="1" w:lastColumn="0" w:oddVBand="0" w:evenVBand="0" w:oddHBand="0" w:evenHBand="0" w:firstRowFirstColumn="0" w:firstRowLastColumn="0" w:lastRowFirstColumn="0" w:lastRowLastColumn="0"/>
            <w:tcW w:w="1088" w:type="dxa"/>
          </w:tcPr>
          <w:p w14:paraId="5B2439F0" w14:textId="77777777" w:rsidR="00A771D9" w:rsidRPr="00D44001" w:rsidRDefault="00A771D9" w:rsidP="00A771D9">
            <w:pPr>
              <w:jc w:val="center"/>
              <w:rPr>
                <w:rFonts w:asciiTheme="minorHAnsi" w:hAnsiTheme="minorHAnsi" w:cstheme="minorHAnsi"/>
              </w:rPr>
            </w:pPr>
            <w:r w:rsidRPr="00D44001">
              <w:rPr>
                <w:rFonts w:asciiTheme="minorHAnsi" w:hAnsiTheme="minorHAnsi" w:cstheme="minorHAnsi"/>
              </w:rPr>
              <w:t>85+</w:t>
            </w:r>
          </w:p>
        </w:tc>
        <w:tc>
          <w:tcPr>
            <w:tcW w:w="1512" w:type="dxa"/>
            <w:vAlign w:val="bottom"/>
          </w:tcPr>
          <w:p w14:paraId="17CFA067" w14:textId="47FA6EAE" w:rsidR="00A771D9" w:rsidRPr="00D44001" w:rsidRDefault="00A771D9" w:rsidP="00A771D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2610.8</w:t>
            </w:r>
          </w:p>
        </w:tc>
        <w:tc>
          <w:tcPr>
            <w:tcW w:w="1800" w:type="dxa"/>
            <w:vAlign w:val="bottom"/>
          </w:tcPr>
          <w:p w14:paraId="13495EB2" w14:textId="2BEC6DF6" w:rsidR="00A771D9" w:rsidRPr="00D44001" w:rsidRDefault="00A771D9" w:rsidP="00A771D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2666.3</w:t>
            </w:r>
          </w:p>
        </w:tc>
        <w:tc>
          <w:tcPr>
            <w:tcW w:w="1080" w:type="dxa"/>
            <w:vAlign w:val="bottom"/>
          </w:tcPr>
          <w:p w14:paraId="00C28CE3" w14:textId="275F01AA" w:rsidR="00A771D9" w:rsidRPr="00D44001" w:rsidRDefault="00A771D9" w:rsidP="00A771D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D44001">
              <w:rPr>
                <w:rFonts w:asciiTheme="minorHAnsi" w:hAnsiTheme="minorHAnsi" w:cstheme="minorHAnsi"/>
                <w:color w:val="000000"/>
              </w:rPr>
              <w:t>---</w:t>
            </w:r>
          </w:p>
        </w:tc>
        <w:tc>
          <w:tcPr>
            <w:tcW w:w="1440" w:type="dxa"/>
            <w:vAlign w:val="bottom"/>
          </w:tcPr>
          <w:p w14:paraId="42A3991C" w14:textId="036865AD" w:rsidR="00A771D9" w:rsidRPr="00D44001" w:rsidRDefault="00A771D9" w:rsidP="00A771D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1337.3</w:t>
            </w:r>
          </w:p>
        </w:tc>
        <w:tc>
          <w:tcPr>
            <w:tcW w:w="1800" w:type="dxa"/>
            <w:vAlign w:val="bottom"/>
          </w:tcPr>
          <w:p w14:paraId="1935AD4E" w14:textId="508F87C9" w:rsidR="00A771D9" w:rsidRPr="00D44001" w:rsidRDefault="00A771D9" w:rsidP="00A771D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Calibri" w:hAnsi="Calibri" w:cs="Calibri"/>
                <w:color w:val="000000"/>
              </w:rPr>
              <w:t>1432.2</w:t>
            </w:r>
          </w:p>
        </w:tc>
        <w:tc>
          <w:tcPr>
            <w:tcW w:w="1080" w:type="dxa"/>
            <w:vAlign w:val="bottom"/>
          </w:tcPr>
          <w:p w14:paraId="3B463804" w14:textId="6A6F19D7" w:rsidR="00A771D9" w:rsidRPr="00D44001" w:rsidRDefault="00A771D9" w:rsidP="00A771D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Calibri" w:hAnsi="Calibri" w:cs="Calibri"/>
                <w:color w:val="000000"/>
              </w:rPr>
              <w:t>1115.8</w:t>
            </w:r>
          </w:p>
        </w:tc>
      </w:tr>
    </w:tbl>
    <w:p w14:paraId="55E54A17" w14:textId="23320A6A" w:rsidR="003E5C0A" w:rsidRPr="00C77E69" w:rsidRDefault="003E5C0A" w:rsidP="00066068">
      <w:pPr>
        <w:pStyle w:val="NoSpacing"/>
        <w:rPr>
          <w:rFonts w:asciiTheme="minorHAnsi" w:hAnsiTheme="minorHAnsi"/>
          <w:i/>
          <w:sz w:val="16"/>
          <w:szCs w:val="16"/>
        </w:rPr>
      </w:pPr>
      <w:r w:rsidRPr="00C77E69">
        <w:rPr>
          <w:rFonts w:asciiTheme="minorHAnsi" w:hAnsiTheme="minorHAnsi"/>
          <w:i/>
          <w:sz w:val="16"/>
          <w:szCs w:val="16"/>
        </w:rPr>
        <w:t xml:space="preserve">Source: </w:t>
      </w:r>
      <w:r w:rsidR="00FD02DA" w:rsidRPr="00C77E69">
        <w:rPr>
          <w:rFonts w:asciiTheme="minorHAnsi" w:hAnsiTheme="minorHAnsi"/>
          <w:i/>
          <w:sz w:val="16"/>
          <w:szCs w:val="16"/>
        </w:rPr>
        <w:t>Delaware Department of Health and Social Services, Division of Public Health, Delaware Health Statistics Center</w:t>
      </w:r>
      <w:r w:rsidR="00786A83" w:rsidRPr="00C77E69">
        <w:rPr>
          <w:rFonts w:asciiTheme="minorHAnsi" w:hAnsiTheme="minorHAnsi"/>
          <w:i/>
          <w:sz w:val="16"/>
          <w:szCs w:val="16"/>
        </w:rPr>
        <w:t xml:space="preserve">, </w:t>
      </w:r>
      <w:r w:rsidR="002C47A8" w:rsidRPr="00C77E69">
        <w:rPr>
          <w:rFonts w:asciiTheme="minorHAnsi" w:hAnsiTheme="minorHAnsi"/>
          <w:i/>
          <w:sz w:val="16"/>
          <w:szCs w:val="16"/>
        </w:rPr>
        <w:t>20</w:t>
      </w:r>
      <w:r w:rsidR="00101CA7" w:rsidRPr="00C77E69">
        <w:rPr>
          <w:rFonts w:asciiTheme="minorHAnsi" w:hAnsiTheme="minorHAnsi"/>
          <w:i/>
          <w:sz w:val="16"/>
          <w:szCs w:val="16"/>
        </w:rPr>
        <w:t>2</w:t>
      </w:r>
      <w:r w:rsidR="003D1315">
        <w:rPr>
          <w:rFonts w:asciiTheme="minorHAnsi" w:hAnsiTheme="minorHAnsi"/>
          <w:i/>
          <w:sz w:val="16"/>
          <w:szCs w:val="16"/>
        </w:rPr>
        <w:t>3</w:t>
      </w:r>
    </w:p>
    <w:p w14:paraId="7A926FF6" w14:textId="646D78C2" w:rsidR="00062025" w:rsidRPr="00C77E69" w:rsidRDefault="00062025" w:rsidP="00066068">
      <w:pPr>
        <w:pStyle w:val="NoSpacing"/>
        <w:rPr>
          <w:rFonts w:asciiTheme="minorHAnsi" w:hAnsiTheme="minorHAnsi"/>
          <w:sz w:val="16"/>
          <w:szCs w:val="16"/>
        </w:rPr>
      </w:pPr>
      <w:r w:rsidRPr="00062025">
        <w:rPr>
          <w:rFonts w:asciiTheme="minorHAnsi" w:hAnsiTheme="minorHAnsi"/>
          <w:sz w:val="16"/>
          <w:szCs w:val="16"/>
        </w:rPr>
        <w:t>Rates are per 100,000 of population age-adjusted to the 2000 U.S. standard population and are calculated using modified U.S. Census populations available from NCI (</w:t>
      </w:r>
      <w:hyperlink r:id="rId54" w:history="1">
        <w:r w:rsidRPr="00F116D8">
          <w:rPr>
            <w:rStyle w:val="Hyperlink"/>
            <w:rFonts w:asciiTheme="minorHAnsi" w:hAnsiTheme="minorHAnsi"/>
            <w:sz w:val="16"/>
            <w:szCs w:val="16"/>
          </w:rPr>
          <w:t>https://seer.cancer.gov/popdata/</w:t>
        </w:r>
      </w:hyperlink>
      <w:r w:rsidRPr="00062025">
        <w:rPr>
          <w:rFonts w:asciiTheme="minorHAnsi" w:hAnsiTheme="minorHAnsi"/>
          <w:sz w:val="16"/>
          <w:szCs w:val="16"/>
        </w:rPr>
        <w:t>).</w:t>
      </w:r>
      <w:r>
        <w:rPr>
          <w:rFonts w:asciiTheme="minorHAnsi" w:hAnsiTheme="minorHAnsi"/>
          <w:sz w:val="16"/>
          <w:szCs w:val="16"/>
        </w:rPr>
        <w:t xml:space="preserve"> </w:t>
      </w:r>
      <w:r w:rsidRPr="00062025">
        <w:rPr>
          <w:rFonts w:asciiTheme="minorHAnsi" w:hAnsiTheme="minorHAnsi"/>
          <w:sz w:val="16"/>
          <w:szCs w:val="16"/>
        </w:rPr>
        <w:t xml:space="preserve"> </w:t>
      </w:r>
    </w:p>
    <w:p w14:paraId="1B42A92A" w14:textId="7F90EE59" w:rsidR="00962386" w:rsidRDefault="004B7465" w:rsidP="00066068">
      <w:pPr>
        <w:spacing w:after="120" w:line="240" w:lineRule="auto"/>
        <w:rPr>
          <w:rFonts w:asciiTheme="minorHAnsi" w:hAnsiTheme="minorHAnsi"/>
          <w:sz w:val="16"/>
          <w:szCs w:val="16"/>
        </w:rPr>
      </w:pPr>
      <w:r w:rsidRPr="00C77E69">
        <w:rPr>
          <w:rFonts w:asciiTheme="minorHAnsi" w:hAnsiTheme="minorHAnsi"/>
          <w:sz w:val="16"/>
          <w:szCs w:val="16"/>
        </w:rPr>
        <w:t>---Rates based on</w:t>
      </w:r>
      <w:r w:rsidR="00F61AB0">
        <w:rPr>
          <w:rFonts w:asciiTheme="minorHAnsi" w:hAnsiTheme="minorHAnsi"/>
          <w:sz w:val="16"/>
          <w:szCs w:val="16"/>
        </w:rPr>
        <w:t xml:space="preserve"> fewer than 16 deaths are not individually calculated. </w:t>
      </w:r>
    </w:p>
    <w:p w14:paraId="25CC8C47" w14:textId="77777777" w:rsidR="009C7E4C" w:rsidRDefault="009C7E4C" w:rsidP="00066068">
      <w:pPr>
        <w:spacing w:after="120" w:line="240" w:lineRule="auto"/>
        <w:rPr>
          <w:rFonts w:asciiTheme="minorHAnsi" w:hAnsiTheme="minorHAnsi"/>
        </w:rPr>
      </w:pPr>
    </w:p>
    <w:p w14:paraId="045C079D" w14:textId="6B4DE163" w:rsidR="009F1F0C" w:rsidRPr="009F1F0C" w:rsidRDefault="009F1F0C" w:rsidP="00066068">
      <w:pPr>
        <w:spacing w:after="120" w:line="240" w:lineRule="auto"/>
        <w:rPr>
          <w:rFonts w:asciiTheme="minorHAnsi" w:hAnsiTheme="minorHAnsi"/>
        </w:rPr>
      </w:pPr>
      <w:r w:rsidRPr="009F1F0C">
        <w:rPr>
          <w:rFonts w:asciiTheme="minorHAnsi" w:hAnsiTheme="minorHAnsi"/>
        </w:rPr>
        <w:t>In Delaware from 201</w:t>
      </w:r>
      <w:r w:rsidR="004F4193">
        <w:rPr>
          <w:rFonts w:asciiTheme="minorHAnsi" w:hAnsiTheme="minorHAnsi"/>
        </w:rPr>
        <w:t>7</w:t>
      </w:r>
      <w:r w:rsidRPr="009F1F0C">
        <w:rPr>
          <w:rFonts w:asciiTheme="minorHAnsi" w:hAnsiTheme="minorHAnsi"/>
        </w:rPr>
        <w:t>-202</w:t>
      </w:r>
      <w:r w:rsidR="004F4193">
        <w:rPr>
          <w:rFonts w:asciiTheme="minorHAnsi" w:hAnsiTheme="minorHAnsi"/>
        </w:rPr>
        <w:t>1</w:t>
      </w:r>
      <w:r>
        <w:rPr>
          <w:rFonts w:asciiTheme="minorHAnsi" w:hAnsiTheme="minorHAnsi"/>
        </w:rPr>
        <w:t>:</w:t>
      </w:r>
    </w:p>
    <w:p w14:paraId="2C229DB4" w14:textId="60F354DE" w:rsidR="00962386" w:rsidRPr="00962386" w:rsidRDefault="00686EA9" w:rsidP="00B21C83">
      <w:pPr>
        <w:pStyle w:val="ListParagraph"/>
        <w:numPr>
          <w:ilvl w:val="0"/>
          <w:numId w:val="7"/>
        </w:numPr>
        <w:spacing w:after="120" w:line="240" w:lineRule="auto"/>
        <w:ind w:left="360"/>
        <w:rPr>
          <w:rFonts w:asciiTheme="minorHAnsi" w:hAnsiTheme="minorHAnsi"/>
        </w:rPr>
      </w:pPr>
      <w:r w:rsidRPr="00962386">
        <w:rPr>
          <w:rFonts w:asciiTheme="minorHAnsi" w:hAnsiTheme="minorHAnsi"/>
        </w:rPr>
        <w:t>The</w:t>
      </w:r>
      <w:r w:rsidR="00351E39" w:rsidRPr="00962386">
        <w:rPr>
          <w:rFonts w:asciiTheme="minorHAnsi" w:hAnsiTheme="minorHAnsi"/>
        </w:rPr>
        <w:t xml:space="preserve"> all-site mortality rate wa</w:t>
      </w:r>
      <w:r w:rsidRPr="00962386">
        <w:rPr>
          <w:rFonts w:asciiTheme="minorHAnsi" w:hAnsiTheme="minorHAnsi"/>
        </w:rPr>
        <w:t xml:space="preserve">s highest for </w:t>
      </w:r>
      <w:r w:rsidR="00AC71E3">
        <w:rPr>
          <w:rFonts w:asciiTheme="minorHAnsi" w:hAnsiTheme="minorHAnsi"/>
        </w:rPr>
        <w:t>non</w:t>
      </w:r>
      <w:r w:rsidR="00D94B8D" w:rsidRPr="00962386">
        <w:rPr>
          <w:rFonts w:asciiTheme="minorHAnsi" w:hAnsiTheme="minorHAnsi"/>
        </w:rPr>
        <w:t xml:space="preserve">-Hispanic </w:t>
      </w:r>
      <w:r w:rsidR="00BB3D69" w:rsidRPr="00962386">
        <w:rPr>
          <w:rFonts w:asciiTheme="minorHAnsi" w:hAnsiTheme="minorHAnsi"/>
        </w:rPr>
        <w:t>White</w:t>
      </w:r>
      <w:r w:rsidR="005A775A">
        <w:rPr>
          <w:rFonts w:asciiTheme="minorHAnsi" w:hAnsiTheme="minorHAnsi"/>
        </w:rPr>
        <w:t xml:space="preserve"> and</w:t>
      </w:r>
      <w:r w:rsidR="00300BD7">
        <w:rPr>
          <w:rFonts w:asciiTheme="minorHAnsi" w:hAnsiTheme="minorHAnsi"/>
        </w:rPr>
        <w:t xml:space="preserve"> </w:t>
      </w:r>
      <w:r w:rsidR="00AC71E3">
        <w:rPr>
          <w:rFonts w:asciiTheme="minorHAnsi" w:hAnsiTheme="minorHAnsi"/>
        </w:rPr>
        <w:t>non</w:t>
      </w:r>
      <w:r w:rsidR="00912EB6" w:rsidRPr="00962386">
        <w:rPr>
          <w:rFonts w:asciiTheme="minorHAnsi" w:hAnsiTheme="minorHAnsi"/>
        </w:rPr>
        <w:t xml:space="preserve">-Hispanic </w:t>
      </w:r>
      <w:r w:rsidR="00300BD7" w:rsidRPr="00962386">
        <w:rPr>
          <w:rFonts w:asciiTheme="minorHAnsi" w:hAnsiTheme="minorHAnsi"/>
        </w:rPr>
        <w:t>Black</w:t>
      </w:r>
      <w:r w:rsidR="00912EB6" w:rsidRPr="00962386">
        <w:rPr>
          <w:rFonts w:asciiTheme="minorHAnsi" w:hAnsiTheme="minorHAnsi"/>
        </w:rPr>
        <w:t xml:space="preserve"> </w:t>
      </w:r>
      <w:r w:rsidR="003E5C0A" w:rsidRPr="00962386">
        <w:rPr>
          <w:rFonts w:asciiTheme="minorHAnsi" w:hAnsiTheme="minorHAnsi"/>
        </w:rPr>
        <w:t>male</w:t>
      </w:r>
      <w:r w:rsidR="00D94B8D" w:rsidRPr="00962386">
        <w:rPr>
          <w:rFonts w:asciiTheme="minorHAnsi" w:hAnsiTheme="minorHAnsi"/>
        </w:rPr>
        <w:t>s</w:t>
      </w:r>
      <w:r w:rsidR="003E5C0A" w:rsidRPr="00962386">
        <w:rPr>
          <w:rFonts w:asciiTheme="minorHAnsi" w:hAnsiTheme="minorHAnsi"/>
        </w:rPr>
        <w:t xml:space="preserve"> </w:t>
      </w:r>
      <w:r w:rsidR="00723816" w:rsidRPr="00962386">
        <w:rPr>
          <w:rFonts w:asciiTheme="minorHAnsi" w:hAnsiTheme="minorHAnsi"/>
        </w:rPr>
        <w:t xml:space="preserve">85 years of age </w:t>
      </w:r>
      <w:r w:rsidR="00D94B8D" w:rsidRPr="00962386">
        <w:rPr>
          <w:rFonts w:asciiTheme="minorHAnsi" w:hAnsiTheme="minorHAnsi"/>
        </w:rPr>
        <w:t>and older</w:t>
      </w:r>
      <w:r w:rsidR="00912EB6" w:rsidRPr="00962386">
        <w:rPr>
          <w:rFonts w:asciiTheme="minorHAnsi" w:hAnsiTheme="minorHAnsi"/>
        </w:rPr>
        <w:t>.</w:t>
      </w:r>
    </w:p>
    <w:p w14:paraId="5CDA340C" w14:textId="2DEA7192" w:rsidR="00962386" w:rsidRPr="00962386" w:rsidRDefault="00912EB6" w:rsidP="00B21C83">
      <w:pPr>
        <w:pStyle w:val="ListParagraph"/>
        <w:numPr>
          <w:ilvl w:val="0"/>
          <w:numId w:val="7"/>
        </w:numPr>
        <w:spacing w:after="120" w:line="240" w:lineRule="auto"/>
        <w:ind w:left="360"/>
        <w:rPr>
          <w:rFonts w:asciiTheme="minorHAnsi" w:hAnsiTheme="minorHAnsi"/>
        </w:rPr>
      </w:pPr>
      <w:r w:rsidRPr="00962386">
        <w:rPr>
          <w:rFonts w:asciiTheme="minorHAnsi" w:hAnsiTheme="minorHAnsi"/>
        </w:rPr>
        <w:t>The</w:t>
      </w:r>
      <w:r w:rsidR="00351E39" w:rsidRPr="00962386">
        <w:rPr>
          <w:rFonts w:asciiTheme="minorHAnsi" w:hAnsiTheme="minorHAnsi"/>
        </w:rPr>
        <w:t xml:space="preserve"> all-site mortality rate wa</w:t>
      </w:r>
      <w:r w:rsidRPr="00962386">
        <w:rPr>
          <w:rFonts w:asciiTheme="minorHAnsi" w:hAnsiTheme="minorHAnsi"/>
        </w:rPr>
        <w:t xml:space="preserve">s highest for </w:t>
      </w:r>
      <w:r w:rsidR="00AC71E3">
        <w:rPr>
          <w:rFonts w:asciiTheme="minorHAnsi" w:hAnsiTheme="minorHAnsi"/>
        </w:rPr>
        <w:t>non</w:t>
      </w:r>
      <w:r w:rsidRPr="00962386">
        <w:rPr>
          <w:rFonts w:asciiTheme="minorHAnsi" w:hAnsiTheme="minorHAnsi"/>
        </w:rPr>
        <w:t xml:space="preserve">-Hispanic </w:t>
      </w:r>
      <w:r w:rsidR="00BB3D69" w:rsidRPr="00962386">
        <w:rPr>
          <w:rFonts w:asciiTheme="minorHAnsi" w:hAnsiTheme="minorHAnsi"/>
        </w:rPr>
        <w:t>White</w:t>
      </w:r>
      <w:r w:rsidR="00300BD7">
        <w:rPr>
          <w:rFonts w:asciiTheme="minorHAnsi" w:hAnsiTheme="minorHAnsi"/>
        </w:rPr>
        <w:t xml:space="preserve">, </w:t>
      </w:r>
      <w:r w:rsidR="00AC71E3">
        <w:rPr>
          <w:rFonts w:asciiTheme="minorHAnsi" w:hAnsiTheme="minorHAnsi"/>
        </w:rPr>
        <w:t>non</w:t>
      </w:r>
      <w:r w:rsidRPr="00962386">
        <w:rPr>
          <w:rFonts w:asciiTheme="minorHAnsi" w:hAnsiTheme="minorHAnsi"/>
        </w:rPr>
        <w:t xml:space="preserve">-Hispanic </w:t>
      </w:r>
      <w:r w:rsidR="00340873" w:rsidRPr="00962386">
        <w:rPr>
          <w:rFonts w:asciiTheme="minorHAnsi" w:hAnsiTheme="minorHAnsi"/>
        </w:rPr>
        <w:t>Black,</w:t>
      </w:r>
      <w:r w:rsidR="00300BD7">
        <w:rPr>
          <w:rFonts w:asciiTheme="minorHAnsi" w:hAnsiTheme="minorHAnsi"/>
        </w:rPr>
        <w:t xml:space="preserve"> and Hispanic</w:t>
      </w:r>
      <w:r w:rsidRPr="00962386">
        <w:rPr>
          <w:rFonts w:asciiTheme="minorHAnsi" w:hAnsiTheme="minorHAnsi"/>
        </w:rPr>
        <w:t xml:space="preserve"> females 85 years of age and older.</w:t>
      </w:r>
    </w:p>
    <w:p w14:paraId="63E6A8D9" w14:textId="296746DB" w:rsidR="003A262F" w:rsidRPr="00962386" w:rsidRDefault="003A262F" w:rsidP="00B21C83">
      <w:pPr>
        <w:pStyle w:val="ListParagraph"/>
        <w:numPr>
          <w:ilvl w:val="0"/>
          <w:numId w:val="7"/>
        </w:numPr>
        <w:spacing w:after="120" w:line="240" w:lineRule="auto"/>
        <w:ind w:left="360"/>
        <w:rPr>
          <w:rFonts w:asciiTheme="minorHAnsi" w:hAnsiTheme="minorHAnsi"/>
        </w:rPr>
      </w:pPr>
      <w:r w:rsidRPr="00962386">
        <w:rPr>
          <w:rFonts w:asciiTheme="minorHAnsi" w:hAnsiTheme="minorHAnsi"/>
        </w:rPr>
        <w:t xml:space="preserve">Due to small numbers, mortality rates could not be calculated for certain groups. </w:t>
      </w:r>
    </w:p>
    <w:p w14:paraId="6504151C" w14:textId="495ACC3A" w:rsidR="00B32B28" w:rsidRPr="008A60A3" w:rsidRDefault="00B32B28">
      <w:pPr>
        <w:pStyle w:val="Heading1"/>
        <w:rPr>
          <w:rFonts w:asciiTheme="minorHAnsi" w:hAnsiTheme="minorHAnsi" w:cstheme="minorHAnsi"/>
        </w:rPr>
      </w:pPr>
      <w:bookmarkStart w:id="31" w:name="_Toc4750424"/>
      <w:bookmarkStart w:id="32" w:name="_Toc3300659"/>
      <w:bookmarkStart w:id="33" w:name="_Toc3308897"/>
      <w:bookmarkStart w:id="34" w:name="_Toc4750425"/>
      <w:bookmarkStart w:id="35" w:name="_Toc3300660"/>
      <w:bookmarkStart w:id="36" w:name="_Toc3308898"/>
      <w:bookmarkStart w:id="37" w:name="_Toc4750426"/>
      <w:bookmarkStart w:id="38" w:name="_Toc3300661"/>
      <w:bookmarkStart w:id="39" w:name="_Toc3308899"/>
      <w:bookmarkStart w:id="40" w:name="_Toc4750427"/>
      <w:bookmarkStart w:id="41" w:name="_Toc3300662"/>
      <w:bookmarkStart w:id="42" w:name="_Toc3308900"/>
      <w:bookmarkStart w:id="43" w:name="_Toc4750428"/>
      <w:bookmarkStart w:id="44" w:name="_Toc3300663"/>
      <w:bookmarkStart w:id="45" w:name="_Toc3308901"/>
      <w:bookmarkStart w:id="46" w:name="_Toc4750429"/>
      <w:bookmarkStart w:id="47" w:name="_Toc3300664"/>
      <w:bookmarkStart w:id="48" w:name="_Toc3308902"/>
      <w:bookmarkStart w:id="49" w:name="_Toc4750430"/>
      <w:bookmarkStart w:id="50" w:name="_Toc3300665"/>
      <w:bookmarkStart w:id="51" w:name="_Toc3308903"/>
      <w:bookmarkStart w:id="52" w:name="_Toc4750431"/>
      <w:bookmarkStart w:id="53" w:name="_Toc3300666"/>
      <w:bookmarkStart w:id="54" w:name="_Toc3308904"/>
      <w:bookmarkStart w:id="55" w:name="_Toc4750432"/>
      <w:bookmarkStart w:id="56" w:name="_Toc3300667"/>
      <w:bookmarkStart w:id="57" w:name="_Toc3308905"/>
      <w:bookmarkStart w:id="58" w:name="_Toc4750433"/>
      <w:bookmarkStart w:id="59" w:name="_Toc3300668"/>
      <w:bookmarkStart w:id="60" w:name="_Toc3308906"/>
      <w:bookmarkStart w:id="61" w:name="_Toc4750434"/>
      <w:bookmarkStart w:id="62" w:name="_Toc3300669"/>
      <w:bookmarkStart w:id="63" w:name="_Toc3308907"/>
      <w:bookmarkStart w:id="64" w:name="_Toc4750435"/>
      <w:bookmarkStart w:id="65" w:name="_Toc3300670"/>
      <w:bookmarkStart w:id="66" w:name="_Toc3308908"/>
      <w:bookmarkStart w:id="67" w:name="_Toc4750436"/>
      <w:bookmarkStart w:id="68" w:name="_Toc3300671"/>
      <w:bookmarkStart w:id="69" w:name="_Toc3308909"/>
      <w:bookmarkStart w:id="70" w:name="_Toc4750437"/>
      <w:bookmarkStart w:id="71" w:name="_Toc3300672"/>
      <w:bookmarkStart w:id="72" w:name="_Toc3308910"/>
      <w:bookmarkStart w:id="73" w:name="_Toc4750438"/>
      <w:bookmarkStart w:id="74" w:name="_Toc3300673"/>
      <w:bookmarkStart w:id="75" w:name="_Toc3308911"/>
      <w:bookmarkStart w:id="76" w:name="_Toc4750439"/>
      <w:bookmarkStart w:id="77" w:name="_Toc3300674"/>
      <w:bookmarkStart w:id="78" w:name="_Toc3308912"/>
      <w:bookmarkStart w:id="79" w:name="_Toc4750440"/>
      <w:bookmarkStart w:id="80" w:name="_Toc3300677"/>
      <w:bookmarkStart w:id="81" w:name="_Toc3308915"/>
      <w:bookmarkStart w:id="82" w:name="_Toc4750443"/>
      <w:bookmarkStart w:id="83" w:name="_Toc3300678"/>
      <w:bookmarkStart w:id="84" w:name="_Toc3308916"/>
      <w:bookmarkStart w:id="85" w:name="_Toc4750444"/>
      <w:bookmarkStart w:id="86" w:name="_Toc3300679"/>
      <w:bookmarkStart w:id="87" w:name="_Toc3308917"/>
      <w:bookmarkStart w:id="88" w:name="_Toc4750445"/>
      <w:bookmarkStart w:id="89" w:name="_Toc3300680"/>
      <w:bookmarkStart w:id="90" w:name="_Toc3308918"/>
      <w:bookmarkStart w:id="91" w:name="_Toc4750446"/>
      <w:bookmarkStart w:id="92" w:name="_Toc3300687"/>
      <w:bookmarkStart w:id="93" w:name="_Toc3308925"/>
      <w:bookmarkStart w:id="94" w:name="_Toc4750453"/>
      <w:bookmarkStart w:id="95" w:name="_Toc3300757"/>
      <w:bookmarkStart w:id="96" w:name="_Toc3308995"/>
      <w:bookmarkStart w:id="97" w:name="_Toc4750523"/>
      <w:bookmarkStart w:id="98" w:name="_Toc3300758"/>
      <w:bookmarkStart w:id="99" w:name="_Toc3308996"/>
      <w:bookmarkStart w:id="100" w:name="_Toc4750524"/>
      <w:bookmarkStart w:id="101" w:name="_Toc3300759"/>
      <w:bookmarkStart w:id="102" w:name="_Toc3308997"/>
      <w:bookmarkStart w:id="103" w:name="_Toc4750525"/>
      <w:bookmarkStart w:id="104" w:name="_Toc3300760"/>
      <w:bookmarkStart w:id="105" w:name="_Toc3308998"/>
      <w:bookmarkStart w:id="106" w:name="_Toc4750526"/>
      <w:bookmarkStart w:id="107" w:name="_Toc3300761"/>
      <w:bookmarkStart w:id="108" w:name="_Toc3308999"/>
      <w:bookmarkStart w:id="109" w:name="_Toc4750527"/>
      <w:bookmarkStart w:id="110" w:name="_Toc3300762"/>
      <w:bookmarkStart w:id="111" w:name="_Toc3309000"/>
      <w:bookmarkStart w:id="112" w:name="_Toc4750528"/>
      <w:bookmarkStart w:id="113" w:name="_Toc3300763"/>
      <w:bookmarkStart w:id="114" w:name="_Toc3309001"/>
      <w:bookmarkStart w:id="115" w:name="_Toc4750529"/>
      <w:bookmarkStart w:id="116" w:name="_Toc3300793"/>
      <w:bookmarkStart w:id="117" w:name="_Toc3309031"/>
      <w:bookmarkStart w:id="118" w:name="_Toc4750559"/>
      <w:bookmarkStart w:id="119" w:name="_Toc3300794"/>
      <w:bookmarkStart w:id="120" w:name="_Toc3309032"/>
      <w:bookmarkStart w:id="121" w:name="_Toc4750560"/>
      <w:bookmarkStart w:id="122" w:name="_Toc3300795"/>
      <w:bookmarkStart w:id="123" w:name="_Toc3309033"/>
      <w:bookmarkStart w:id="124" w:name="_Toc4750561"/>
      <w:bookmarkStart w:id="125" w:name="_Toc3300796"/>
      <w:bookmarkStart w:id="126" w:name="_Toc3309034"/>
      <w:bookmarkStart w:id="127" w:name="_Toc4750562"/>
      <w:bookmarkStart w:id="128" w:name="_Toc3300797"/>
      <w:bookmarkStart w:id="129" w:name="_Toc3309035"/>
      <w:bookmarkStart w:id="130" w:name="_Toc4750563"/>
      <w:bookmarkStart w:id="131" w:name="_Toc3300798"/>
      <w:bookmarkStart w:id="132" w:name="_Toc3309036"/>
      <w:bookmarkStart w:id="133" w:name="_Toc4750564"/>
      <w:bookmarkStart w:id="134" w:name="_Toc3300799"/>
      <w:bookmarkStart w:id="135" w:name="_Toc3309037"/>
      <w:bookmarkStart w:id="136" w:name="_Toc4750565"/>
      <w:bookmarkStart w:id="137" w:name="_Toc3300800"/>
      <w:bookmarkStart w:id="138" w:name="_Toc3309038"/>
      <w:bookmarkStart w:id="139" w:name="_Toc4750566"/>
      <w:bookmarkStart w:id="140" w:name="_Toc3300801"/>
      <w:bookmarkStart w:id="141" w:name="_Toc3309039"/>
      <w:bookmarkStart w:id="142" w:name="_Toc4750567"/>
      <w:bookmarkStart w:id="143" w:name="_Toc3300802"/>
      <w:bookmarkStart w:id="144" w:name="_Toc3309040"/>
      <w:bookmarkStart w:id="145" w:name="_Toc4750568"/>
      <w:bookmarkStart w:id="146" w:name="_Toc3300803"/>
      <w:bookmarkStart w:id="147" w:name="_Toc3309041"/>
      <w:bookmarkStart w:id="148" w:name="_Toc4750569"/>
      <w:bookmarkStart w:id="149" w:name="_Toc3300804"/>
      <w:bookmarkStart w:id="150" w:name="_Toc3309042"/>
      <w:bookmarkStart w:id="151" w:name="_Toc4750570"/>
      <w:bookmarkStart w:id="152" w:name="_Toc3300805"/>
      <w:bookmarkStart w:id="153" w:name="_Toc3309043"/>
      <w:bookmarkStart w:id="154" w:name="_Toc4750571"/>
      <w:bookmarkStart w:id="155" w:name="_Toc3300806"/>
      <w:bookmarkStart w:id="156" w:name="_Toc3309044"/>
      <w:bookmarkStart w:id="157" w:name="_Toc4750572"/>
      <w:bookmarkStart w:id="158" w:name="_Toc3300807"/>
      <w:bookmarkStart w:id="159" w:name="_Toc3309045"/>
      <w:bookmarkStart w:id="160" w:name="_Toc4750573"/>
      <w:bookmarkStart w:id="161" w:name="_Toc3300808"/>
      <w:bookmarkStart w:id="162" w:name="_Toc3309046"/>
      <w:bookmarkStart w:id="163" w:name="_Toc4750574"/>
      <w:bookmarkStart w:id="164" w:name="_Toc3300809"/>
      <w:bookmarkStart w:id="165" w:name="_Toc3309047"/>
      <w:bookmarkStart w:id="166" w:name="_Toc4750575"/>
      <w:bookmarkStart w:id="167" w:name="_Toc3300810"/>
      <w:bookmarkStart w:id="168" w:name="_Toc3309048"/>
      <w:bookmarkStart w:id="169" w:name="_Toc4750576"/>
      <w:bookmarkStart w:id="170" w:name="_Toc3300811"/>
      <w:bookmarkStart w:id="171" w:name="_Toc3309049"/>
      <w:bookmarkStart w:id="172" w:name="_Toc4750577"/>
      <w:bookmarkStart w:id="173" w:name="_Toc3300812"/>
      <w:bookmarkStart w:id="174" w:name="_Toc3309050"/>
      <w:bookmarkStart w:id="175" w:name="_Toc4750578"/>
      <w:bookmarkStart w:id="176" w:name="_Toc3300813"/>
      <w:bookmarkStart w:id="177" w:name="_Toc3309051"/>
      <w:bookmarkStart w:id="178" w:name="_Toc4750579"/>
      <w:bookmarkStart w:id="179" w:name="_Toc3300814"/>
      <w:bookmarkStart w:id="180" w:name="_Toc3309052"/>
      <w:bookmarkStart w:id="181" w:name="_Toc4750580"/>
      <w:bookmarkStart w:id="182" w:name="_Toc3300815"/>
      <w:bookmarkStart w:id="183" w:name="_Toc3309053"/>
      <w:bookmarkStart w:id="184" w:name="_Toc4750581"/>
      <w:bookmarkStart w:id="185" w:name="_Toc3300816"/>
      <w:bookmarkStart w:id="186" w:name="_Toc3309054"/>
      <w:bookmarkStart w:id="187" w:name="_Toc4750582"/>
      <w:bookmarkStart w:id="188" w:name="_Toc3300817"/>
      <w:bookmarkStart w:id="189" w:name="_Toc3309055"/>
      <w:bookmarkStart w:id="190" w:name="_Toc4750583"/>
      <w:bookmarkStart w:id="191" w:name="_Toc3300818"/>
      <w:bookmarkStart w:id="192" w:name="_Toc3309056"/>
      <w:bookmarkStart w:id="193" w:name="_Toc4750584"/>
      <w:bookmarkStart w:id="194" w:name="_Toc3300819"/>
      <w:bookmarkStart w:id="195" w:name="_Toc3309057"/>
      <w:bookmarkStart w:id="196" w:name="_Toc4750585"/>
      <w:bookmarkStart w:id="197" w:name="_Toc3300820"/>
      <w:bookmarkStart w:id="198" w:name="_Toc3309058"/>
      <w:bookmarkStart w:id="199" w:name="_Toc4750586"/>
      <w:bookmarkStart w:id="200" w:name="_Toc3300821"/>
      <w:bookmarkStart w:id="201" w:name="_Toc3309059"/>
      <w:bookmarkStart w:id="202" w:name="_Toc4750587"/>
      <w:bookmarkStart w:id="203" w:name="_Toc3300822"/>
      <w:bookmarkStart w:id="204" w:name="_Toc3309060"/>
      <w:bookmarkStart w:id="205" w:name="_Toc4750588"/>
      <w:bookmarkStart w:id="206" w:name="_Toc3300823"/>
      <w:bookmarkStart w:id="207" w:name="_Toc3309061"/>
      <w:bookmarkStart w:id="208" w:name="_Toc4750589"/>
      <w:bookmarkStart w:id="209" w:name="_Toc3300824"/>
      <w:bookmarkStart w:id="210" w:name="_Toc3309062"/>
      <w:bookmarkStart w:id="211" w:name="_Toc4750590"/>
      <w:bookmarkStart w:id="212" w:name="_Toc3300825"/>
      <w:bookmarkStart w:id="213" w:name="_Toc3309063"/>
      <w:bookmarkStart w:id="214" w:name="_Toc4750591"/>
      <w:bookmarkStart w:id="215" w:name="_Toc3300826"/>
      <w:bookmarkStart w:id="216" w:name="_Toc3309064"/>
      <w:bookmarkStart w:id="217" w:name="_Toc4750592"/>
      <w:bookmarkStart w:id="218" w:name="_Toc3300827"/>
      <w:bookmarkStart w:id="219" w:name="_Toc3309065"/>
      <w:bookmarkStart w:id="220" w:name="_Toc4750593"/>
      <w:bookmarkStart w:id="221" w:name="_Toc3300828"/>
      <w:bookmarkStart w:id="222" w:name="_Toc3309066"/>
      <w:bookmarkStart w:id="223" w:name="_Toc4750594"/>
      <w:bookmarkStart w:id="224" w:name="_Toc3300829"/>
      <w:bookmarkStart w:id="225" w:name="_Toc3309067"/>
      <w:bookmarkStart w:id="226" w:name="_Toc4750595"/>
      <w:bookmarkStart w:id="227" w:name="_Toc3300830"/>
      <w:bookmarkStart w:id="228" w:name="_Toc3309068"/>
      <w:bookmarkStart w:id="229" w:name="_Toc4750596"/>
      <w:bookmarkStart w:id="230" w:name="_Toc3300831"/>
      <w:bookmarkStart w:id="231" w:name="_Toc3309069"/>
      <w:bookmarkStart w:id="232" w:name="_Toc4750597"/>
      <w:bookmarkStart w:id="233" w:name="_Toc3300832"/>
      <w:bookmarkStart w:id="234" w:name="_Toc3309070"/>
      <w:bookmarkStart w:id="235" w:name="_Toc4750598"/>
      <w:bookmarkStart w:id="236" w:name="_Toc3300833"/>
      <w:bookmarkStart w:id="237" w:name="_Toc3309071"/>
      <w:bookmarkStart w:id="238" w:name="_Toc4750599"/>
      <w:bookmarkStart w:id="239" w:name="_Toc3300834"/>
      <w:bookmarkStart w:id="240" w:name="_Toc3309072"/>
      <w:bookmarkStart w:id="241" w:name="_Toc4750600"/>
      <w:bookmarkStart w:id="242" w:name="_Toc3300835"/>
      <w:bookmarkStart w:id="243" w:name="_Toc3309073"/>
      <w:bookmarkStart w:id="244" w:name="_Toc4750601"/>
      <w:bookmarkStart w:id="245" w:name="_Toc3300836"/>
      <w:bookmarkStart w:id="246" w:name="_Toc3309074"/>
      <w:bookmarkStart w:id="247" w:name="_Toc4750602"/>
      <w:bookmarkStart w:id="248" w:name="_Toc3300837"/>
      <w:bookmarkStart w:id="249" w:name="_Toc3309075"/>
      <w:bookmarkStart w:id="250" w:name="_Toc4750603"/>
      <w:bookmarkStart w:id="251" w:name="_Toc3300838"/>
      <w:bookmarkStart w:id="252" w:name="_Toc3309076"/>
      <w:bookmarkStart w:id="253" w:name="_Toc4750604"/>
      <w:bookmarkStart w:id="254" w:name="_Toc3300839"/>
      <w:bookmarkStart w:id="255" w:name="_Toc3309077"/>
      <w:bookmarkStart w:id="256" w:name="_Toc4750605"/>
      <w:bookmarkStart w:id="257" w:name="_Toc3300840"/>
      <w:bookmarkStart w:id="258" w:name="_Toc3309078"/>
      <w:bookmarkStart w:id="259" w:name="_Toc4750606"/>
      <w:bookmarkStart w:id="260" w:name="_Toc3300841"/>
      <w:bookmarkStart w:id="261" w:name="_Toc3309079"/>
      <w:bookmarkStart w:id="262" w:name="_Toc4750607"/>
      <w:bookmarkStart w:id="263" w:name="_Toc3300842"/>
      <w:bookmarkStart w:id="264" w:name="_Toc3309080"/>
      <w:bookmarkStart w:id="265" w:name="_Toc4750608"/>
      <w:bookmarkStart w:id="266" w:name="_Toc3300843"/>
      <w:bookmarkStart w:id="267" w:name="_Toc3309081"/>
      <w:bookmarkStart w:id="268" w:name="_Toc4750609"/>
      <w:bookmarkStart w:id="269" w:name="_Toc3300844"/>
      <w:bookmarkStart w:id="270" w:name="_Toc3309082"/>
      <w:bookmarkStart w:id="271" w:name="_Toc4750610"/>
      <w:bookmarkStart w:id="272" w:name="_Toc3300845"/>
      <w:bookmarkStart w:id="273" w:name="_Toc3309083"/>
      <w:bookmarkStart w:id="274" w:name="_Toc4750611"/>
      <w:bookmarkStart w:id="275" w:name="_Toc3300846"/>
      <w:bookmarkStart w:id="276" w:name="_Toc3309084"/>
      <w:bookmarkStart w:id="277" w:name="_Toc4750612"/>
      <w:bookmarkStart w:id="278" w:name="_Toc3300847"/>
      <w:bookmarkStart w:id="279" w:name="_Toc3309085"/>
      <w:bookmarkStart w:id="280" w:name="_Toc4750613"/>
      <w:bookmarkStart w:id="281" w:name="_Toc3300848"/>
      <w:bookmarkStart w:id="282" w:name="_Toc3309086"/>
      <w:bookmarkStart w:id="283" w:name="_Toc4750614"/>
      <w:bookmarkStart w:id="284" w:name="_Toc3300849"/>
      <w:bookmarkStart w:id="285" w:name="_Toc3309087"/>
      <w:bookmarkStart w:id="286" w:name="_Toc4750615"/>
      <w:bookmarkStart w:id="287" w:name="_Toc3300850"/>
      <w:bookmarkStart w:id="288" w:name="_Toc3309088"/>
      <w:bookmarkStart w:id="289" w:name="_Toc4750616"/>
      <w:bookmarkStart w:id="290" w:name="_Toc3300851"/>
      <w:bookmarkStart w:id="291" w:name="_Toc3309089"/>
      <w:bookmarkStart w:id="292" w:name="_Toc4750617"/>
      <w:bookmarkStart w:id="293" w:name="_Toc3300852"/>
      <w:bookmarkStart w:id="294" w:name="_Toc3309090"/>
      <w:bookmarkStart w:id="295" w:name="_Toc4750618"/>
      <w:bookmarkStart w:id="296" w:name="_Toc3300853"/>
      <w:bookmarkStart w:id="297" w:name="_Toc3309091"/>
      <w:bookmarkStart w:id="298" w:name="_Toc4750619"/>
      <w:bookmarkStart w:id="299" w:name="_Toc3300854"/>
      <w:bookmarkStart w:id="300" w:name="_Toc3309092"/>
      <w:bookmarkStart w:id="301" w:name="_Toc4750620"/>
      <w:bookmarkStart w:id="302" w:name="_Toc3300855"/>
      <w:bookmarkStart w:id="303" w:name="_Toc3309093"/>
      <w:bookmarkStart w:id="304" w:name="_Toc4750621"/>
      <w:bookmarkStart w:id="305" w:name="_Toc3300856"/>
      <w:bookmarkStart w:id="306" w:name="_Toc3309094"/>
      <w:bookmarkStart w:id="307" w:name="_Toc4750622"/>
      <w:bookmarkStart w:id="308" w:name="_Toc3300861"/>
      <w:bookmarkStart w:id="309" w:name="_Toc3309099"/>
      <w:bookmarkStart w:id="310" w:name="_Toc4750627"/>
      <w:bookmarkStart w:id="311" w:name="_Toc3300909"/>
      <w:bookmarkStart w:id="312" w:name="_Toc3309147"/>
      <w:bookmarkStart w:id="313" w:name="_Toc4750675"/>
      <w:bookmarkStart w:id="314" w:name="_Toc3300910"/>
      <w:bookmarkStart w:id="315" w:name="_Toc3309148"/>
      <w:bookmarkStart w:id="316" w:name="_Toc4750676"/>
      <w:bookmarkStart w:id="317" w:name="_Toc3300911"/>
      <w:bookmarkStart w:id="318" w:name="_Toc3309149"/>
      <w:bookmarkStart w:id="319" w:name="_Toc4750677"/>
      <w:bookmarkStart w:id="320" w:name="_Toc3300912"/>
      <w:bookmarkStart w:id="321" w:name="_Toc3309150"/>
      <w:bookmarkStart w:id="322" w:name="_Toc4750678"/>
      <w:bookmarkStart w:id="323" w:name="_Toc3300913"/>
      <w:bookmarkStart w:id="324" w:name="_Toc3309151"/>
      <w:bookmarkStart w:id="325" w:name="_Toc4750679"/>
      <w:bookmarkStart w:id="326" w:name="_Toc3300914"/>
      <w:bookmarkStart w:id="327" w:name="_Toc3309152"/>
      <w:bookmarkStart w:id="328" w:name="_Toc4750680"/>
      <w:bookmarkStart w:id="329" w:name="_Toc3300915"/>
      <w:bookmarkStart w:id="330" w:name="_Toc3309153"/>
      <w:bookmarkStart w:id="331" w:name="_Toc4750681"/>
      <w:bookmarkStart w:id="332" w:name="_Toc3300916"/>
      <w:bookmarkStart w:id="333" w:name="_Toc3309154"/>
      <w:bookmarkStart w:id="334" w:name="_Toc4750682"/>
      <w:bookmarkStart w:id="335" w:name="_Toc3300917"/>
      <w:bookmarkStart w:id="336" w:name="_Toc3309155"/>
      <w:bookmarkStart w:id="337" w:name="_Toc4750683"/>
      <w:bookmarkStart w:id="338" w:name="_Toc3300918"/>
      <w:bookmarkStart w:id="339" w:name="_Toc3309156"/>
      <w:bookmarkStart w:id="340" w:name="_Toc4750684"/>
      <w:bookmarkStart w:id="341" w:name="_Toc3300919"/>
      <w:bookmarkStart w:id="342" w:name="_Toc3309157"/>
      <w:bookmarkStart w:id="343" w:name="_Toc4750685"/>
      <w:bookmarkStart w:id="344" w:name="_Toc3300920"/>
      <w:bookmarkStart w:id="345" w:name="_Toc3309158"/>
      <w:bookmarkStart w:id="346" w:name="_Toc4750686"/>
      <w:bookmarkStart w:id="347" w:name="_Toc3300928"/>
      <w:bookmarkStart w:id="348" w:name="_Toc3309166"/>
      <w:bookmarkStart w:id="349" w:name="_Toc4750694"/>
      <w:bookmarkStart w:id="350" w:name="_Toc3301031"/>
      <w:bookmarkStart w:id="351" w:name="_Toc3309269"/>
      <w:bookmarkStart w:id="352" w:name="_Toc4750797"/>
      <w:bookmarkStart w:id="353" w:name="_Toc3301032"/>
      <w:bookmarkStart w:id="354" w:name="_Toc3309270"/>
      <w:bookmarkStart w:id="355" w:name="_Toc4750798"/>
      <w:bookmarkStart w:id="356" w:name="_Toc3301033"/>
      <w:bookmarkStart w:id="357" w:name="_Toc3309271"/>
      <w:bookmarkStart w:id="358" w:name="_Toc4750799"/>
      <w:bookmarkStart w:id="359" w:name="_Toc3301034"/>
      <w:bookmarkStart w:id="360" w:name="_Toc3309272"/>
      <w:bookmarkStart w:id="361" w:name="_Toc4750800"/>
      <w:bookmarkStart w:id="362" w:name="_Toc3301035"/>
      <w:bookmarkStart w:id="363" w:name="_Toc3309273"/>
      <w:bookmarkStart w:id="364" w:name="_Toc4750801"/>
      <w:bookmarkStart w:id="365" w:name="_Toc3301036"/>
      <w:bookmarkStart w:id="366" w:name="_Toc3309274"/>
      <w:bookmarkStart w:id="367" w:name="_Toc4750802"/>
      <w:bookmarkStart w:id="368" w:name="_Toc3301037"/>
      <w:bookmarkStart w:id="369" w:name="_Toc3309275"/>
      <w:bookmarkStart w:id="370" w:name="_Toc4750803"/>
      <w:bookmarkStart w:id="371" w:name="_Toc3301038"/>
      <w:bookmarkStart w:id="372" w:name="_Toc3309276"/>
      <w:bookmarkStart w:id="373" w:name="_Toc4750804"/>
      <w:bookmarkStart w:id="374" w:name="_Toc3301048"/>
      <w:bookmarkStart w:id="375" w:name="_Toc3309286"/>
      <w:bookmarkStart w:id="376" w:name="_Toc4750814"/>
      <w:bookmarkStart w:id="377" w:name="_Toc3301049"/>
      <w:bookmarkStart w:id="378" w:name="_Toc3309287"/>
      <w:bookmarkStart w:id="379" w:name="_Toc4750815"/>
      <w:bookmarkStart w:id="380" w:name="_Toc3301050"/>
      <w:bookmarkStart w:id="381" w:name="_Toc3309288"/>
      <w:bookmarkStart w:id="382" w:name="_Toc4750816"/>
      <w:bookmarkStart w:id="383" w:name="_Toc3301051"/>
      <w:bookmarkStart w:id="384" w:name="_Toc3309289"/>
      <w:bookmarkStart w:id="385" w:name="_Toc4750817"/>
      <w:bookmarkStart w:id="386" w:name="_Toc3301052"/>
      <w:bookmarkStart w:id="387" w:name="_Toc3309290"/>
      <w:bookmarkStart w:id="388" w:name="_Toc4750818"/>
      <w:bookmarkStart w:id="389" w:name="_Toc3301053"/>
      <w:bookmarkStart w:id="390" w:name="_Toc3309291"/>
      <w:bookmarkStart w:id="391" w:name="_Toc4750819"/>
      <w:bookmarkStart w:id="392" w:name="_Toc3301054"/>
      <w:bookmarkStart w:id="393" w:name="_Toc3309292"/>
      <w:bookmarkStart w:id="394" w:name="_Toc4750820"/>
      <w:bookmarkStart w:id="395" w:name="_Toc3301055"/>
      <w:bookmarkStart w:id="396" w:name="_Toc3309293"/>
      <w:bookmarkStart w:id="397" w:name="_Toc4750821"/>
      <w:bookmarkStart w:id="398" w:name="_Toc3301056"/>
      <w:bookmarkStart w:id="399" w:name="_Toc3309294"/>
      <w:bookmarkStart w:id="400" w:name="_Toc4750822"/>
      <w:bookmarkStart w:id="401" w:name="_Toc3301057"/>
      <w:bookmarkStart w:id="402" w:name="_Toc3309295"/>
      <w:bookmarkStart w:id="403" w:name="_Toc4750823"/>
      <w:bookmarkStart w:id="404" w:name="_Toc3301060"/>
      <w:bookmarkStart w:id="405" w:name="_Toc3309298"/>
      <w:bookmarkStart w:id="406" w:name="_Toc4750826"/>
      <w:bookmarkStart w:id="407" w:name="_Toc3301061"/>
      <w:bookmarkStart w:id="408" w:name="_Toc3309299"/>
      <w:bookmarkStart w:id="409" w:name="_Toc4750827"/>
      <w:bookmarkStart w:id="410" w:name="_Toc3301062"/>
      <w:bookmarkStart w:id="411" w:name="_Toc3309300"/>
      <w:bookmarkStart w:id="412" w:name="_Toc4750828"/>
      <w:bookmarkStart w:id="413" w:name="_Toc3301063"/>
      <w:bookmarkStart w:id="414" w:name="_Toc3309301"/>
      <w:bookmarkStart w:id="415" w:name="_Toc4750829"/>
      <w:bookmarkStart w:id="416" w:name="_Toc3301070"/>
      <w:bookmarkStart w:id="417" w:name="_Toc3309308"/>
      <w:bookmarkStart w:id="418" w:name="_Toc4750836"/>
      <w:bookmarkStart w:id="419" w:name="_Toc3301140"/>
      <w:bookmarkStart w:id="420" w:name="_Toc3309378"/>
      <w:bookmarkStart w:id="421" w:name="_Toc4750906"/>
      <w:bookmarkStart w:id="422" w:name="_Toc3301141"/>
      <w:bookmarkStart w:id="423" w:name="_Toc3309379"/>
      <w:bookmarkStart w:id="424" w:name="_Toc4750907"/>
      <w:bookmarkStart w:id="425" w:name="_Toc3301142"/>
      <w:bookmarkStart w:id="426" w:name="_Toc3309380"/>
      <w:bookmarkStart w:id="427" w:name="_Toc4750908"/>
      <w:bookmarkStart w:id="428" w:name="_Toc3301143"/>
      <w:bookmarkStart w:id="429" w:name="_Toc3309381"/>
      <w:bookmarkStart w:id="430" w:name="_Toc4750909"/>
      <w:bookmarkStart w:id="431" w:name="_Toc3301144"/>
      <w:bookmarkStart w:id="432" w:name="_Toc3309382"/>
      <w:bookmarkStart w:id="433" w:name="_Toc4750910"/>
      <w:bookmarkStart w:id="434" w:name="_Toc3301145"/>
      <w:bookmarkStart w:id="435" w:name="_Toc3309383"/>
      <w:bookmarkStart w:id="436" w:name="_Toc4750911"/>
      <w:bookmarkStart w:id="437" w:name="_Toc3301146"/>
      <w:bookmarkStart w:id="438" w:name="_Toc3309384"/>
      <w:bookmarkStart w:id="439" w:name="_Toc4750912"/>
      <w:bookmarkStart w:id="440" w:name="_Toc3301176"/>
      <w:bookmarkStart w:id="441" w:name="_Toc3309414"/>
      <w:bookmarkStart w:id="442" w:name="_Toc4750942"/>
      <w:bookmarkStart w:id="443" w:name="_Toc3301177"/>
      <w:bookmarkStart w:id="444" w:name="_Toc3309415"/>
      <w:bookmarkStart w:id="445" w:name="_Toc4750943"/>
      <w:bookmarkStart w:id="446" w:name="_Toc3301178"/>
      <w:bookmarkStart w:id="447" w:name="_Toc3309416"/>
      <w:bookmarkStart w:id="448" w:name="_Toc4750944"/>
      <w:bookmarkStart w:id="449" w:name="_Toc3301179"/>
      <w:bookmarkStart w:id="450" w:name="_Toc3309417"/>
      <w:bookmarkStart w:id="451" w:name="_Toc4750945"/>
      <w:bookmarkStart w:id="452" w:name="_Toc3301180"/>
      <w:bookmarkStart w:id="453" w:name="_Toc3309418"/>
      <w:bookmarkStart w:id="454" w:name="_Toc4750946"/>
      <w:bookmarkStart w:id="455" w:name="_Toc3301181"/>
      <w:bookmarkStart w:id="456" w:name="_Toc3309419"/>
      <w:bookmarkStart w:id="457" w:name="_Toc4750947"/>
      <w:bookmarkStart w:id="458" w:name="_Toc3301182"/>
      <w:bookmarkStart w:id="459" w:name="_Toc3309420"/>
      <w:bookmarkStart w:id="460" w:name="_Toc4750948"/>
      <w:bookmarkStart w:id="461" w:name="_Toc3301183"/>
      <w:bookmarkStart w:id="462" w:name="_Toc3309421"/>
      <w:bookmarkStart w:id="463" w:name="_Toc4750949"/>
      <w:bookmarkStart w:id="464" w:name="_Toc3301184"/>
      <w:bookmarkStart w:id="465" w:name="_Toc3309422"/>
      <w:bookmarkStart w:id="466" w:name="_Toc4750950"/>
      <w:bookmarkStart w:id="467" w:name="_Toc3301185"/>
      <w:bookmarkStart w:id="468" w:name="_Toc3309423"/>
      <w:bookmarkStart w:id="469" w:name="_Toc4750951"/>
      <w:bookmarkStart w:id="470" w:name="_Toc3301186"/>
      <w:bookmarkStart w:id="471" w:name="_Toc3309424"/>
      <w:bookmarkStart w:id="472" w:name="_Toc4750952"/>
      <w:bookmarkStart w:id="473" w:name="_Toc3301187"/>
      <w:bookmarkStart w:id="474" w:name="_Toc3309425"/>
      <w:bookmarkStart w:id="475" w:name="_Toc4750953"/>
      <w:bookmarkStart w:id="476" w:name="_Toc3301188"/>
      <w:bookmarkStart w:id="477" w:name="_Toc3309426"/>
      <w:bookmarkStart w:id="478" w:name="_Toc4750954"/>
      <w:bookmarkStart w:id="479" w:name="_Toc3301189"/>
      <w:bookmarkStart w:id="480" w:name="_Toc3309427"/>
      <w:bookmarkStart w:id="481" w:name="_Toc4750955"/>
      <w:bookmarkStart w:id="482" w:name="_Toc3301190"/>
      <w:bookmarkStart w:id="483" w:name="_Toc3309428"/>
      <w:bookmarkStart w:id="484" w:name="_Toc4750956"/>
      <w:bookmarkStart w:id="485" w:name="_Toc3301191"/>
      <w:bookmarkStart w:id="486" w:name="_Toc3309429"/>
      <w:bookmarkStart w:id="487" w:name="_Toc4750957"/>
      <w:bookmarkStart w:id="488" w:name="_Toc3301192"/>
      <w:bookmarkStart w:id="489" w:name="_Toc3309430"/>
      <w:bookmarkStart w:id="490" w:name="_Toc4750958"/>
      <w:bookmarkStart w:id="491" w:name="_Toc3301193"/>
      <w:bookmarkStart w:id="492" w:name="_Toc3309431"/>
      <w:bookmarkStart w:id="493" w:name="_Toc4750959"/>
      <w:bookmarkStart w:id="494" w:name="_Toc3301194"/>
      <w:bookmarkStart w:id="495" w:name="_Toc3309432"/>
      <w:bookmarkStart w:id="496" w:name="_Toc4750960"/>
      <w:bookmarkStart w:id="497" w:name="_Toc3301195"/>
      <w:bookmarkStart w:id="498" w:name="_Toc3309433"/>
      <w:bookmarkStart w:id="499" w:name="_Toc4750961"/>
      <w:bookmarkStart w:id="500" w:name="_Toc3301196"/>
      <w:bookmarkStart w:id="501" w:name="_Toc3309434"/>
      <w:bookmarkStart w:id="502" w:name="_Toc4750962"/>
      <w:bookmarkStart w:id="503" w:name="_Toc3301197"/>
      <w:bookmarkStart w:id="504" w:name="_Toc3309435"/>
      <w:bookmarkStart w:id="505" w:name="_Toc4750963"/>
      <w:bookmarkStart w:id="506" w:name="_Toc3301198"/>
      <w:bookmarkStart w:id="507" w:name="_Toc3309436"/>
      <w:bookmarkStart w:id="508" w:name="_Toc4750964"/>
      <w:bookmarkStart w:id="509" w:name="_Toc3301199"/>
      <w:bookmarkStart w:id="510" w:name="_Toc3309437"/>
      <w:bookmarkStart w:id="511" w:name="_Toc4750965"/>
      <w:bookmarkStart w:id="512" w:name="_Toc3301200"/>
      <w:bookmarkStart w:id="513" w:name="_Toc3309438"/>
      <w:bookmarkStart w:id="514" w:name="_Toc4750966"/>
      <w:bookmarkStart w:id="515" w:name="_Toc3301201"/>
      <w:bookmarkStart w:id="516" w:name="_Toc3309439"/>
      <w:bookmarkStart w:id="517" w:name="_Toc4750967"/>
      <w:bookmarkStart w:id="518" w:name="_Toc3301202"/>
      <w:bookmarkStart w:id="519" w:name="_Toc3309440"/>
      <w:bookmarkStart w:id="520" w:name="_Toc4750968"/>
      <w:bookmarkStart w:id="521" w:name="_Toc3301203"/>
      <w:bookmarkStart w:id="522" w:name="_Toc3309441"/>
      <w:bookmarkStart w:id="523" w:name="_Toc4750969"/>
      <w:bookmarkStart w:id="524" w:name="_Toc3301204"/>
      <w:bookmarkStart w:id="525" w:name="_Toc3309442"/>
      <w:bookmarkStart w:id="526" w:name="_Toc4750970"/>
      <w:bookmarkStart w:id="527" w:name="_Toc3301205"/>
      <w:bookmarkStart w:id="528" w:name="_Toc3309443"/>
      <w:bookmarkStart w:id="529" w:name="_Toc4750971"/>
      <w:bookmarkStart w:id="530" w:name="_Toc3301206"/>
      <w:bookmarkStart w:id="531" w:name="_Toc3309444"/>
      <w:bookmarkStart w:id="532" w:name="_Toc4750972"/>
      <w:bookmarkStart w:id="533" w:name="_Toc3301207"/>
      <w:bookmarkStart w:id="534" w:name="_Toc3309445"/>
      <w:bookmarkStart w:id="535" w:name="_Toc4750973"/>
      <w:bookmarkStart w:id="536" w:name="_Toc3301208"/>
      <w:bookmarkStart w:id="537" w:name="_Toc3309446"/>
      <w:bookmarkStart w:id="538" w:name="_Toc4750974"/>
      <w:bookmarkStart w:id="539" w:name="_Toc3301209"/>
      <w:bookmarkStart w:id="540" w:name="_Toc3309447"/>
      <w:bookmarkStart w:id="541" w:name="_Toc4750975"/>
      <w:bookmarkStart w:id="542" w:name="_Toc3301210"/>
      <w:bookmarkStart w:id="543" w:name="_Toc3309448"/>
      <w:bookmarkStart w:id="544" w:name="_Toc4750976"/>
      <w:bookmarkStart w:id="545" w:name="_Toc3301211"/>
      <w:bookmarkStart w:id="546" w:name="_Toc3309449"/>
      <w:bookmarkStart w:id="547" w:name="_Toc4750977"/>
      <w:bookmarkStart w:id="548" w:name="_Toc3301212"/>
      <w:bookmarkStart w:id="549" w:name="_Toc3309450"/>
      <w:bookmarkStart w:id="550" w:name="_Toc4750978"/>
      <w:bookmarkStart w:id="551" w:name="_Toc3301213"/>
      <w:bookmarkStart w:id="552" w:name="_Toc3309451"/>
      <w:bookmarkStart w:id="553" w:name="_Toc4750979"/>
      <w:bookmarkStart w:id="554" w:name="_Toc3301214"/>
      <w:bookmarkStart w:id="555" w:name="_Toc3309452"/>
      <w:bookmarkStart w:id="556" w:name="_Toc4750980"/>
      <w:bookmarkStart w:id="557" w:name="_Toc3301215"/>
      <w:bookmarkStart w:id="558" w:name="_Toc3309453"/>
      <w:bookmarkStart w:id="559" w:name="_Toc4750981"/>
      <w:bookmarkStart w:id="560" w:name="_Toc3301216"/>
      <w:bookmarkStart w:id="561" w:name="_Toc3309454"/>
      <w:bookmarkStart w:id="562" w:name="_Toc4750982"/>
      <w:bookmarkStart w:id="563" w:name="_Toc3301217"/>
      <w:bookmarkStart w:id="564" w:name="_Toc3309455"/>
      <w:bookmarkStart w:id="565" w:name="_Toc4750983"/>
      <w:bookmarkStart w:id="566" w:name="_Toc3301218"/>
      <w:bookmarkStart w:id="567" w:name="_Toc3309456"/>
      <w:bookmarkStart w:id="568" w:name="_Toc4750984"/>
      <w:bookmarkStart w:id="569" w:name="_Toc3301219"/>
      <w:bookmarkStart w:id="570" w:name="_Toc3309457"/>
      <w:bookmarkStart w:id="571" w:name="_Toc4750985"/>
      <w:bookmarkStart w:id="572" w:name="_Toc3301220"/>
      <w:bookmarkStart w:id="573" w:name="_Toc3309458"/>
      <w:bookmarkStart w:id="574" w:name="_Toc4750986"/>
      <w:bookmarkStart w:id="575" w:name="_Toc3301221"/>
      <w:bookmarkStart w:id="576" w:name="_Toc3309459"/>
      <w:bookmarkStart w:id="577" w:name="_Toc4750987"/>
      <w:bookmarkStart w:id="578" w:name="_Toc3301222"/>
      <w:bookmarkStart w:id="579" w:name="_Toc3309460"/>
      <w:bookmarkStart w:id="580" w:name="_Toc4750988"/>
      <w:bookmarkStart w:id="581" w:name="_Toc3301223"/>
      <w:bookmarkStart w:id="582" w:name="_Toc3309461"/>
      <w:bookmarkStart w:id="583" w:name="_Toc4750989"/>
      <w:bookmarkStart w:id="584" w:name="_Toc3301228"/>
      <w:bookmarkStart w:id="585" w:name="_Toc3309466"/>
      <w:bookmarkStart w:id="586" w:name="_Toc4750994"/>
      <w:bookmarkStart w:id="587" w:name="_Toc3301276"/>
      <w:bookmarkStart w:id="588" w:name="_Toc3309514"/>
      <w:bookmarkStart w:id="589" w:name="_Toc4751042"/>
      <w:bookmarkStart w:id="590" w:name="_Toc3301277"/>
      <w:bookmarkStart w:id="591" w:name="_Toc3309515"/>
      <w:bookmarkStart w:id="592" w:name="_Toc4751043"/>
      <w:bookmarkStart w:id="593" w:name="_Toc3301278"/>
      <w:bookmarkStart w:id="594" w:name="_Toc3309516"/>
      <w:bookmarkStart w:id="595" w:name="_Toc4751044"/>
      <w:bookmarkStart w:id="596" w:name="_Toc3301279"/>
      <w:bookmarkStart w:id="597" w:name="_Toc3309517"/>
      <w:bookmarkStart w:id="598" w:name="_Toc4751045"/>
      <w:bookmarkStart w:id="599" w:name="_Toc3301281"/>
      <w:bookmarkStart w:id="600" w:name="_Toc3309519"/>
      <w:bookmarkStart w:id="601" w:name="_Toc4751047"/>
      <w:bookmarkStart w:id="602" w:name="_Toc3301282"/>
      <w:bookmarkStart w:id="603" w:name="_Toc3309520"/>
      <w:bookmarkStart w:id="604" w:name="_Toc4751048"/>
      <w:bookmarkStart w:id="605" w:name="_Toc3301283"/>
      <w:bookmarkStart w:id="606" w:name="_Toc3309521"/>
      <w:bookmarkStart w:id="607" w:name="_Toc4751049"/>
      <w:bookmarkStart w:id="608" w:name="_Toc3301284"/>
      <w:bookmarkStart w:id="609" w:name="_Toc3309522"/>
      <w:bookmarkStart w:id="610" w:name="_Toc4751050"/>
      <w:bookmarkStart w:id="611" w:name="_Toc3301285"/>
      <w:bookmarkStart w:id="612" w:name="_Toc3309523"/>
      <w:bookmarkStart w:id="613" w:name="_Toc4751051"/>
      <w:bookmarkStart w:id="614" w:name="_Toc3301286"/>
      <w:bookmarkStart w:id="615" w:name="_Toc3309524"/>
      <w:bookmarkStart w:id="616" w:name="_Toc4751052"/>
      <w:bookmarkStart w:id="617" w:name="_Toc3301287"/>
      <w:bookmarkStart w:id="618" w:name="_Toc3309525"/>
      <w:bookmarkStart w:id="619" w:name="_Toc4751053"/>
      <w:bookmarkStart w:id="620" w:name="_Toc3301288"/>
      <w:bookmarkStart w:id="621" w:name="_Toc3309526"/>
      <w:bookmarkStart w:id="622" w:name="_Toc4751054"/>
      <w:bookmarkStart w:id="623" w:name="_Toc3301289"/>
      <w:bookmarkStart w:id="624" w:name="_Toc3309527"/>
      <w:bookmarkStart w:id="625" w:name="_Toc4751055"/>
      <w:bookmarkStart w:id="626" w:name="_Toc3301290"/>
      <w:bookmarkStart w:id="627" w:name="_Toc3309528"/>
      <w:bookmarkStart w:id="628" w:name="_Toc4751056"/>
      <w:bookmarkStart w:id="629" w:name="_Toc3301291"/>
      <w:bookmarkStart w:id="630" w:name="_Toc3309529"/>
      <w:bookmarkStart w:id="631" w:name="_Toc4751057"/>
      <w:bookmarkStart w:id="632" w:name="_Toc3301292"/>
      <w:bookmarkStart w:id="633" w:name="_Toc3309530"/>
      <w:bookmarkStart w:id="634" w:name="_Toc4751058"/>
      <w:bookmarkStart w:id="635" w:name="_Toc3301293"/>
      <w:bookmarkStart w:id="636" w:name="_Toc3309531"/>
      <w:bookmarkStart w:id="637" w:name="_Toc4751059"/>
      <w:bookmarkStart w:id="638" w:name="_Toc3301294"/>
      <w:bookmarkStart w:id="639" w:name="_Toc3309532"/>
      <w:bookmarkStart w:id="640" w:name="_Toc4751060"/>
      <w:bookmarkStart w:id="641" w:name="_Toc3301295"/>
      <w:bookmarkStart w:id="642" w:name="_Toc3309533"/>
      <w:bookmarkStart w:id="643" w:name="_Toc4751061"/>
      <w:bookmarkStart w:id="644" w:name="_Toc3301296"/>
      <w:bookmarkStart w:id="645" w:name="_Toc3309534"/>
      <w:bookmarkStart w:id="646" w:name="_Toc4751062"/>
      <w:bookmarkStart w:id="647" w:name="_Toc3301297"/>
      <w:bookmarkStart w:id="648" w:name="_Toc3309535"/>
      <w:bookmarkStart w:id="649" w:name="_Toc4751063"/>
      <w:bookmarkStart w:id="650" w:name="_Toc3301298"/>
      <w:bookmarkStart w:id="651" w:name="_Toc3309536"/>
      <w:bookmarkStart w:id="652" w:name="_Toc4751064"/>
      <w:bookmarkStart w:id="653" w:name="_Toc3301299"/>
      <w:bookmarkStart w:id="654" w:name="_Toc3309537"/>
      <w:bookmarkStart w:id="655" w:name="_Toc4751065"/>
      <w:bookmarkStart w:id="656" w:name="_Toc3301300"/>
      <w:bookmarkStart w:id="657" w:name="_Toc3309538"/>
      <w:bookmarkStart w:id="658" w:name="_Toc4751066"/>
      <w:bookmarkStart w:id="659" w:name="_Toc3301301"/>
      <w:bookmarkStart w:id="660" w:name="_Toc3309539"/>
      <w:bookmarkStart w:id="661" w:name="_Toc4751067"/>
      <w:bookmarkStart w:id="662" w:name="_Toc3301302"/>
      <w:bookmarkStart w:id="663" w:name="_Toc3309540"/>
      <w:bookmarkStart w:id="664" w:name="_Toc4751068"/>
      <w:bookmarkStart w:id="665" w:name="_Toc3301303"/>
      <w:bookmarkStart w:id="666" w:name="_Toc3309541"/>
      <w:bookmarkStart w:id="667" w:name="_Toc4751069"/>
      <w:bookmarkStart w:id="668" w:name="_Toc3301304"/>
      <w:bookmarkStart w:id="669" w:name="_Toc3309542"/>
      <w:bookmarkStart w:id="670" w:name="_Toc4751070"/>
      <w:bookmarkStart w:id="671" w:name="_Toc3301305"/>
      <w:bookmarkStart w:id="672" w:name="_Toc3309543"/>
      <w:bookmarkStart w:id="673" w:name="_Toc4751071"/>
      <w:bookmarkStart w:id="674" w:name="_Toc3301306"/>
      <w:bookmarkStart w:id="675" w:name="_Toc3309544"/>
      <w:bookmarkStart w:id="676" w:name="_Toc4751072"/>
      <w:bookmarkStart w:id="677" w:name="_Toc3301307"/>
      <w:bookmarkStart w:id="678" w:name="_Toc3309545"/>
      <w:bookmarkStart w:id="679" w:name="_Toc4751073"/>
      <w:bookmarkStart w:id="680" w:name="_Toc3301308"/>
      <w:bookmarkStart w:id="681" w:name="_Toc3309546"/>
      <w:bookmarkStart w:id="682" w:name="_Toc4751074"/>
      <w:bookmarkStart w:id="683" w:name="_Toc3301309"/>
      <w:bookmarkStart w:id="684" w:name="_Toc3309547"/>
      <w:bookmarkStart w:id="685" w:name="_Toc4751075"/>
      <w:bookmarkStart w:id="686" w:name="_Toc3301310"/>
      <w:bookmarkStart w:id="687" w:name="_Toc3309548"/>
      <w:bookmarkStart w:id="688" w:name="_Toc4751076"/>
      <w:bookmarkStart w:id="689" w:name="_Toc3301311"/>
      <w:bookmarkStart w:id="690" w:name="_Toc3309549"/>
      <w:bookmarkStart w:id="691" w:name="_Toc4751077"/>
      <w:bookmarkStart w:id="692" w:name="_Toc3301312"/>
      <w:bookmarkStart w:id="693" w:name="_Toc3309550"/>
      <w:bookmarkStart w:id="694" w:name="_Toc4751078"/>
      <w:bookmarkStart w:id="695" w:name="_Toc3301329"/>
      <w:bookmarkStart w:id="696" w:name="_Toc3309567"/>
      <w:bookmarkStart w:id="697" w:name="_Toc4751095"/>
      <w:bookmarkStart w:id="698" w:name="_Toc3301344"/>
      <w:bookmarkStart w:id="699" w:name="_Toc3309582"/>
      <w:bookmarkStart w:id="700" w:name="_Toc4751110"/>
      <w:bookmarkStart w:id="701" w:name="_Toc3301345"/>
      <w:bookmarkStart w:id="702" w:name="_Toc3309583"/>
      <w:bookmarkStart w:id="703" w:name="_Toc4751111"/>
      <w:bookmarkStart w:id="704" w:name="_Toc3301346"/>
      <w:bookmarkStart w:id="705" w:name="_Toc3309584"/>
      <w:bookmarkStart w:id="706" w:name="_Toc4751112"/>
      <w:bookmarkStart w:id="707" w:name="_Toc3301347"/>
      <w:bookmarkStart w:id="708" w:name="_Toc3309585"/>
      <w:bookmarkStart w:id="709" w:name="_Toc4751113"/>
      <w:bookmarkStart w:id="710" w:name="_Toc3301348"/>
      <w:bookmarkStart w:id="711" w:name="_Toc3309586"/>
      <w:bookmarkStart w:id="712" w:name="_Toc4751114"/>
      <w:bookmarkStart w:id="713" w:name="_Toc3301349"/>
      <w:bookmarkStart w:id="714" w:name="_Toc3309587"/>
      <w:bookmarkStart w:id="715" w:name="_Toc4751115"/>
      <w:bookmarkStart w:id="716" w:name="_Toc3301350"/>
      <w:bookmarkStart w:id="717" w:name="_Toc3309588"/>
      <w:bookmarkStart w:id="718" w:name="_Toc4751116"/>
      <w:bookmarkStart w:id="719" w:name="_Toc3301351"/>
      <w:bookmarkStart w:id="720" w:name="_Toc3309589"/>
      <w:bookmarkStart w:id="721" w:name="_Toc4751117"/>
      <w:bookmarkStart w:id="722" w:name="_Toc3301352"/>
      <w:bookmarkStart w:id="723" w:name="_Toc3309590"/>
      <w:bookmarkStart w:id="724" w:name="_Toc4751118"/>
      <w:bookmarkStart w:id="725" w:name="_Toc3301353"/>
      <w:bookmarkStart w:id="726" w:name="_Toc3309591"/>
      <w:bookmarkStart w:id="727" w:name="_Toc4751119"/>
      <w:bookmarkStart w:id="728" w:name="_Toc3301354"/>
      <w:bookmarkStart w:id="729" w:name="_Toc3309592"/>
      <w:bookmarkStart w:id="730" w:name="_Toc4751120"/>
      <w:bookmarkStart w:id="731" w:name="_Toc3301355"/>
      <w:bookmarkStart w:id="732" w:name="_Toc3309593"/>
      <w:bookmarkStart w:id="733" w:name="_Toc4751121"/>
      <w:bookmarkStart w:id="734" w:name="_Toc3301358"/>
      <w:bookmarkStart w:id="735" w:name="_Toc3309596"/>
      <w:bookmarkStart w:id="736" w:name="_Toc4751124"/>
      <w:bookmarkStart w:id="737" w:name="_Toc3301359"/>
      <w:bookmarkStart w:id="738" w:name="_Toc3309597"/>
      <w:bookmarkStart w:id="739" w:name="_Toc4751125"/>
      <w:bookmarkStart w:id="740" w:name="_Toc3301360"/>
      <w:bookmarkStart w:id="741" w:name="_Toc3309598"/>
      <w:bookmarkStart w:id="742" w:name="_Toc4751126"/>
      <w:bookmarkStart w:id="743" w:name="_Toc3301361"/>
      <w:bookmarkStart w:id="744" w:name="_Toc3309599"/>
      <w:bookmarkStart w:id="745" w:name="_Toc4751127"/>
      <w:bookmarkStart w:id="746" w:name="_Toc3301391"/>
      <w:bookmarkStart w:id="747" w:name="_Toc3309629"/>
      <w:bookmarkStart w:id="748" w:name="_Toc4751157"/>
      <w:bookmarkStart w:id="749" w:name="_Toc3301392"/>
      <w:bookmarkStart w:id="750" w:name="_Toc3309630"/>
      <w:bookmarkStart w:id="751" w:name="_Toc4751158"/>
      <w:bookmarkStart w:id="752" w:name="_Toc3301393"/>
      <w:bookmarkStart w:id="753" w:name="_Toc3309631"/>
      <w:bookmarkStart w:id="754" w:name="_Toc4751159"/>
      <w:bookmarkStart w:id="755" w:name="_Toc3301394"/>
      <w:bookmarkStart w:id="756" w:name="_Toc3309632"/>
      <w:bookmarkStart w:id="757" w:name="_Toc4751160"/>
      <w:bookmarkStart w:id="758" w:name="_Toc3301395"/>
      <w:bookmarkStart w:id="759" w:name="_Toc3309633"/>
      <w:bookmarkStart w:id="760" w:name="_Toc4751161"/>
      <w:bookmarkStart w:id="761" w:name="_Toc3301396"/>
      <w:bookmarkStart w:id="762" w:name="_Toc3309634"/>
      <w:bookmarkStart w:id="763" w:name="_Toc4751162"/>
      <w:bookmarkStart w:id="764" w:name="_Toc3301432"/>
      <w:bookmarkStart w:id="765" w:name="_Toc3309670"/>
      <w:bookmarkStart w:id="766" w:name="_Toc4751198"/>
      <w:bookmarkStart w:id="767" w:name="_Toc3301433"/>
      <w:bookmarkStart w:id="768" w:name="_Toc3309671"/>
      <w:bookmarkStart w:id="769" w:name="_Toc4751199"/>
      <w:bookmarkStart w:id="770" w:name="_Toc3301434"/>
      <w:bookmarkStart w:id="771" w:name="_Toc3309672"/>
      <w:bookmarkStart w:id="772" w:name="_Toc4751200"/>
      <w:bookmarkStart w:id="773" w:name="_Toc3301435"/>
      <w:bookmarkStart w:id="774" w:name="_Toc3309673"/>
      <w:bookmarkStart w:id="775" w:name="_Toc4751201"/>
      <w:bookmarkStart w:id="776" w:name="_Toc3301436"/>
      <w:bookmarkStart w:id="777" w:name="_Toc3309674"/>
      <w:bookmarkStart w:id="778" w:name="_Toc4751202"/>
      <w:bookmarkStart w:id="779" w:name="_Toc3301437"/>
      <w:bookmarkStart w:id="780" w:name="_Toc3309675"/>
      <w:bookmarkStart w:id="781" w:name="_Toc4751203"/>
      <w:bookmarkStart w:id="782" w:name="_Toc3301438"/>
      <w:bookmarkStart w:id="783" w:name="_Toc3309676"/>
      <w:bookmarkStart w:id="784" w:name="_Toc4751204"/>
      <w:bookmarkStart w:id="785" w:name="_Toc3301439"/>
      <w:bookmarkStart w:id="786" w:name="_Toc3309677"/>
      <w:bookmarkStart w:id="787" w:name="_Toc4751205"/>
      <w:bookmarkStart w:id="788" w:name="_Toc3301440"/>
      <w:bookmarkStart w:id="789" w:name="_Toc3309678"/>
      <w:bookmarkStart w:id="790" w:name="_Toc4751206"/>
      <w:bookmarkStart w:id="791" w:name="_Toc3301441"/>
      <w:bookmarkStart w:id="792" w:name="_Toc3309679"/>
      <w:bookmarkStart w:id="793" w:name="_Toc4751207"/>
      <w:bookmarkStart w:id="794" w:name="_Toc3301442"/>
      <w:bookmarkStart w:id="795" w:name="_Toc3309680"/>
      <w:bookmarkStart w:id="796" w:name="_Toc4751208"/>
      <w:bookmarkStart w:id="797" w:name="_Toc3301443"/>
      <w:bookmarkStart w:id="798" w:name="_Toc3309681"/>
      <w:bookmarkStart w:id="799" w:name="_Toc4751209"/>
      <w:bookmarkStart w:id="800" w:name="_Toc3301444"/>
      <w:bookmarkStart w:id="801" w:name="_Toc3309682"/>
      <w:bookmarkStart w:id="802" w:name="_Toc4751210"/>
      <w:bookmarkStart w:id="803" w:name="_Toc3301445"/>
      <w:bookmarkStart w:id="804" w:name="_Toc3309683"/>
      <w:bookmarkStart w:id="805" w:name="_Toc4751211"/>
      <w:bookmarkStart w:id="806" w:name="_Toc3301446"/>
      <w:bookmarkStart w:id="807" w:name="_Toc3309684"/>
      <w:bookmarkStart w:id="808" w:name="_Toc4751212"/>
      <w:bookmarkStart w:id="809" w:name="_Toc3301447"/>
      <w:bookmarkStart w:id="810" w:name="_Toc3309685"/>
      <w:bookmarkStart w:id="811" w:name="_Toc4751213"/>
      <w:bookmarkStart w:id="812" w:name="_Toc3301448"/>
      <w:bookmarkStart w:id="813" w:name="_Toc3309686"/>
      <w:bookmarkStart w:id="814" w:name="_Toc4751214"/>
      <w:bookmarkStart w:id="815" w:name="_Toc3301449"/>
      <w:bookmarkStart w:id="816" w:name="_Toc3309687"/>
      <w:bookmarkStart w:id="817" w:name="_Toc4751215"/>
      <w:bookmarkStart w:id="818" w:name="_Toc3301450"/>
      <w:bookmarkStart w:id="819" w:name="_Toc3309688"/>
      <w:bookmarkStart w:id="820" w:name="_Toc4751216"/>
      <w:bookmarkStart w:id="821" w:name="_Toc3301451"/>
      <w:bookmarkStart w:id="822" w:name="_Toc3309689"/>
      <w:bookmarkStart w:id="823" w:name="_Toc4751217"/>
      <w:bookmarkStart w:id="824" w:name="_Toc3301452"/>
      <w:bookmarkStart w:id="825" w:name="_Toc3309690"/>
      <w:bookmarkStart w:id="826" w:name="_Toc4751218"/>
      <w:bookmarkStart w:id="827" w:name="_Toc3301453"/>
      <w:bookmarkStart w:id="828" w:name="_Toc3309691"/>
      <w:bookmarkStart w:id="829" w:name="_Toc4751219"/>
      <w:bookmarkStart w:id="830" w:name="_Toc3301454"/>
      <w:bookmarkStart w:id="831" w:name="_Toc3309692"/>
      <w:bookmarkStart w:id="832" w:name="_Toc4751220"/>
      <w:bookmarkStart w:id="833" w:name="_Toc3301455"/>
      <w:bookmarkStart w:id="834" w:name="_Toc3309693"/>
      <w:bookmarkStart w:id="835" w:name="_Toc4751221"/>
      <w:bookmarkStart w:id="836" w:name="_Toc3301456"/>
      <w:bookmarkStart w:id="837" w:name="_Toc3309694"/>
      <w:bookmarkStart w:id="838" w:name="_Toc4751222"/>
      <w:bookmarkStart w:id="839" w:name="_Toc3301457"/>
      <w:bookmarkStart w:id="840" w:name="_Toc3309695"/>
      <w:bookmarkStart w:id="841" w:name="_Toc4751223"/>
      <w:bookmarkStart w:id="842" w:name="_Toc3301458"/>
      <w:bookmarkStart w:id="843" w:name="_Toc3309696"/>
      <w:bookmarkStart w:id="844" w:name="_Toc4751224"/>
      <w:bookmarkStart w:id="845" w:name="_Toc3301459"/>
      <w:bookmarkStart w:id="846" w:name="_Toc3309697"/>
      <w:bookmarkStart w:id="847" w:name="_Toc4751225"/>
      <w:bookmarkStart w:id="848" w:name="_Toc3301460"/>
      <w:bookmarkStart w:id="849" w:name="_Toc3309698"/>
      <w:bookmarkStart w:id="850" w:name="_Toc4751226"/>
      <w:bookmarkStart w:id="851" w:name="_Toc3301461"/>
      <w:bookmarkStart w:id="852" w:name="_Toc3309699"/>
      <w:bookmarkStart w:id="853" w:name="_Toc4751227"/>
      <w:bookmarkStart w:id="854" w:name="_Toc3301462"/>
      <w:bookmarkStart w:id="855" w:name="_Toc3309700"/>
      <w:bookmarkStart w:id="856" w:name="_Toc4751228"/>
      <w:bookmarkStart w:id="857" w:name="_Toc3301463"/>
      <w:bookmarkStart w:id="858" w:name="_Toc3309701"/>
      <w:bookmarkStart w:id="859" w:name="_Toc4751229"/>
      <w:bookmarkStart w:id="860" w:name="_Toc3301464"/>
      <w:bookmarkStart w:id="861" w:name="_Toc3309702"/>
      <w:bookmarkStart w:id="862" w:name="_Toc4751230"/>
      <w:bookmarkStart w:id="863" w:name="_Toc3301465"/>
      <w:bookmarkStart w:id="864" w:name="_Toc3309703"/>
      <w:bookmarkStart w:id="865" w:name="_Toc4751231"/>
      <w:bookmarkStart w:id="866" w:name="_Toc3301466"/>
      <w:bookmarkStart w:id="867" w:name="_Toc3309704"/>
      <w:bookmarkStart w:id="868" w:name="_Toc4751232"/>
      <w:bookmarkStart w:id="869" w:name="_Toc3301467"/>
      <w:bookmarkStart w:id="870" w:name="_Toc3309705"/>
      <w:bookmarkStart w:id="871" w:name="_Toc4751233"/>
      <w:bookmarkStart w:id="872" w:name="_Toc3301468"/>
      <w:bookmarkStart w:id="873" w:name="_Toc3309706"/>
      <w:bookmarkStart w:id="874" w:name="_Toc4751234"/>
      <w:bookmarkStart w:id="875" w:name="_Toc3301469"/>
      <w:bookmarkStart w:id="876" w:name="_Toc3309707"/>
      <w:bookmarkStart w:id="877" w:name="_Toc4751235"/>
      <w:bookmarkStart w:id="878" w:name="_Toc3301470"/>
      <w:bookmarkStart w:id="879" w:name="_Toc3309708"/>
      <w:bookmarkStart w:id="880" w:name="_Toc4751236"/>
      <w:bookmarkStart w:id="881" w:name="_Toc3301471"/>
      <w:bookmarkStart w:id="882" w:name="_Toc3309709"/>
      <w:bookmarkStart w:id="883" w:name="_Toc4751237"/>
      <w:bookmarkStart w:id="884" w:name="_Toc3301472"/>
      <w:bookmarkStart w:id="885" w:name="_Toc3309710"/>
      <w:bookmarkStart w:id="886" w:name="_Toc4751238"/>
      <w:bookmarkStart w:id="887" w:name="_Toc3301473"/>
      <w:bookmarkStart w:id="888" w:name="_Toc3309711"/>
      <w:bookmarkStart w:id="889" w:name="_Toc4751239"/>
      <w:bookmarkStart w:id="890" w:name="_Toc3301474"/>
      <w:bookmarkStart w:id="891" w:name="_Toc3309712"/>
      <w:bookmarkStart w:id="892" w:name="_Toc4751240"/>
      <w:bookmarkStart w:id="893" w:name="_Toc3301475"/>
      <w:bookmarkStart w:id="894" w:name="_Toc3309713"/>
      <w:bookmarkStart w:id="895" w:name="_Toc4751241"/>
      <w:bookmarkStart w:id="896" w:name="_Toc3301476"/>
      <w:bookmarkStart w:id="897" w:name="_Toc3309714"/>
      <w:bookmarkStart w:id="898" w:name="_Toc4751242"/>
      <w:bookmarkStart w:id="899" w:name="_Toc3301477"/>
      <w:bookmarkStart w:id="900" w:name="_Toc3309715"/>
      <w:bookmarkStart w:id="901" w:name="_Toc4751243"/>
      <w:bookmarkStart w:id="902" w:name="_Toc3301478"/>
      <w:bookmarkStart w:id="903" w:name="_Toc3309716"/>
      <w:bookmarkStart w:id="904" w:name="_Toc4751244"/>
      <w:bookmarkStart w:id="905" w:name="_Toc3301479"/>
      <w:bookmarkStart w:id="906" w:name="_Toc3309717"/>
      <w:bookmarkStart w:id="907" w:name="_Toc4751245"/>
      <w:bookmarkStart w:id="908" w:name="_Toc3301480"/>
      <w:bookmarkStart w:id="909" w:name="_Toc3309718"/>
      <w:bookmarkStart w:id="910" w:name="_Toc4751246"/>
      <w:bookmarkStart w:id="911" w:name="_Toc3301481"/>
      <w:bookmarkStart w:id="912" w:name="_Toc3309719"/>
      <w:bookmarkStart w:id="913" w:name="_Toc4751247"/>
      <w:bookmarkStart w:id="914" w:name="_Toc3301482"/>
      <w:bookmarkStart w:id="915" w:name="_Toc3309720"/>
      <w:bookmarkStart w:id="916" w:name="_Toc4751248"/>
      <w:bookmarkStart w:id="917" w:name="_Toc3301483"/>
      <w:bookmarkStart w:id="918" w:name="_Toc3309721"/>
      <w:bookmarkStart w:id="919" w:name="_Toc4751249"/>
      <w:bookmarkStart w:id="920" w:name="_Toc3301484"/>
      <w:bookmarkStart w:id="921" w:name="_Toc3309722"/>
      <w:bookmarkStart w:id="922" w:name="_Toc4751250"/>
      <w:bookmarkStart w:id="923" w:name="_Toc3301485"/>
      <w:bookmarkStart w:id="924" w:name="_Toc3309723"/>
      <w:bookmarkStart w:id="925" w:name="_Toc4751251"/>
      <w:bookmarkStart w:id="926" w:name="_Toc3301486"/>
      <w:bookmarkStart w:id="927" w:name="_Toc3309724"/>
      <w:bookmarkStart w:id="928" w:name="_Toc4751252"/>
      <w:bookmarkStart w:id="929" w:name="_Toc3301487"/>
      <w:bookmarkStart w:id="930" w:name="_Toc3309725"/>
      <w:bookmarkStart w:id="931" w:name="_Toc4751253"/>
      <w:bookmarkStart w:id="932" w:name="_Toc3301488"/>
      <w:bookmarkStart w:id="933" w:name="_Toc3309726"/>
      <w:bookmarkStart w:id="934" w:name="_Toc4751254"/>
      <w:bookmarkStart w:id="935" w:name="_Toc3301489"/>
      <w:bookmarkStart w:id="936" w:name="_Toc3309727"/>
      <w:bookmarkStart w:id="937" w:name="_Toc4751255"/>
      <w:bookmarkStart w:id="938" w:name="_Toc3301490"/>
      <w:bookmarkStart w:id="939" w:name="_Toc3309728"/>
      <w:bookmarkStart w:id="940" w:name="_Toc4751256"/>
      <w:bookmarkStart w:id="941" w:name="_Toc3301491"/>
      <w:bookmarkStart w:id="942" w:name="_Toc3309729"/>
      <w:bookmarkStart w:id="943" w:name="_Toc4751257"/>
      <w:bookmarkStart w:id="944" w:name="_Toc3301492"/>
      <w:bookmarkStart w:id="945" w:name="_Toc3309730"/>
      <w:bookmarkStart w:id="946" w:name="_Toc4751258"/>
      <w:bookmarkStart w:id="947" w:name="_Toc3301493"/>
      <w:bookmarkStart w:id="948" w:name="_Toc3309731"/>
      <w:bookmarkStart w:id="949" w:name="_Toc4751259"/>
      <w:bookmarkStart w:id="950" w:name="_Toc3301494"/>
      <w:bookmarkStart w:id="951" w:name="_Toc3309732"/>
      <w:bookmarkStart w:id="952" w:name="_Toc4751260"/>
      <w:bookmarkStart w:id="953" w:name="_Toc3301495"/>
      <w:bookmarkStart w:id="954" w:name="_Toc3309733"/>
      <w:bookmarkStart w:id="955" w:name="_Toc4751261"/>
      <w:bookmarkStart w:id="956" w:name="_Toc3301496"/>
      <w:bookmarkStart w:id="957" w:name="_Toc3309734"/>
      <w:bookmarkStart w:id="958" w:name="_Toc4751262"/>
      <w:bookmarkStart w:id="959" w:name="_Toc3301497"/>
      <w:bookmarkStart w:id="960" w:name="_Toc3309735"/>
      <w:bookmarkStart w:id="961" w:name="_Toc4751263"/>
      <w:bookmarkStart w:id="962" w:name="_Toc3301498"/>
      <w:bookmarkStart w:id="963" w:name="_Toc3309736"/>
      <w:bookmarkStart w:id="964" w:name="_Toc4751264"/>
      <w:bookmarkStart w:id="965" w:name="_Toc3301499"/>
      <w:bookmarkStart w:id="966" w:name="_Toc3309737"/>
      <w:bookmarkStart w:id="967" w:name="_Toc4751265"/>
      <w:bookmarkStart w:id="968" w:name="_Toc3301500"/>
      <w:bookmarkStart w:id="969" w:name="_Toc3309738"/>
      <w:bookmarkStart w:id="970" w:name="_Toc4751266"/>
      <w:bookmarkStart w:id="971" w:name="_Toc3301501"/>
      <w:bookmarkStart w:id="972" w:name="_Toc3309739"/>
      <w:bookmarkStart w:id="973" w:name="_Toc4751267"/>
      <w:bookmarkStart w:id="974" w:name="_Toc3301502"/>
      <w:bookmarkStart w:id="975" w:name="_Toc3309740"/>
      <w:bookmarkStart w:id="976" w:name="_Toc4751268"/>
      <w:bookmarkStart w:id="977" w:name="_Toc3301503"/>
      <w:bookmarkStart w:id="978" w:name="_Toc3309741"/>
      <w:bookmarkStart w:id="979" w:name="_Toc4751269"/>
      <w:bookmarkStart w:id="980" w:name="_Toc3301504"/>
      <w:bookmarkStart w:id="981" w:name="_Toc3309742"/>
      <w:bookmarkStart w:id="982" w:name="_Toc4751270"/>
      <w:bookmarkStart w:id="983" w:name="_Toc3301505"/>
      <w:bookmarkStart w:id="984" w:name="_Toc3309743"/>
      <w:bookmarkStart w:id="985" w:name="_Toc4751271"/>
      <w:bookmarkStart w:id="986" w:name="_Toc3301506"/>
      <w:bookmarkStart w:id="987" w:name="_Toc3309744"/>
      <w:bookmarkStart w:id="988" w:name="_Toc4751272"/>
      <w:bookmarkStart w:id="989" w:name="_Toc3301507"/>
      <w:bookmarkStart w:id="990" w:name="_Toc3309745"/>
      <w:bookmarkStart w:id="991" w:name="_Toc4751273"/>
      <w:bookmarkStart w:id="992" w:name="_Toc3301508"/>
      <w:bookmarkStart w:id="993" w:name="_Toc3309746"/>
      <w:bookmarkStart w:id="994" w:name="_Toc4751274"/>
      <w:bookmarkStart w:id="995" w:name="_Toc3301509"/>
      <w:bookmarkStart w:id="996" w:name="_Toc3309747"/>
      <w:bookmarkStart w:id="997" w:name="_Toc4751275"/>
      <w:bookmarkStart w:id="998" w:name="_Toc3301546"/>
      <w:bookmarkStart w:id="999" w:name="_Toc3309784"/>
      <w:bookmarkStart w:id="1000" w:name="_Toc4751312"/>
      <w:bookmarkStart w:id="1001" w:name="_Toc3301547"/>
      <w:bookmarkStart w:id="1002" w:name="_Toc3309785"/>
      <w:bookmarkStart w:id="1003" w:name="_Toc4751313"/>
      <w:bookmarkStart w:id="1004" w:name="_Toc3301548"/>
      <w:bookmarkStart w:id="1005" w:name="_Toc3309786"/>
      <w:bookmarkStart w:id="1006" w:name="_Toc4751314"/>
      <w:bookmarkStart w:id="1007" w:name="_Toc3301549"/>
      <w:bookmarkStart w:id="1008" w:name="_Toc3309787"/>
      <w:bookmarkStart w:id="1009" w:name="_Toc4751315"/>
      <w:bookmarkStart w:id="1010" w:name="_Toc3301550"/>
      <w:bookmarkStart w:id="1011" w:name="_Toc3309788"/>
      <w:bookmarkStart w:id="1012" w:name="_Toc4751316"/>
      <w:bookmarkStart w:id="1013" w:name="_Toc3301551"/>
      <w:bookmarkStart w:id="1014" w:name="_Toc3309789"/>
      <w:bookmarkStart w:id="1015" w:name="_Toc4751317"/>
      <w:bookmarkStart w:id="1016" w:name="_Toc3301552"/>
      <w:bookmarkStart w:id="1017" w:name="_Toc3309790"/>
      <w:bookmarkStart w:id="1018" w:name="_Toc4751318"/>
      <w:bookmarkStart w:id="1019" w:name="_Toc3301553"/>
      <w:bookmarkStart w:id="1020" w:name="_Toc3309791"/>
      <w:bookmarkStart w:id="1021" w:name="_Toc4751319"/>
      <w:bookmarkStart w:id="1022" w:name="_Toc3301554"/>
      <w:bookmarkStart w:id="1023" w:name="_Toc3309792"/>
      <w:bookmarkStart w:id="1024" w:name="_Toc4751320"/>
      <w:bookmarkStart w:id="1025" w:name="_Toc3301600"/>
      <w:bookmarkStart w:id="1026" w:name="_Toc3309838"/>
      <w:bookmarkStart w:id="1027" w:name="_Toc4751366"/>
      <w:bookmarkStart w:id="1028" w:name="_Toc3301601"/>
      <w:bookmarkStart w:id="1029" w:name="_Toc3309839"/>
      <w:bookmarkStart w:id="1030" w:name="_Toc4751367"/>
      <w:bookmarkStart w:id="1031" w:name="_Toc3301602"/>
      <w:bookmarkStart w:id="1032" w:name="_Toc3309840"/>
      <w:bookmarkStart w:id="1033" w:name="_Toc4751368"/>
      <w:bookmarkStart w:id="1034" w:name="_Toc3301603"/>
      <w:bookmarkStart w:id="1035" w:name="_Toc3309841"/>
      <w:bookmarkStart w:id="1036" w:name="_Toc4751369"/>
      <w:bookmarkStart w:id="1037" w:name="_Toc3301604"/>
      <w:bookmarkStart w:id="1038" w:name="_Toc3309842"/>
      <w:bookmarkStart w:id="1039" w:name="_Toc4751370"/>
      <w:bookmarkStart w:id="1040" w:name="_Toc3301605"/>
      <w:bookmarkStart w:id="1041" w:name="_Toc3309843"/>
      <w:bookmarkStart w:id="1042" w:name="_Toc4751371"/>
      <w:bookmarkStart w:id="1043" w:name="_Toc3301606"/>
      <w:bookmarkStart w:id="1044" w:name="_Toc3309844"/>
      <w:bookmarkStart w:id="1045" w:name="_Toc4751372"/>
      <w:bookmarkStart w:id="1046" w:name="_Toc3301613"/>
      <w:bookmarkStart w:id="1047" w:name="_Toc3309851"/>
      <w:bookmarkStart w:id="1048" w:name="_Toc4751379"/>
      <w:bookmarkStart w:id="1049" w:name="_Toc3301614"/>
      <w:bookmarkStart w:id="1050" w:name="_Toc3309852"/>
      <w:bookmarkStart w:id="1051" w:name="_Toc4751380"/>
      <w:bookmarkStart w:id="1052" w:name="_Toc3301615"/>
      <w:bookmarkStart w:id="1053" w:name="_Toc3309853"/>
      <w:bookmarkStart w:id="1054" w:name="_Toc4751381"/>
      <w:bookmarkStart w:id="1055" w:name="_Toc3301616"/>
      <w:bookmarkStart w:id="1056" w:name="_Toc3309854"/>
      <w:bookmarkStart w:id="1057" w:name="_Toc4751382"/>
      <w:bookmarkStart w:id="1058" w:name="_Toc3301617"/>
      <w:bookmarkStart w:id="1059" w:name="_Toc3309855"/>
      <w:bookmarkStart w:id="1060" w:name="_Toc4751383"/>
      <w:bookmarkStart w:id="1061" w:name="_Toc3301618"/>
      <w:bookmarkStart w:id="1062" w:name="_Toc3309856"/>
      <w:bookmarkStart w:id="1063" w:name="_Toc4751384"/>
      <w:bookmarkStart w:id="1064" w:name="_Toc3301619"/>
      <w:bookmarkStart w:id="1065" w:name="_Toc3309857"/>
      <w:bookmarkStart w:id="1066" w:name="_Toc4751385"/>
      <w:bookmarkStart w:id="1067" w:name="_Toc3301620"/>
      <w:bookmarkStart w:id="1068" w:name="_Toc3309858"/>
      <w:bookmarkStart w:id="1069" w:name="_Toc4751386"/>
      <w:bookmarkStart w:id="1070" w:name="_Toc3301621"/>
      <w:bookmarkStart w:id="1071" w:name="_Toc3309859"/>
      <w:bookmarkStart w:id="1072" w:name="_Toc4751387"/>
      <w:bookmarkStart w:id="1073" w:name="_Toc3301622"/>
      <w:bookmarkStart w:id="1074" w:name="_Toc3309860"/>
      <w:bookmarkStart w:id="1075" w:name="_Toc4751388"/>
      <w:bookmarkStart w:id="1076" w:name="_Toc3301623"/>
      <w:bookmarkStart w:id="1077" w:name="_Toc3309861"/>
      <w:bookmarkStart w:id="1078" w:name="_Toc4751389"/>
      <w:bookmarkStart w:id="1079" w:name="_Toc3301624"/>
      <w:bookmarkStart w:id="1080" w:name="_Toc3309862"/>
      <w:bookmarkStart w:id="1081" w:name="_Toc4751390"/>
      <w:bookmarkStart w:id="1082" w:name="_Toc3301625"/>
      <w:bookmarkStart w:id="1083" w:name="_Toc3309863"/>
      <w:bookmarkStart w:id="1084" w:name="_Toc4751391"/>
      <w:bookmarkStart w:id="1085" w:name="_Toc3301628"/>
      <w:bookmarkStart w:id="1086" w:name="_Toc3309866"/>
      <w:bookmarkStart w:id="1087" w:name="_Toc4751394"/>
      <w:bookmarkStart w:id="1088" w:name="_Toc3301629"/>
      <w:bookmarkStart w:id="1089" w:name="_Toc3309867"/>
      <w:bookmarkStart w:id="1090" w:name="_Toc4751395"/>
      <w:bookmarkStart w:id="1091" w:name="_Toc3301630"/>
      <w:bookmarkStart w:id="1092" w:name="_Toc3309868"/>
      <w:bookmarkStart w:id="1093" w:name="_Toc4751396"/>
      <w:bookmarkStart w:id="1094" w:name="_Toc3301631"/>
      <w:bookmarkStart w:id="1095" w:name="_Toc3309869"/>
      <w:bookmarkStart w:id="1096" w:name="_Toc4751397"/>
      <w:bookmarkStart w:id="1097" w:name="_Toc3301661"/>
      <w:bookmarkStart w:id="1098" w:name="_Toc3309899"/>
      <w:bookmarkStart w:id="1099" w:name="_Toc4751427"/>
      <w:bookmarkStart w:id="1100" w:name="_Toc3301662"/>
      <w:bookmarkStart w:id="1101" w:name="_Toc3309900"/>
      <w:bookmarkStart w:id="1102" w:name="_Toc4751428"/>
      <w:bookmarkStart w:id="1103" w:name="_Toc3301663"/>
      <w:bookmarkStart w:id="1104" w:name="_Toc3309901"/>
      <w:bookmarkStart w:id="1105" w:name="_Toc4751429"/>
      <w:bookmarkStart w:id="1106" w:name="_Toc3301664"/>
      <w:bookmarkStart w:id="1107" w:name="_Toc3309902"/>
      <w:bookmarkStart w:id="1108" w:name="_Toc4751430"/>
      <w:bookmarkStart w:id="1109" w:name="_Toc3301665"/>
      <w:bookmarkStart w:id="1110" w:name="_Toc3309903"/>
      <w:bookmarkStart w:id="1111" w:name="_Toc4751431"/>
      <w:bookmarkStart w:id="1112" w:name="_Toc3301666"/>
      <w:bookmarkStart w:id="1113" w:name="_Toc3309904"/>
      <w:bookmarkStart w:id="1114" w:name="_Toc4751432"/>
      <w:bookmarkStart w:id="1115" w:name="_Toc3301702"/>
      <w:bookmarkStart w:id="1116" w:name="_Toc3309940"/>
      <w:bookmarkStart w:id="1117" w:name="_Toc4751468"/>
      <w:bookmarkStart w:id="1118" w:name="_Toc3301703"/>
      <w:bookmarkStart w:id="1119" w:name="_Toc3309941"/>
      <w:bookmarkStart w:id="1120" w:name="_Toc4751469"/>
      <w:bookmarkStart w:id="1121" w:name="_Toc3301704"/>
      <w:bookmarkStart w:id="1122" w:name="_Toc3309942"/>
      <w:bookmarkStart w:id="1123" w:name="_Toc4751470"/>
      <w:bookmarkStart w:id="1124" w:name="_Toc3301705"/>
      <w:bookmarkStart w:id="1125" w:name="_Toc3309943"/>
      <w:bookmarkStart w:id="1126" w:name="_Toc4751471"/>
      <w:bookmarkStart w:id="1127" w:name="_Toc3301706"/>
      <w:bookmarkStart w:id="1128" w:name="_Toc3309944"/>
      <w:bookmarkStart w:id="1129" w:name="_Toc4751472"/>
      <w:bookmarkStart w:id="1130" w:name="_Toc3301707"/>
      <w:bookmarkStart w:id="1131" w:name="_Toc3309945"/>
      <w:bookmarkStart w:id="1132" w:name="_Toc4751473"/>
      <w:bookmarkStart w:id="1133" w:name="_Toc3301708"/>
      <w:bookmarkStart w:id="1134" w:name="_Toc3309946"/>
      <w:bookmarkStart w:id="1135" w:name="_Toc4751474"/>
      <w:bookmarkStart w:id="1136" w:name="_Toc3301709"/>
      <w:bookmarkStart w:id="1137" w:name="_Toc3309947"/>
      <w:bookmarkStart w:id="1138" w:name="_Toc4751475"/>
      <w:bookmarkStart w:id="1139" w:name="_Toc3301710"/>
      <w:bookmarkStart w:id="1140" w:name="_Toc3309948"/>
      <w:bookmarkStart w:id="1141" w:name="_Toc4751476"/>
      <w:bookmarkStart w:id="1142" w:name="_Toc3301711"/>
      <w:bookmarkStart w:id="1143" w:name="_Toc3309949"/>
      <w:bookmarkStart w:id="1144" w:name="_Toc4751477"/>
      <w:bookmarkStart w:id="1145" w:name="_Toc3301712"/>
      <w:bookmarkStart w:id="1146" w:name="_Toc3309950"/>
      <w:bookmarkStart w:id="1147" w:name="_Toc4751478"/>
      <w:bookmarkStart w:id="1148" w:name="_Toc3301713"/>
      <w:bookmarkStart w:id="1149" w:name="_Toc3309951"/>
      <w:bookmarkStart w:id="1150" w:name="_Toc4751479"/>
      <w:bookmarkStart w:id="1151" w:name="_Toc3301714"/>
      <w:bookmarkStart w:id="1152" w:name="_Toc3309952"/>
      <w:bookmarkStart w:id="1153" w:name="_Toc4751480"/>
      <w:bookmarkStart w:id="1154" w:name="_Toc3301715"/>
      <w:bookmarkStart w:id="1155" w:name="_Toc3309953"/>
      <w:bookmarkStart w:id="1156" w:name="_Toc4751481"/>
      <w:bookmarkStart w:id="1157" w:name="_Toc3301716"/>
      <w:bookmarkStart w:id="1158" w:name="_Toc3309954"/>
      <w:bookmarkStart w:id="1159" w:name="_Toc4751482"/>
      <w:bookmarkStart w:id="1160" w:name="_Toc3301717"/>
      <w:bookmarkStart w:id="1161" w:name="_Toc3309955"/>
      <w:bookmarkStart w:id="1162" w:name="_Toc4751483"/>
      <w:bookmarkStart w:id="1163" w:name="_Toc3301718"/>
      <w:bookmarkStart w:id="1164" w:name="_Toc3309956"/>
      <w:bookmarkStart w:id="1165" w:name="_Toc4751484"/>
      <w:bookmarkStart w:id="1166" w:name="_Toc3301719"/>
      <w:bookmarkStart w:id="1167" w:name="_Toc3309957"/>
      <w:bookmarkStart w:id="1168" w:name="_Toc4751485"/>
      <w:bookmarkStart w:id="1169" w:name="_Toc3301720"/>
      <w:bookmarkStart w:id="1170" w:name="_Toc3309958"/>
      <w:bookmarkStart w:id="1171" w:name="_Toc4751486"/>
      <w:bookmarkStart w:id="1172" w:name="_Toc3301721"/>
      <w:bookmarkStart w:id="1173" w:name="_Toc3309959"/>
      <w:bookmarkStart w:id="1174" w:name="_Toc4751487"/>
      <w:bookmarkStart w:id="1175" w:name="_Toc3301722"/>
      <w:bookmarkStart w:id="1176" w:name="_Toc3309960"/>
      <w:bookmarkStart w:id="1177" w:name="_Toc4751488"/>
      <w:bookmarkStart w:id="1178" w:name="_Toc3301723"/>
      <w:bookmarkStart w:id="1179" w:name="_Toc3309961"/>
      <w:bookmarkStart w:id="1180" w:name="_Toc4751489"/>
      <w:bookmarkStart w:id="1181" w:name="_Toc3301724"/>
      <w:bookmarkStart w:id="1182" w:name="_Toc3309962"/>
      <w:bookmarkStart w:id="1183" w:name="_Toc4751490"/>
      <w:bookmarkStart w:id="1184" w:name="_Toc3301725"/>
      <w:bookmarkStart w:id="1185" w:name="_Toc3309963"/>
      <w:bookmarkStart w:id="1186" w:name="_Toc4751491"/>
      <w:bookmarkStart w:id="1187" w:name="_Toc3301726"/>
      <w:bookmarkStart w:id="1188" w:name="_Toc3309964"/>
      <w:bookmarkStart w:id="1189" w:name="_Toc4751492"/>
      <w:bookmarkStart w:id="1190" w:name="_Toc3301727"/>
      <w:bookmarkStart w:id="1191" w:name="_Toc3309965"/>
      <w:bookmarkStart w:id="1192" w:name="_Toc4751493"/>
      <w:bookmarkStart w:id="1193" w:name="_Toc3301728"/>
      <w:bookmarkStart w:id="1194" w:name="_Toc3309966"/>
      <w:bookmarkStart w:id="1195" w:name="_Toc4751494"/>
      <w:bookmarkStart w:id="1196" w:name="_Toc3301729"/>
      <w:bookmarkStart w:id="1197" w:name="_Toc3309967"/>
      <w:bookmarkStart w:id="1198" w:name="_Toc4751495"/>
      <w:bookmarkStart w:id="1199" w:name="_Toc3301730"/>
      <w:bookmarkStart w:id="1200" w:name="_Toc3309968"/>
      <w:bookmarkStart w:id="1201" w:name="_Toc4751496"/>
      <w:bookmarkStart w:id="1202" w:name="_Toc3301731"/>
      <w:bookmarkStart w:id="1203" w:name="_Toc3309969"/>
      <w:bookmarkStart w:id="1204" w:name="_Toc4751497"/>
      <w:bookmarkStart w:id="1205" w:name="_Toc3301732"/>
      <w:bookmarkStart w:id="1206" w:name="_Toc3309970"/>
      <w:bookmarkStart w:id="1207" w:name="_Toc4751498"/>
      <w:bookmarkStart w:id="1208" w:name="_Toc3301769"/>
      <w:bookmarkStart w:id="1209" w:name="_Toc3310007"/>
      <w:bookmarkStart w:id="1210" w:name="_Toc4751535"/>
      <w:bookmarkStart w:id="1211" w:name="_Toc3301770"/>
      <w:bookmarkStart w:id="1212" w:name="_Toc3310008"/>
      <w:bookmarkStart w:id="1213" w:name="_Toc4751536"/>
      <w:bookmarkStart w:id="1214" w:name="_Toc3301771"/>
      <w:bookmarkStart w:id="1215" w:name="_Toc3310009"/>
      <w:bookmarkStart w:id="1216" w:name="_Toc4751537"/>
      <w:bookmarkStart w:id="1217" w:name="_Toc3301772"/>
      <w:bookmarkStart w:id="1218" w:name="_Toc3310010"/>
      <w:bookmarkStart w:id="1219" w:name="_Toc4751538"/>
      <w:bookmarkStart w:id="1220" w:name="_Toc3301774"/>
      <w:bookmarkStart w:id="1221" w:name="_Toc3310012"/>
      <w:bookmarkStart w:id="1222" w:name="_Toc4751540"/>
      <w:bookmarkStart w:id="1223" w:name="_Toc3301775"/>
      <w:bookmarkStart w:id="1224" w:name="_Toc3310013"/>
      <w:bookmarkStart w:id="1225" w:name="_Toc4751541"/>
      <w:bookmarkStart w:id="1226" w:name="_Toc3301776"/>
      <w:bookmarkStart w:id="1227" w:name="_Toc3310014"/>
      <w:bookmarkStart w:id="1228" w:name="_Toc4751542"/>
      <w:bookmarkStart w:id="1229" w:name="_Toc3301777"/>
      <w:bookmarkStart w:id="1230" w:name="_Toc3310015"/>
      <w:bookmarkStart w:id="1231" w:name="_Toc4751543"/>
      <w:bookmarkStart w:id="1232" w:name="_Toc3301778"/>
      <w:bookmarkStart w:id="1233" w:name="_Toc3310016"/>
      <w:bookmarkStart w:id="1234" w:name="_Toc4751544"/>
      <w:bookmarkStart w:id="1235" w:name="_Toc3301779"/>
      <w:bookmarkStart w:id="1236" w:name="_Toc3310017"/>
      <w:bookmarkStart w:id="1237" w:name="_Toc4751545"/>
      <w:bookmarkStart w:id="1238" w:name="_Toc3301780"/>
      <w:bookmarkStart w:id="1239" w:name="_Toc3310018"/>
      <w:bookmarkStart w:id="1240" w:name="_Toc4751546"/>
      <w:bookmarkStart w:id="1241" w:name="_Toc3301781"/>
      <w:bookmarkStart w:id="1242" w:name="_Toc3310019"/>
      <w:bookmarkStart w:id="1243" w:name="_Toc4751547"/>
      <w:bookmarkStart w:id="1244" w:name="_Toc3301782"/>
      <w:bookmarkStart w:id="1245" w:name="_Toc3310020"/>
      <w:bookmarkStart w:id="1246" w:name="_Toc4751548"/>
      <w:bookmarkStart w:id="1247" w:name="_Toc3301783"/>
      <w:bookmarkStart w:id="1248" w:name="_Toc3310021"/>
      <w:bookmarkStart w:id="1249" w:name="_Toc4751549"/>
      <w:bookmarkStart w:id="1250" w:name="_Toc3301784"/>
      <w:bookmarkStart w:id="1251" w:name="_Toc3310022"/>
      <w:bookmarkStart w:id="1252" w:name="_Toc4751550"/>
      <w:bookmarkStart w:id="1253" w:name="_Toc3301785"/>
      <w:bookmarkStart w:id="1254" w:name="_Toc3310023"/>
      <w:bookmarkStart w:id="1255" w:name="_Toc4751551"/>
      <w:bookmarkStart w:id="1256" w:name="_Toc3301786"/>
      <w:bookmarkStart w:id="1257" w:name="_Toc3310024"/>
      <w:bookmarkStart w:id="1258" w:name="_Toc4751552"/>
      <w:bookmarkStart w:id="1259" w:name="_Toc3301787"/>
      <w:bookmarkStart w:id="1260" w:name="_Toc3310025"/>
      <w:bookmarkStart w:id="1261" w:name="_Toc4751553"/>
      <w:bookmarkStart w:id="1262" w:name="_Toc3301788"/>
      <w:bookmarkStart w:id="1263" w:name="_Toc3310026"/>
      <w:bookmarkStart w:id="1264" w:name="_Toc4751554"/>
      <w:bookmarkStart w:id="1265" w:name="_Toc3301789"/>
      <w:bookmarkStart w:id="1266" w:name="_Toc3310027"/>
      <w:bookmarkStart w:id="1267" w:name="_Toc4751555"/>
      <w:bookmarkStart w:id="1268" w:name="_Toc3301790"/>
      <w:bookmarkStart w:id="1269" w:name="_Toc3310028"/>
      <w:bookmarkStart w:id="1270" w:name="_Toc4751556"/>
      <w:bookmarkStart w:id="1271" w:name="_Toc3301791"/>
      <w:bookmarkStart w:id="1272" w:name="_Toc3310029"/>
      <w:bookmarkStart w:id="1273" w:name="_Toc4751557"/>
      <w:bookmarkStart w:id="1274" w:name="_Toc3301792"/>
      <w:bookmarkStart w:id="1275" w:name="_Toc3310030"/>
      <w:bookmarkStart w:id="1276" w:name="_Toc4751558"/>
      <w:bookmarkStart w:id="1277" w:name="_Toc3301793"/>
      <w:bookmarkStart w:id="1278" w:name="_Toc3310031"/>
      <w:bookmarkStart w:id="1279" w:name="_Toc4751559"/>
      <w:bookmarkStart w:id="1280" w:name="_Toc3301794"/>
      <w:bookmarkStart w:id="1281" w:name="_Toc3310032"/>
      <w:bookmarkStart w:id="1282" w:name="_Toc4751560"/>
      <w:bookmarkStart w:id="1283" w:name="_Toc3301797"/>
      <w:bookmarkStart w:id="1284" w:name="_Toc3310035"/>
      <w:bookmarkStart w:id="1285" w:name="_Toc4751563"/>
      <w:bookmarkStart w:id="1286" w:name="_Toc3301798"/>
      <w:bookmarkStart w:id="1287" w:name="_Toc3310036"/>
      <w:bookmarkStart w:id="1288" w:name="_Toc4751564"/>
      <w:bookmarkStart w:id="1289" w:name="_Toc3301799"/>
      <w:bookmarkStart w:id="1290" w:name="_Toc3310037"/>
      <w:bookmarkStart w:id="1291" w:name="_Toc4751565"/>
      <w:bookmarkStart w:id="1292" w:name="_Toc3301800"/>
      <w:bookmarkStart w:id="1293" w:name="_Toc3310038"/>
      <w:bookmarkStart w:id="1294" w:name="_Toc4751566"/>
      <w:bookmarkStart w:id="1295" w:name="_Toc3301807"/>
      <w:bookmarkStart w:id="1296" w:name="_Toc3310045"/>
      <w:bookmarkStart w:id="1297" w:name="_Toc4751573"/>
      <w:bookmarkStart w:id="1298" w:name="_Toc3301877"/>
      <w:bookmarkStart w:id="1299" w:name="_Toc3310115"/>
      <w:bookmarkStart w:id="1300" w:name="_Toc4751643"/>
      <w:bookmarkStart w:id="1301" w:name="_Toc3301878"/>
      <w:bookmarkStart w:id="1302" w:name="_Toc3310116"/>
      <w:bookmarkStart w:id="1303" w:name="_Toc4751644"/>
      <w:bookmarkStart w:id="1304" w:name="_Toc3301879"/>
      <w:bookmarkStart w:id="1305" w:name="_Toc3310117"/>
      <w:bookmarkStart w:id="1306" w:name="_Toc4751645"/>
      <w:bookmarkStart w:id="1307" w:name="_Toc3301880"/>
      <w:bookmarkStart w:id="1308" w:name="_Toc3310118"/>
      <w:bookmarkStart w:id="1309" w:name="_Toc4751646"/>
      <w:bookmarkStart w:id="1310" w:name="_Toc3301881"/>
      <w:bookmarkStart w:id="1311" w:name="_Toc3310119"/>
      <w:bookmarkStart w:id="1312" w:name="_Toc4751647"/>
      <w:bookmarkStart w:id="1313" w:name="_Toc3301882"/>
      <w:bookmarkStart w:id="1314" w:name="_Toc3310120"/>
      <w:bookmarkStart w:id="1315" w:name="_Toc4751648"/>
      <w:bookmarkStart w:id="1316" w:name="_Toc3301883"/>
      <w:bookmarkStart w:id="1317" w:name="_Toc3310121"/>
      <w:bookmarkStart w:id="1318" w:name="_Toc4751649"/>
      <w:bookmarkStart w:id="1319" w:name="_Toc3301884"/>
      <w:bookmarkStart w:id="1320" w:name="_Toc3310122"/>
      <w:bookmarkStart w:id="1321" w:name="_Toc4751650"/>
      <w:bookmarkStart w:id="1322" w:name="_Toc3301914"/>
      <w:bookmarkStart w:id="1323" w:name="_Toc3310152"/>
      <w:bookmarkStart w:id="1324" w:name="_Toc4751680"/>
      <w:bookmarkStart w:id="1325" w:name="_Toc3301915"/>
      <w:bookmarkStart w:id="1326" w:name="_Toc3310153"/>
      <w:bookmarkStart w:id="1327" w:name="_Toc4751681"/>
      <w:bookmarkStart w:id="1328" w:name="_Toc3301916"/>
      <w:bookmarkStart w:id="1329" w:name="_Toc3310154"/>
      <w:bookmarkStart w:id="1330" w:name="_Toc4751682"/>
      <w:bookmarkStart w:id="1331" w:name="_Toc3301917"/>
      <w:bookmarkStart w:id="1332" w:name="_Toc3310155"/>
      <w:bookmarkStart w:id="1333" w:name="_Toc4751683"/>
      <w:bookmarkStart w:id="1334" w:name="_Toc3301918"/>
      <w:bookmarkStart w:id="1335" w:name="_Toc3310156"/>
      <w:bookmarkStart w:id="1336" w:name="_Toc4751684"/>
      <w:bookmarkStart w:id="1337" w:name="_Toc3301919"/>
      <w:bookmarkStart w:id="1338" w:name="_Toc3310157"/>
      <w:bookmarkStart w:id="1339" w:name="_Toc4751685"/>
      <w:bookmarkStart w:id="1340" w:name="_Toc3301920"/>
      <w:bookmarkStart w:id="1341" w:name="_Toc3310158"/>
      <w:bookmarkStart w:id="1342" w:name="_Toc4751686"/>
      <w:bookmarkStart w:id="1343" w:name="_Toc3301921"/>
      <w:bookmarkStart w:id="1344" w:name="_Toc3310159"/>
      <w:bookmarkStart w:id="1345" w:name="_Toc4751687"/>
      <w:bookmarkStart w:id="1346" w:name="_Toc3301922"/>
      <w:bookmarkStart w:id="1347" w:name="_Toc3310160"/>
      <w:bookmarkStart w:id="1348" w:name="_Toc4751688"/>
      <w:bookmarkStart w:id="1349" w:name="_Toc3301923"/>
      <w:bookmarkStart w:id="1350" w:name="_Toc3310161"/>
      <w:bookmarkStart w:id="1351" w:name="_Toc4751689"/>
      <w:bookmarkStart w:id="1352" w:name="_Toc3301924"/>
      <w:bookmarkStart w:id="1353" w:name="_Toc3310162"/>
      <w:bookmarkStart w:id="1354" w:name="_Toc4751690"/>
      <w:bookmarkStart w:id="1355" w:name="_Toc3301925"/>
      <w:bookmarkStart w:id="1356" w:name="_Toc3310163"/>
      <w:bookmarkStart w:id="1357" w:name="_Toc4751691"/>
      <w:bookmarkStart w:id="1358" w:name="_Toc3301926"/>
      <w:bookmarkStart w:id="1359" w:name="_Toc3310164"/>
      <w:bookmarkStart w:id="1360" w:name="_Toc4751692"/>
      <w:bookmarkStart w:id="1361" w:name="_Toc3301927"/>
      <w:bookmarkStart w:id="1362" w:name="_Toc3310165"/>
      <w:bookmarkStart w:id="1363" w:name="_Toc4751693"/>
      <w:bookmarkStart w:id="1364" w:name="_Toc3301928"/>
      <w:bookmarkStart w:id="1365" w:name="_Toc3310166"/>
      <w:bookmarkStart w:id="1366" w:name="_Toc4751694"/>
      <w:bookmarkStart w:id="1367" w:name="_Toc3301929"/>
      <w:bookmarkStart w:id="1368" w:name="_Toc3310167"/>
      <w:bookmarkStart w:id="1369" w:name="_Toc4751695"/>
      <w:bookmarkStart w:id="1370" w:name="_Toc3301930"/>
      <w:bookmarkStart w:id="1371" w:name="_Toc3310168"/>
      <w:bookmarkStart w:id="1372" w:name="_Toc4751696"/>
      <w:bookmarkStart w:id="1373" w:name="_Toc3301931"/>
      <w:bookmarkStart w:id="1374" w:name="_Toc3310169"/>
      <w:bookmarkStart w:id="1375" w:name="_Toc4751697"/>
      <w:bookmarkStart w:id="1376" w:name="_Toc3301932"/>
      <w:bookmarkStart w:id="1377" w:name="_Toc3310170"/>
      <w:bookmarkStart w:id="1378" w:name="_Toc4751698"/>
      <w:bookmarkStart w:id="1379" w:name="_Toc3301933"/>
      <w:bookmarkStart w:id="1380" w:name="_Toc3310171"/>
      <w:bookmarkStart w:id="1381" w:name="_Toc4751699"/>
      <w:bookmarkStart w:id="1382" w:name="_Toc3301934"/>
      <w:bookmarkStart w:id="1383" w:name="_Toc3310172"/>
      <w:bookmarkStart w:id="1384" w:name="_Toc4751700"/>
      <w:bookmarkStart w:id="1385" w:name="_Toc3301935"/>
      <w:bookmarkStart w:id="1386" w:name="_Toc3310173"/>
      <w:bookmarkStart w:id="1387" w:name="_Toc4751701"/>
      <w:bookmarkStart w:id="1388" w:name="_Toc3301936"/>
      <w:bookmarkStart w:id="1389" w:name="_Toc3310174"/>
      <w:bookmarkStart w:id="1390" w:name="_Toc4751702"/>
      <w:bookmarkStart w:id="1391" w:name="_Toc3301937"/>
      <w:bookmarkStart w:id="1392" w:name="_Toc3310175"/>
      <w:bookmarkStart w:id="1393" w:name="_Toc4751703"/>
      <w:bookmarkStart w:id="1394" w:name="_Toc3301938"/>
      <w:bookmarkStart w:id="1395" w:name="_Toc3310176"/>
      <w:bookmarkStart w:id="1396" w:name="_Toc4751704"/>
      <w:bookmarkStart w:id="1397" w:name="_Toc3301939"/>
      <w:bookmarkStart w:id="1398" w:name="_Toc3310177"/>
      <w:bookmarkStart w:id="1399" w:name="_Toc4751705"/>
      <w:bookmarkStart w:id="1400" w:name="_Toc3301940"/>
      <w:bookmarkStart w:id="1401" w:name="_Toc3310178"/>
      <w:bookmarkStart w:id="1402" w:name="_Toc4751706"/>
      <w:bookmarkStart w:id="1403" w:name="_Toc3301941"/>
      <w:bookmarkStart w:id="1404" w:name="_Toc3310179"/>
      <w:bookmarkStart w:id="1405" w:name="_Toc4751707"/>
      <w:bookmarkStart w:id="1406" w:name="_Toc3301942"/>
      <w:bookmarkStart w:id="1407" w:name="_Toc3310180"/>
      <w:bookmarkStart w:id="1408" w:name="_Toc4751708"/>
      <w:bookmarkStart w:id="1409" w:name="_Toc3301943"/>
      <w:bookmarkStart w:id="1410" w:name="_Toc3310181"/>
      <w:bookmarkStart w:id="1411" w:name="_Toc4751709"/>
      <w:bookmarkStart w:id="1412" w:name="_Toc3301944"/>
      <w:bookmarkStart w:id="1413" w:name="_Toc3310182"/>
      <w:bookmarkStart w:id="1414" w:name="_Toc4751710"/>
      <w:bookmarkStart w:id="1415" w:name="_Toc3301945"/>
      <w:bookmarkStart w:id="1416" w:name="_Toc3310183"/>
      <w:bookmarkStart w:id="1417" w:name="_Toc4751711"/>
      <w:bookmarkStart w:id="1418" w:name="_Toc3301946"/>
      <w:bookmarkStart w:id="1419" w:name="_Toc3310184"/>
      <w:bookmarkStart w:id="1420" w:name="_Toc4751712"/>
      <w:bookmarkStart w:id="1421" w:name="_Toc3301947"/>
      <w:bookmarkStart w:id="1422" w:name="_Toc3310185"/>
      <w:bookmarkStart w:id="1423" w:name="_Toc4751713"/>
      <w:bookmarkStart w:id="1424" w:name="_Toc3301948"/>
      <w:bookmarkStart w:id="1425" w:name="_Toc3310186"/>
      <w:bookmarkStart w:id="1426" w:name="_Toc4751714"/>
      <w:bookmarkStart w:id="1427" w:name="_Toc3301949"/>
      <w:bookmarkStart w:id="1428" w:name="_Toc3310187"/>
      <w:bookmarkStart w:id="1429" w:name="_Toc4751715"/>
      <w:bookmarkStart w:id="1430" w:name="_Toc3301950"/>
      <w:bookmarkStart w:id="1431" w:name="_Toc3310188"/>
      <w:bookmarkStart w:id="1432" w:name="_Toc4751716"/>
      <w:bookmarkStart w:id="1433" w:name="_Toc3301951"/>
      <w:bookmarkStart w:id="1434" w:name="_Toc3310189"/>
      <w:bookmarkStart w:id="1435" w:name="_Toc4751717"/>
      <w:bookmarkStart w:id="1436" w:name="_Toc3301952"/>
      <w:bookmarkStart w:id="1437" w:name="_Toc3310190"/>
      <w:bookmarkStart w:id="1438" w:name="_Toc4751718"/>
      <w:bookmarkStart w:id="1439" w:name="_Toc3301953"/>
      <w:bookmarkStart w:id="1440" w:name="_Toc3310191"/>
      <w:bookmarkStart w:id="1441" w:name="_Toc4751719"/>
      <w:bookmarkStart w:id="1442" w:name="_Toc3301954"/>
      <w:bookmarkStart w:id="1443" w:name="_Toc3310192"/>
      <w:bookmarkStart w:id="1444" w:name="_Toc4751720"/>
      <w:bookmarkStart w:id="1445" w:name="_Toc3301955"/>
      <w:bookmarkStart w:id="1446" w:name="_Toc3310193"/>
      <w:bookmarkStart w:id="1447" w:name="_Toc4751721"/>
      <w:bookmarkStart w:id="1448" w:name="_Toc3301956"/>
      <w:bookmarkStart w:id="1449" w:name="_Toc3310194"/>
      <w:bookmarkStart w:id="1450" w:name="_Toc4751722"/>
      <w:bookmarkStart w:id="1451" w:name="_Toc3301961"/>
      <w:bookmarkStart w:id="1452" w:name="_Toc3310199"/>
      <w:bookmarkStart w:id="1453" w:name="_Toc4751727"/>
      <w:bookmarkStart w:id="1454" w:name="_Toc3302009"/>
      <w:bookmarkStart w:id="1455" w:name="_Toc3310247"/>
      <w:bookmarkStart w:id="1456" w:name="_Toc4751775"/>
      <w:bookmarkStart w:id="1457" w:name="_Toc3302010"/>
      <w:bookmarkStart w:id="1458" w:name="_Toc3310248"/>
      <w:bookmarkStart w:id="1459" w:name="_Toc4751776"/>
      <w:bookmarkStart w:id="1460" w:name="_Toc3302011"/>
      <w:bookmarkStart w:id="1461" w:name="_Toc3310249"/>
      <w:bookmarkStart w:id="1462" w:name="_Toc4751777"/>
      <w:bookmarkStart w:id="1463" w:name="_Toc3302012"/>
      <w:bookmarkStart w:id="1464" w:name="_Toc3310250"/>
      <w:bookmarkStart w:id="1465" w:name="_Toc4751778"/>
      <w:bookmarkStart w:id="1466" w:name="_Toc3302013"/>
      <w:bookmarkStart w:id="1467" w:name="_Toc3310251"/>
      <w:bookmarkStart w:id="1468" w:name="_Toc4751779"/>
      <w:bookmarkStart w:id="1469" w:name="_Toc3302014"/>
      <w:bookmarkStart w:id="1470" w:name="_Toc3310252"/>
      <w:bookmarkStart w:id="1471" w:name="_Toc4751780"/>
      <w:bookmarkStart w:id="1472" w:name="_Toc3302015"/>
      <w:bookmarkStart w:id="1473" w:name="_Toc3310253"/>
      <w:bookmarkStart w:id="1474" w:name="_Toc4751781"/>
      <w:bookmarkStart w:id="1475" w:name="_Toc3302023"/>
      <w:bookmarkStart w:id="1476" w:name="_Toc3310261"/>
      <w:bookmarkStart w:id="1477" w:name="_Toc4751789"/>
      <w:bookmarkStart w:id="1478" w:name="_Toc3302129"/>
      <w:bookmarkStart w:id="1479" w:name="_Toc3310367"/>
      <w:bookmarkStart w:id="1480" w:name="_Toc4751895"/>
      <w:bookmarkStart w:id="1481" w:name="_Toc3302130"/>
      <w:bookmarkStart w:id="1482" w:name="_Toc3310368"/>
      <w:bookmarkStart w:id="1483" w:name="_Toc4751896"/>
      <w:bookmarkStart w:id="1484" w:name="_Toc3302131"/>
      <w:bookmarkStart w:id="1485" w:name="_Toc3310369"/>
      <w:bookmarkStart w:id="1486" w:name="_Toc4751897"/>
      <w:bookmarkStart w:id="1487" w:name="_Toc3302132"/>
      <w:bookmarkStart w:id="1488" w:name="_Toc3310370"/>
      <w:bookmarkStart w:id="1489" w:name="_Toc4751898"/>
      <w:bookmarkStart w:id="1490" w:name="_Toc3302133"/>
      <w:bookmarkStart w:id="1491" w:name="_Toc3310371"/>
      <w:bookmarkStart w:id="1492" w:name="_Toc4751899"/>
      <w:bookmarkStart w:id="1493" w:name="_Toc3302134"/>
      <w:bookmarkStart w:id="1494" w:name="_Toc3310372"/>
      <w:bookmarkStart w:id="1495" w:name="_Toc4751900"/>
      <w:bookmarkStart w:id="1496" w:name="_Toc3302135"/>
      <w:bookmarkStart w:id="1497" w:name="_Toc3310373"/>
      <w:bookmarkStart w:id="1498" w:name="_Toc4751901"/>
      <w:bookmarkStart w:id="1499" w:name="_Toc3302136"/>
      <w:bookmarkStart w:id="1500" w:name="_Toc3310374"/>
      <w:bookmarkStart w:id="1501" w:name="_Toc4751902"/>
      <w:bookmarkStart w:id="1502" w:name="_Toc3302146"/>
      <w:bookmarkStart w:id="1503" w:name="_Toc3310384"/>
      <w:bookmarkStart w:id="1504" w:name="_Toc4751912"/>
      <w:bookmarkStart w:id="1505" w:name="_Toc3302147"/>
      <w:bookmarkStart w:id="1506" w:name="_Toc3310385"/>
      <w:bookmarkStart w:id="1507" w:name="_Toc4751913"/>
      <w:bookmarkStart w:id="1508" w:name="_Toc3302148"/>
      <w:bookmarkStart w:id="1509" w:name="_Toc3310386"/>
      <w:bookmarkStart w:id="1510" w:name="_Toc4751914"/>
      <w:bookmarkStart w:id="1511" w:name="_Toc3302149"/>
      <w:bookmarkStart w:id="1512" w:name="_Toc3310387"/>
      <w:bookmarkStart w:id="1513" w:name="_Toc4751915"/>
      <w:bookmarkStart w:id="1514" w:name="_Toc3302150"/>
      <w:bookmarkStart w:id="1515" w:name="_Toc3310388"/>
      <w:bookmarkStart w:id="1516" w:name="_Toc4751916"/>
      <w:bookmarkStart w:id="1517" w:name="_Toc3302151"/>
      <w:bookmarkStart w:id="1518" w:name="_Toc3310389"/>
      <w:bookmarkStart w:id="1519" w:name="_Toc4751917"/>
      <w:bookmarkStart w:id="1520" w:name="_Toc3302152"/>
      <w:bookmarkStart w:id="1521" w:name="_Toc3310390"/>
      <w:bookmarkStart w:id="1522" w:name="_Toc4751918"/>
      <w:bookmarkStart w:id="1523" w:name="_Toc3302153"/>
      <w:bookmarkStart w:id="1524" w:name="_Toc3310391"/>
      <w:bookmarkStart w:id="1525" w:name="_Toc4751919"/>
      <w:bookmarkStart w:id="1526" w:name="_Toc3302154"/>
      <w:bookmarkStart w:id="1527" w:name="_Toc3310392"/>
      <w:bookmarkStart w:id="1528" w:name="_Toc4751920"/>
      <w:bookmarkStart w:id="1529" w:name="_Toc3302155"/>
      <w:bookmarkStart w:id="1530" w:name="_Toc3310393"/>
      <w:bookmarkStart w:id="1531" w:name="_Toc4751921"/>
      <w:bookmarkStart w:id="1532" w:name="_Toc3302156"/>
      <w:bookmarkStart w:id="1533" w:name="_Toc3310394"/>
      <w:bookmarkStart w:id="1534" w:name="_Toc4751922"/>
      <w:bookmarkStart w:id="1535" w:name="_Toc3302159"/>
      <w:bookmarkStart w:id="1536" w:name="_Toc3310397"/>
      <w:bookmarkStart w:id="1537" w:name="_Toc4751925"/>
      <w:bookmarkStart w:id="1538" w:name="_Toc3302160"/>
      <w:bookmarkStart w:id="1539" w:name="_Toc3310398"/>
      <w:bookmarkStart w:id="1540" w:name="_Toc4751926"/>
      <w:bookmarkStart w:id="1541" w:name="_Toc3302161"/>
      <w:bookmarkStart w:id="1542" w:name="_Toc3310399"/>
      <w:bookmarkStart w:id="1543" w:name="_Toc4751927"/>
      <w:bookmarkStart w:id="1544" w:name="_Toc3302162"/>
      <w:bookmarkStart w:id="1545" w:name="_Toc3310400"/>
      <w:bookmarkStart w:id="1546" w:name="_Toc4751928"/>
      <w:bookmarkStart w:id="1547" w:name="_Toc3302169"/>
      <w:bookmarkStart w:id="1548" w:name="_Toc3310407"/>
      <w:bookmarkStart w:id="1549" w:name="_Toc4751935"/>
      <w:bookmarkStart w:id="1550" w:name="_Toc3302239"/>
      <w:bookmarkStart w:id="1551" w:name="_Toc3310477"/>
      <w:bookmarkStart w:id="1552" w:name="_Toc4752005"/>
      <w:bookmarkStart w:id="1553" w:name="_Toc3302240"/>
      <w:bookmarkStart w:id="1554" w:name="_Toc3310478"/>
      <w:bookmarkStart w:id="1555" w:name="_Toc4752006"/>
      <w:bookmarkStart w:id="1556" w:name="_Toc3302241"/>
      <w:bookmarkStart w:id="1557" w:name="_Toc3310479"/>
      <w:bookmarkStart w:id="1558" w:name="_Toc4752007"/>
      <w:bookmarkStart w:id="1559" w:name="_Toc3302242"/>
      <w:bookmarkStart w:id="1560" w:name="_Toc3310480"/>
      <w:bookmarkStart w:id="1561" w:name="_Toc4752008"/>
      <w:bookmarkStart w:id="1562" w:name="_Toc3302243"/>
      <w:bookmarkStart w:id="1563" w:name="_Toc3310481"/>
      <w:bookmarkStart w:id="1564" w:name="_Toc4752009"/>
      <w:bookmarkStart w:id="1565" w:name="_Toc3302244"/>
      <w:bookmarkStart w:id="1566" w:name="_Toc3310482"/>
      <w:bookmarkStart w:id="1567" w:name="_Toc4752010"/>
      <w:bookmarkStart w:id="1568" w:name="_Toc3302245"/>
      <w:bookmarkStart w:id="1569" w:name="_Toc3310483"/>
      <w:bookmarkStart w:id="1570" w:name="_Toc4752011"/>
      <w:bookmarkStart w:id="1571" w:name="_Toc3302275"/>
      <w:bookmarkStart w:id="1572" w:name="_Toc3310513"/>
      <w:bookmarkStart w:id="1573" w:name="_Toc4752041"/>
      <w:bookmarkStart w:id="1574" w:name="_Toc3302276"/>
      <w:bookmarkStart w:id="1575" w:name="_Toc3310514"/>
      <w:bookmarkStart w:id="1576" w:name="_Toc4752042"/>
      <w:bookmarkStart w:id="1577" w:name="_Toc3302277"/>
      <w:bookmarkStart w:id="1578" w:name="_Toc3310515"/>
      <w:bookmarkStart w:id="1579" w:name="_Toc4752043"/>
      <w:bookmarkStart w:id="1580" w:name="_Toc3302278"/>
      <w:bookmarkStart w:id="1581" w:name="_Toc3310516"/>
      <w:bookmarkStart w:id="1582" w:name="_Toc4752044"/>
      <w:bookmarkStart w:id="1583" w:name="_Toc3302279"/>
      <w:bookmarkStart w:id="1584" w:name="_Toc3310517"/>
      <w:bookmarkStart w:id="1585" w:name="_Toc4752045"/>
      <w:bookmarkStart w:id="1586" w:name="_Toc3302280"/>
      <w:bookmarkStart w:id="1587" w:name="_Toc3310518"/>
      <w:bookmarkStart w:id="1588" w:name="_Toc4752046"/>
      <w:bookmarkStart w:id="1589" w:name="_Toc3302281"/>
      <w:bookmarkStart w:id="1590" w:name="_Toc3310519"/>
      <w:bookmarkStart w:id="1591" w:name="_Toc4752047"/>
      <w:bookmarkStart w:id="1592" w:name="_Toc3302282"/>
      <w:bookmarkStart w:id="1593" w:name="_Toc3310520"/>
      <w:bookmarkStart w:id="1594" w:name="_Toc4752048"/>
      <w:bookmarkStart w:id="1595" w:name="_Toc3302283"/>
      <w:bookmarkStart w:id="1596" w:name="_Toc3310521"/>
      <w:bookmarkStart w:id="1597" w:name="_Toc4752049"/>
      <w:bookmarkStart w:id="1598" w:name="_Toc3302284"/>
      <w:bookmarkStart w:id="1599" w:name="_Toc3310522"/>
      <w:bookmarkStart w:id="1600" w:name="_Toc4752050"/>
      <w:bookmarkStart w:id="1601" w:name="_Toc3302285"/>
      <w:bookmarkStart w:id="1602" w:name="_Toc3310523"/>
      <w:bookmarkStart w:id="1603" w:name="_Toc4752051"/>
      <w:bookmarkStart w:id="1604" w:name="_Toc3302286"/>
      <w:bookmarkStart w:id="1605" w:name="_Toc3310524"/>
      <w:bookmarkStart w:id="1606" w:name="_Toc4752052"/>
      <w:bookmarkStart w:id="1607" w:name="_Toc3302287"/>
      <w:bookmarkStart w:id="1608" w:name="_Toc3310525"/>
      <w:bookmarkStart w:id="1609" w:name="_Toc4752053"/>
      <w:bookmarkStart w:id="1610" w:name="_Toc3302288"/>
      <w:bookmarkStart w:id="1611" w:name="_Toc3310526"/>
      <w:bookmarkStart w:id="1612" w:name="_Toc4752054"/>
      <w:bookmarkStart w:id="1613" w:name="_Toc3302289"/>
      <w:bookmarkStart w:id="1614" w:name="_Toc3310527"/>
      <w:bookmarkStart w:id="1615" w:name="_Toc4752055"/>
      <w:bookmarkStart w:id="1616" w:name="_Toc3302290"/>
      <w:bookmarkStart w:id="1617" w:name="_Toc3310528"/>
      <w:bookmarkStart w:id="1618" w:name="_Toc4752056"/>
      <w:bookmarkStart w:id="1619" w:name="_Toc3302291"/>
      <w:bookmarkStart w:id="1620" w:name="_Toc3310529"/>
      <w:bookmarkStart w:id="1621" w:name="_Toc4752057"/>
      <w:bookmarkStart w:id="1622" w:name="_Toc3302292"/>
      <w:bookmarkStart w:id="1623" w:name="_Toc3310530"/>
      <w:bookmarkStart w:id="1624" w:name="_Toc4752058"/>
      <w:bookmarkStart w:id="1625" w:name="_Toc3302293"/>
      <w:bookmarkStart w:id="1626" w:name="_Toc3310531"/>
      <w:bookmarkStart w:id="1627" w:name="_Toc4752059"/>
      <w:bookmarkStart w:id="1628" w:name="_Toc3302294"/>
      <w:bookmarkStart w:id="1629" w:name="_Toc3310532"/>
      <w:bookmarkStart w:id="1630" w:name="_Toc4752060"/>
      <w:bookmarkStart w:id="1631" w:name="_Toc3302295"/>
      <w:bookmarkStart w:id="1632" w:name="_Toc3310533"/>
      <w:bookmarkStart w:id="1633" w:name="_Toc4752061"/>
      <w:bookmarkStart w:id="1634" w:name="_Toc3302296"/>
      <w:bookmarkStart w:id="1635" w:name="_Toc3310534"/>
      <w:bookmarkStart w:id="1636" w:name="_Toc4752062"/>
      <w:bookmarkStart w:id="1637" w:name="_Toc3302297"/>
      <w:bookmarkStart w:id="1638" w:name="_Toc3310535"/>
      <w:bookmarkStart w:id="1639" w:name="_Toc4752063"/>
      <w:bookmarkStart w:id="1640" w:name="_Toc3302298"/>
      <w:bookmarkStart w:id="1641" w:name="_Toc3310536"/>
      <w:bookmarkStart w:id="1642" w:name="_Toc4752064"/>
      <w:bookmarkStart w:id="1643" w:name="_Toc3302299"/>
      <w:bookmarkStart w:id="1644" w:name="_Toc3310537"/>
      <w:bookmarkStart w:id="1645" w:name="_Toc4752065"/>
      <w:bookmarkStart w:id="1646" w:name="_Toc3302300"/>
      <w:bookmarkStart w:id="1647" w:name="_Toc3310538"/>
      <w:bookmarkStart w:id="1648" w:name="_Toc4752066"/>
      <w:bookmarkStart w:id="1649" w:name="_Toc3302301"/>
      <w:bookmarkStart w:id="1650" w:name="_Toc3310539"/>
      <w:bookmarkStart w:id="1651" w:name="_Toc4752067"/>
      <w:bookmarkStart w:id="1652" w:name="_Toc3302302"/>
      <w:bookmarkStart w:id="1653" w:name="_Toc3310540"/>
      <w:bookmarkStart w:id="1654" w:name="_Toc4752068"/>
      <w:bookmarkStart w:id="1655" w:name="_Toc3302303"/>
      <w:bookmarkStart w:id="1656" w:name="_Toc3310541"/>
      <w:bookmarkStart w:id="1657" w:name="_Toc4752069"/>
      <w:bookmarkStart w:id="1658" w:name="_Toc3302304"/>
      <w:bookmarkStart w:id="1659" w:name="_Toc3310542"/>
      <w:bookmarkStart w:id="1660" w:name="_Toc4752070"/>
      <w:bookmarkStart w:id="1661" w:name="_Toc3302305"/>
      <w:bookmarkStart w:id="1662" w:name="_Toc3310543"/>
      <w:bookmarkStart w:id="1663" w:name="_Toc4752071"/>
      <w:bookmarkStart w:id="1664" w:name="_Toc3302306"/>
      <w:bookmarkStart w:id="1665" w:name="_Toc3310544"/>
      <w:bookmarkStart w:id="1666" w:name="_Toc4752072"/>
      <w:bookmarkStart w:id="1667" w:name="_Toc3302307"/>
      <w:bookmarkStart w:id="1668" w:name="_Toc3310545"/>
      <w:bookmarkStart w:id="1669" w:name="_Toc4752073"/>
      <w:bookmarkStart w:id="1670" w:name="_Toc3302308"/>
      <w:bookmarkStart w:id="1671" w:name="_Toc3310546"/>
      <w:bookmarkStart w:id="1672" w:name="_Toc4752074"/>
      <w:bookmarkStart w:id="1673" w:name="_Toc3302309"/>
      <w:bookmarkStart w:id="1674" w:name="_Toc3310547"/>
      <w:bookmarkStart w:id="1675" w:name="_Toc4752075"/>
      <w:bookmarkStart w:id="1676" w:name="_Toc3302310"/>
      <w:bookmarkStart w:id="1677" w:name="_Toc3310548"/>
      <w:bookmarkStart w:id="1678" w:name="_Toc4752076"/>
      <w:bookmarkStart w:id="1679" w:name="_Toc3302311"/>
      <w:bookmarkStart w:id="1680" w:name="_Toc3310549"/>
      <w:bookmarkStart w:id="1681" w:name="_Toc4752077"/>
      <w:bookmarkStart w:id="1682" w:name="_Toc3302312"/>
      <w:bookmarkStart w:id="1683" w:name="_Toc3310550"/>
      <w:bookmarkStart w:id="1684" w:name="_Toc4752078"/>
      <w:bookmarkStart w:id="1685" w:name="_Toc3302313"/>
      <w:bookmarkStart w:id="1686" w:name="_Toc3310551"/>
      <w:bookmarkStart w:id="1687" w:name="_Toc4752079"/>
      <w:bookmarkStart w:id="1688" w:name="_Toc3302314"/>
      <w:bookmarkStart w:id="1689" w:name="_Toc3310552"/>
      <w:bookmarkStart w:id="1690" w:name="_Toc4752080"/>
      <w:bookmarkStart w:id="1691" w:name="_Toc3302315"/>
      <w:bookmarkStart w:id="1692" w:name="_Toc3310553"/>
      <w:bookmarkStart w:id="1693" w:name="_Toc4752081"/>
      <w:bookmarkStart w:id="1694" w:name="_Toc3302316"/>
      <w:bookmarkStart w:id="1695" w:name="_Toc3310554"/>
      <w:bookmarkStart w:id="1696" w:name="_Toc4752082"/>
      <w:bookmarkStart w:id="1697" w:name="_Toc3302317"/>
      <w:bookmarkStart w:id="1698" w:name="_Toc3310555"/>
      <w:bookmarkStart w:id="1699" w:name="_Toc4752083"/>
      <w:bookmarkStart w:id="1700" w:name="_Toc3302318"/>
      <w:bookmarkStart w:id="1701" w:name="_Toc3310556"/>
      <w:bookmarkStart w:id="1702" w:name="_Toc4752084"/>
      <w:bookmarkStart w:id="1703" w:name="_Toc3302319"/>
      <w:bookmarkStart w:id="1704" w:name="_Toc3310557"/>
      <w:bookmarkStart w:id="1705" w:name="_Toc4752085"/>
      <w:bookmarkStart w:id="1706" w:name="_Toc3302320"/>
      <w:bookmarkStart w:id="1707" w:name="_Toc3310558"/>
      <w:bookmarkStart w:id="1708" w:name="_Toc4752086"/>
      <w:bookmarkStart w:id="1709" w:name="_Toc3302325"/>
      <w:bookmarkStart w:id="1710" w:name="_Toc3310563"/>
      <w:bookmarkStart w:id="1711" w:name="_Toc4752091"/>
      <w:bookmarkStart w:id="1712" w:name="_Toc3302373"/>
      <w:bookmarkStart w:id="1713" w:name="_Toc3310611"/>
      <w:bookmarkStart w:id="1714" w:name="_Toc4752139"/>
      <w:bookmarkStart w:id="1715" w:name="_Toc3302374"/>
      <w:bookmarkStart w:id="1716" w:name="_Toc3310612"/>
      <w:bookmarkStart w:id="1717" w:name="_Toc4752140"/>
      <w:bookmarkStart w:id="1718" w:name="_Toc3302375"/>
      <w:bookmarkStart w:id="1719" w:name="_Toc3310613"/>
      <w:bookmarkStart w:id="1720" w:name="_Toc4752141"/>
      <w:bookmarkStart w:id="1721" w:name="_Toc3302376"/>
      <w:bookmarkStart w:id="1722" w:name="_Toc3310614"/>
      <w:bookmarkStart w:id="1723" w:name="_Toc4752142"/>
      <w:bookmarkStart w:id="1724" w:name="_Toc3302377"/>
      <w:bookmarkStart w:id="1725" w:name="_Toc3310615"/>
      <w:bookmarkStart w:id="1726" w:name="_Toc4752143"/>
      <w:bookmarkStart w:id="1727" w:name="_Toc3302378"/>
      <w:bookmarkStart w:id="1728" w:name="_Toc3310616"/>
      <w:bookmarkStart w:id="1729" w:name="_Toc4752144"/>
      <w:bookmarkStart w:id="1730" w:name="_Toc3302379"/>
      <w:bookmarkStart w:id="1731" w:name="_Toc3310617"/>
      <w:bookmarkStart w:id="1732" w:name="_Toc4752145"/>
      <w:bookmarkStart w:id="1733" w:name="_Toc3302380"/>
      <w:bookmarkStart w:id="1734" w:name="_Toc3310618"/>
      <w:bookmarkStart w:id="1735" w:name="_Toc4752146"/>
      <w:bookmarkStart w:id="1736" w:name="_Toc3302381"/>
      <w:bookmarkStart w:id="1737" w:name="_Toc3310619"/>
      <w:bookmarkStart w:id="1738" w:name="_Toc4752147"/>
      <w:bookmarkStart w:id="1739" w:name="_Toc3302382"/>
      <w:bookmarkStart w:id="1740" w:name="_Toc3310620"/>
      <w:bookmarkStart w:id="1741" w:name="_Toc4752148"/>
      <w:bookmarkStart w:id="1742" w:name="_Toc3302383"/>
      <w:bookmarkStart w:id="1743" w:name="_Toc3310621"/>
      <w:bookmarkStart w:id="1744" w:name="_Toc4752149"/>
      <w:bookmarkStart w:id="1745" w:name="_Toc3302384"/>
      <w:bookmarkStart w:id="1746" w:name="_Toc3310622"/>
      <w:bookmarkStart w:id="1747" w:name="_Toc4752150"/>
      <w:bookmarkStart w:id="1748" w:name="_Toc3302385"/>
      <w:bookmarkStart w:id="1749" w:name="_Toc3310623"/>
      <w:bookmarkStart w:id="1750" w:name="_Toc4752151"/>
      <w:bookmarkStart w:id="1751" w:name="_Toc3302386"/>
      <w:bookmarkStart w:id="1752" w:name="_Toc3310624"/>
      <w:bookmarkStart w:id="1753" w:name="_Toc4752152"/>
      <w:bookmarkStart w:id="1754" w:name="_Toc3302387"/>
      <w:bookmarkStart w:id="1755" w:name="_Toc3310625"/>
      <w:bookmarkStart w:id="1756" w:name="_Toc4752153"/>
      <w:bookmarkStart w:id="1757" w:name="_Toc3302388"/>
      <w:bookmarkStart w:id="1758" w:name="_Toc3310626"/>
      <w:bookmarkStart w:id="1759" w:name="_Toc4752154"/>
      <w:bookmarkStart w:id="1760" w:name="_Toc3302389"/>
      <w:bookmarkStart w:id="1761" w:name="_Toc3310627"/>
      <w:bookmarkStart w:id="1762" w:name="_Toc4752155"/>
      <w:bookmarkStart w:id="1763" w:name="_Toc3302390"/>
      <w:bookmarkStart w:id="1764" w:name="_Toc3310628"/>
      <w:bookmarkStart w:id="1765" w:name="_Toc4752156"/>
      <w:bookmarkStart w:id="1766" w:name="_Toc3302391"/>
      <w:bookmarkStart w:id="1767" w:name="_Toc3310629"/>
      <w:bookmarkStart w:id="1768" w:name="_Toc4752157"/>
      <w:bookmarkStart w:id="1769" w:name="_Toc3302392"/>
      <w:bookmarkStart w:id="1770" w:name="_Toc3310630"/>
      <w:bookmarkStart w:id="1771" w:name="_Toc4752158"/>
      <w:bookmarkStart w:id="1772" w:name="_Toc3302395"/>
      <w:bookmarkStart w:id="1773" w:name="_Toc3310633"/>
      <w:bookmarkStart w:id="1774" w:name="_Toc4752161"/>
      <w:bookmarkStart w:id="1775" w:name="_Toc3302396"/>
      <w:bookmarkStart w:id="1776" w:name="_Toc3310634"/>
      <w:bookmarkStart w:id="1777" w:name="_Toc4752162"/>
      <w:bookmarkStart w:id="1778" w:name="_Toc3302397"/>
      <w:bookmarkStart w:id="1779" w:name="_Toc3310635"/>
      <w:bookmarkStart w:id="1780" w:name="_Toc4752163"/>
      <w:bookmarkStart w:id="1781" w:name="_Toc3302398"/>
      <w:bookmarkStart w:id="1782" w:name="_Toc3310636"/>
      <w:bookmarkStart w:id="1783" w:name="_Toc4752164"/>
      <w:bookmarkStart w:id="1784" w:name="_Toc3302405"/>
      <w:bookmarkStart w:id="1785" w:name="_Toc3310643"/>
      <w:bookmarkStart w:id="1786" w:name="_Toc4752171"/>
      <w:bookmarkStart w:id="1787" w:name="_Toc3302475"/>
      <w:bookmarkStart w:id="1788" w:name="_Toc3310713"/>
      <w:bookmarkStart w:id="1789" w:name="_Toc4752241"/>
      <w:bookmarkStart w:id="1790" w:name="_Toc3302476"/>
      <w:bookmarkStart w:id="1791" w:name="_Toc3310714"/>
      <w:bookmarkStart w:id="1792" w:name="_Toc4752242"/>
      <w:bookmarkStart w:id="1793" w:name="_Toc3302477"/>
      <w:bookmarkStart w:id="1794" w:name="_Toc3310715"/>
      <w:bookmarkStart w:id="1795" w:name="_Toc4752243"/>
      <w:bookmarkStart w:id="1796" w:name="_Toc3302478"/>
      <w:bookmarkStart w:id="1797" w:name="_Toc3310716"/>
      <w:bookmarkStart w:id="1798" w:name="_Toc4752244"/>
      <w:bookmarkStart w:id="1799" w:name="_Toc3302479"/>
      <w:bookmarkStart w:id="1800" w:name="_Toc3310717"/>
      <w:bookmarkStart w:id="1801" w:name="_Toc4752245"/>
      <w:bookmarkStart w:id="1802" w:name="_Toc3302480"/>
      <w:bookmarkStart w:id="1803" w:name="_Toc3310718"/>
      <w:bookmarkStart w:id="1804" w:name="_Toc4752246"/>
      <w:bookmarkStart w:id="1805" w:name="_Toc3302481"/>
      <w:bookmarkStart w:id="1806" w:name="_Toc3310719"/>
      <w:bookmarkStart w:id="1807" w:name="_Toc4752247"/>
      <w:bookmarkStart w:id="1808" w:name="_Toc3302482"/>
      <w:bookmarkStart w:id="1809" w:name="_Toc3310720"/>
      <w:bookmarkStart w:id="1810" w:name="_Toc4752248"/>
      <w:bookmarkStart w:id="1811" w:name="_Toc3302483"/>
      <w:bookmarkStart w:id="1812" w:name="_Toc3310721"/>
      <w:bookmarkStart w:id="1813" w:name="_Toc4752249"/>
      <w:bookmarkStart w:id="1814" w:name="_Toc3302484"/>
      <w:bookmarkStart w:id="1815" w:name="_Toc3310722"/>
      <w:bookmarkStart w:id="1816" w:name="_Toc4752250"/>
      <w:bookmarkStart w:id="1817" w:name="_Toc3302514"/>
      <w:bookmarkStart w:id="1818" w:name="_Toc3310752"/>
      <w:bookmarkStart w:id="1819" w:name="_Toc4752280"/>
      <w:bookmarkStart w:id="1820" w:name="_Toc3302515"/>
      <w:bookmarkStart w:id="1821" w:name="_Toc3310753"/>
      <w:bookmarkStart w:id="1822" w:name="_Toc4752281"/>
      <w:bookmarkStart w:id="1823" w:name="_Toc3302516"/>
      <w:bookmarkStart w:id="1824" w:name="_Toc3310754"/>
      <w:bookmarkStart w:id="1825" w:name="_Toc4752282"/>
      <w:bookmarkStart w:id="1826" w:name="_Toc3302517"/>
      <w:bookmarkStart w:id="1827" w:name="_Toc3310755"/>
      <w:bookmarkStart w:id="1828" w:name="_Toc4752283"/>
      <w:bookmarkStart w:id="1829" w:name="_Toc3302518"/>
      <w:bookmarkStart w:id="1830" w:name="_Toc3310756"/>
      <w:bookmarkStart w:id="1831" w:name="_Toc4752284"/>
      <w:bookmarkStart w:id="1832" w:name="_Toc3302519"/>
      <w:bookmarkStart w:id="1833" w:name="_Toc3310757"/>
      <w:bookmarkStart w:id="1834" w:name="_Toc4752285"/>
      <w:bookmarkStart w:id="1835" w:name="_Toc3302520"/>
      <w:bookmarkStart w:id="1836" w:name="_Toc3310758"/>
      <w:bookmarkStart w:id="1837" w:name="_Toc4752286"/>
      <w:bookmarkStart w:id="1838" w:name="_Toc3302521"/>
      <w:bookmarkStart w:id="1839" w:name="_Toc3310759"/>
      <w:bookmarkStart w:id="1840" w:name="_Toc4752287"/>
      <w:bookmarkStart w:id="1841" w:name="_Toc3302522"/>
      <w:bookmarkStart w:id="1842" w:name="_Toc3310760"/>
      <w:bookmarkStart w:id="1843" w:name="_Toc4752288"/>
      <w:bookmarkStart w:id="1844" w:name="_Toc3302523"/>
      <w:bookmarkStart w:id="1845" w:name="_Toc3310761"/>
      <w:bookmarkStart w:id="1846" w:name="_Toc4752289"/>
      <w:bookmarkStart w:id="1847" w:name="_Toc3302524"/>
      <w:bookmarkStart w:id="1848" w:name="_Toc3310762"/>
      <w:bookmarkStart w:id="1849" w:name="_Toc4752290"/>
      <w:bookmarkStart w:id="1850" w:name="_Toc3302525"/>
      <w:bookmarkStart w:id="1851" w:name="_Toc3310763"/>
      <w:bookmarkStart w:id="1852" w:name="_Toc4752291"/>
      <w:bookmarkStart w:id="1853" w:name="_Toc3302526"/>
      <w:bookmarkStart w:id="1854" w:name="_Toc3310764"/>
      <w:bookmarkStart w:id="1855" w:name="_Toc4752292"/>
      <w:bookmarkStart w:id="1856" w:name="_Toc3302527"/>
      <w:bookmarkStart w:id="1857" w:name="_Toc3310765"/>
      <w:bookmarkStart w:id="1858" w:name="_Toc4752293"/>
      <w:bookmarkStart w:id="1859" w:name="_Toc3302528"/>
      <w:bookmarkStart w:id="1860" w:name="_Toc3310766"/>
      <w:bookmarkStart w:id="1861" w:name="_Toc4752294"/>
      <w:bookmarkStart w:id="1862" w:name="_Toc3302529"/>
      <w:bookmarkStart w:id="1863" w:name="_Toc3310767"/>
      <w:bookmarkStart w:id="1864" w:name="_Toc4752295"/>
      <w:bookmarkStart w:id="1865" w:name="_Toc3302530"/>
      <w:bookmarkStart w:id="1866" w:name="_Toc3310768"/>
      <w:bookmarkStart w:id="1867" w:name="_Toc4752296"/>
      <w:bookmarkStart w:id="1868" w:name="_Toc3302531"/>
      <w:bookmarkStart w:id="1869" w:name="_Toc3310769"/>
      <w:bookmarkStart w:id="1870" w:name="_Toc4752297"/>
      <w:bookmarkStart w:id="1871" w:name="_Toc3302532"/>
      <w:bookmarkStart w:id="1872" w:name="_Toc3310770"/>
      <w:bookmarkStart w:id="1873" w:name="_Toc4752298"/>
      <w:bookmarkStart w:id="1874" w:name="_Toc3302533"/>
      <w:bookmarkStart w:id="1875" w:name="_Toc3310771"/>
      <w:bookmarkStart w:id="1876" w:name="_Toc4752299"/>
      <w:bookmarkStart w:id="1877" w:name="_Toc3302534"/>
      <w:bookmarkStart w:id="1878" w:name="_Toc3310772"/>
      <w:bookmarkStart w:id="1879" w:name="_Toc4752300"/>
      <w:bookmarkStart w:id="1880" w:name="_Toc3302535"/>
      <w:bookmarkStart w:id="1881" w:name="_Toc3310773"/>
      <w:bookmarkStart w:id="1882" w:name="_Toc4752301"/>
      <w:bookmarkStart w:id="1883" w:name="_Toc3302536"/>
      <w:bookmarkStart w:id="1884" w:name="_Toc3310774"/>
      <w:bookmarkStart w:id="1885" w:name="_Toc4752302"/>
      <w:bookmarkStart w:id="1886" w:name="_Toc3302537"/>
      <w:bookmarkStart w:id="1887" w:name="_Toc3310775"/>
      <w:bookmarkStart w:id="1888" w:name="_Toc4752303"/>
      <w:bookmarkStart w:id="1889" w:name="_Toc3302538"/>
      <w:bookmarkStart w:id="1890" w:name="_Toc3310776"/>
      <w:bookmarkStart w:id="1891" w:name="_Toc4752304"/>
      <w:bookmarkStart w:id="1892" w:name="_Toc3302539"/>
      <w:bookmarkStart w:id="1893" w:name="_Toc3310777"/>
      <w:bookmarkStart w:id="1894" w:name="_Toc4752305"/>
      <w:bookmarkStart w:id="1895" w:name="_Toc3302540"/>
      <w:bookmarkStart w:id="1896" w:name="_Toc3310778"/>
      <w:bookmarkStart w:id="1897" w:name="_Toc4752306"/>
      <w:bookmarkStart w:id="1898" w:name="_Toc3302541"/>
      <w:bookmarkStart w:id="1899" w:name="_Toc3310779"/>
      <w:bookmarkStart w:id="1900" w:name="_Toc4752307"/>
      <w:bookmarkStart w:id="1901" w:name="_Toc3302542"/>
      <w:bookmarkStart w:id="1902" w:name="_Toc3310780"/>
      <w:bookmarkStart w:id="1903" w:name="_Toc4752308"/>
      <w:bookmarkStart w:id="1904" w:name="_Toc3302543"/>
      <w:bookmarkStart w:id="1905" w:name="_Toc3310781"/>
      <w:bookmarkStart w:id="1906" w:name="_Toc4752309"/>
      <w:bookmarkStart w:id="1907" w:name="_Toc3302544"/>
      <w:bookmarkStart w:id="1908" w:name="_Toc3310782"/>
      <w:bookmarkStart w:id="1909" w:name="_Toc4752310"/>
      <w:bookmarkStart w:id="1910" w:name="_Toc3302545"/>
      <w:bookmarkStart w:id="1911" w:name="_Toc3310783"/>
      <w:bookmarkStart w:id="1912" w:name="_Toc4752311"/>
      <w:bookmarkStart w:id="1913" w:name="_Toc3302546"/>
      <w:bookmarkStart w:id="1914" w:name="_Toc3310784"/>
      <w:bookmarkStart w:id="1915" w:name="_Toc4752312"/>
      <w:bookmarkStart w:id="1916" w:name="_Toc3302547"/>
      <w:bookmarkStart w:id="1917" w:name="_Toc3310785"/>
      <w:bookmarkStart w:id="1918" w:name="_Toc4752313"/>
      <w:bookmarkStart w:id="1919" w:name="_Toc3302548"/>
      <w:bookmarkStart w:id="1920" w:name="_Toc3310786"/>
      <w:bookmarkStart w:id="1921" w:name="_Toc4752314"/>
      <w:bookmarkStart w:id="1922" w:name="_Toc3302549"/>
      <w:bookmarkStart w:id="1923" w:name="_Toc3310787"/>
      <w:bookmarkStart w:id="1924" w:name="_Toc4752315"/>
      <w:bookmarkStart w:id="1925" w:name="_Toc3302550"/>
      <w:bookmarkStart w:id="1926" w:name="_Toc3310788"/>
      <w:bookmarkStart w:id="1927" w:name="_Toc4752316"/>
      <w:bookmarkStart w:id="1928" w:name="_Toc3302551"/>
      <w:bookmarkStart w:id="1929" w:name="_Toc3310789"/>
      <w:bookmarkStart w:id="1930" w:name="_Toc4752317"/>
      <w:bookmarkStart w:id="1931" w:name="_Toc3302552"/>
      <w:bookmarkStart w:id="1932" w:name="_Toc3310790"/>
      <w:bookmarkStart w:id="1933" w:name="_Toc4752318"/>
      <w:bookmarkStart w:id="1934" w:name="_Toc3302553"/>
      <w:bookmarkStart w:id="1935" w:name="_Toc3310791"/>
      <w:bookmarkStart w:id="1936" w:name="_Toc4752319"/>
      <w:bookmarkStart w:id="1937" w:name="_Toc3302554"/>
      <w:bookmarkStart w:id="1938" w:name="_Toc3310792"/>
      <w:bookmarkStart w:id="1939" w:name="_Toc4752320"/>
      <w:bookmarkStart w:id="1940" w:name="_Toc3302555"/>
      <w:bookmarkStart w:id="1941" w:name="_Toc3310793"/>
      <w:bookmarkStart w:id="1942" w:name="_Toc4752321"/>
      <w:bookmarkStart w:id="1943" w:name="_Toc3302556"/>
      <w:bookmarkStart w:id="1944" w:name="_Toc3310794"/>
      <w:bookmarkStart w:id="1945" w:name="_Toc4752322"/>
      <w:bookmarkStart w:id="1946" w:name="_Toc3302557"/>
      <w:bookmarkStart w:id="1947" w:name="_Toc3310795"/>
      <w:bookmarkStart w:id="1948" w:name="_Toc4752323"/>
      <w:bookmarkStart w:id="1949" w:name="_Toc3302558"/>
      <w:bookmarkStart w:id="1950" w:name="_Toc3310796"/>
      <w:bookmarkStart w:id="1951" w:name="_Toc4752324"/>
      <w:bookmarkStart w:id="1952" w:name="_Toc3302563"/>
      <w:bookmarkStart w:id="1953" w:name="_Toc3310801"/>
      <w:bookmarkStart w:id="1954" w:name="_Toc4752329"/>
      <w:bookmarkStart w:id="1955" w:name="_Toc3302611"/>
      <w:bookmarkStart w:id="1956" w:name="_Toc3310849"/>
      <w:bookmarkStart w:id="1957" w:name="_Toc4752377"/>
      <w:bookmarkStart w:id="1958" w:name="_Toc3302612"/>
      <w:bookmarkStart w:id="1959" w:name="_Toc3310850"/>
      <w:bookmarkStart w:id="1960" w:name="_Toc4752378"/>
      <w:bookmarkStart w:id="1961" w:name="_Toc3302613"/>
      <w:bookmarkStart w:id="1962" w:name="_Toc3310851"/>
      <w:bookmarkStart w:id="1963" w:name="_Toc4752379"/>
      <w:bookmarkStart w:id="1964" w:name="_Toc3302614"/>
      <w:bookmarkStart w:id="1965" w:name="_Toc3310852"/>
      <w:bookmarkStart w:id="1966" w:name="_Toc4752380"/>
      <w:bookmarkStart w:id="1967" w:name="_Toc3302615"/>
      <w:bookmarkStart w:id="1968" w:name="_Toc3310853"/>
      <w:bookmarkStart w:id="1969" w:name="_Toc4752381"/>
      <w:bookmarkStart w:id="1970" w:name="_Toc3302616"/>
      <w:bookmarkStart w:id="1971" w:name="_Toc3310854"/>
      <w:bookmarkStart w:id="1972" w:name="_Toc4752382"/>
      <w:bookmarkStart w:id="1973" w:name="_Toc3302617"/>
      <w:bookmarkStart w:id="1974" w:name="_Toc3310855"/>
      <w:bookmarkStart w:id="1975" w:name="_Toc4752383"/>
      <w:bookmarkStart w:id="1976" w:name="_Toc3302625"/>
      <w:bookmarkStart w:id="1977" w:name="_Toc3310863"/>
      <w:bookmarkStart w:id="1978" w:name="_Toc4752391"/>
      <w:bookmarkStart w:id="1979" w:name="_Toc3302727"/>
      <w:bookmarkStart w:id="1980" w:name="_Toc3310965"/>
      <w:bookmarkStart w:id="1981" w:name="_Toc4752493"/>
      <w:bookmarkStart w:id="1982" w:name="_Toc3302728"/>
      <w:bookmarkStart w:id="1983" w:name="_Toc3310966"/>
      <w:bookmarkStart w:id="1984" w:name="_Toc4752494"/>
      <w:bookmarkStart w:id="1985" w:name="_Toc3302729"/>
      <w:bookmarkStart w:id="1986" w:name="_Toc3310967"/>
      <w:bookmarkStart w:id="1987" w:name="_Toc4752495"/>
      <w:bookmarkStart w:id="1988" w:name="_Toc3302730"/>
      <w:bookmarkStart w:id="1989" w:name="_Toc3310968"/>
      <w:bookmarkStart w:id="1990" w:name="_Toc4752496"/>
      <w:bookmarkStart w:id="1991" w:name="_Toc3302731"/>
      <w:bookmarkStart w:id="1992" w:name="_Toc3310969"/>
      <w:bookmarkStart w:id="1993" w:name="_Toc4752497"/>
      <w:bookmarkStart w:id="1994" w:name="_Toc3302732"/>
      <w:bookmarkStart w:id="1995" w:name="_Toc3310970"/>
      <w:bookmarkStart w:id="1996" w:name="_Toc4752498"/>
      <w:bookmarkStart w:id="1997" w:name="_Toc3302733"/>
      <w:bookmarkStart w:id="1998" w:name="_Toc3310971"/>
      <w:bookmarkStart w:id="1999" w:name="_Toc4752499"/>
      <w:bookmarkStart w:id="2000" w:name="_Toc3302734"/>
      <w:bookmarkStart w:id="2001" w:name="_Toc3310972"/>
      <w:bookmarkStart w:id="2002" w:name="_Toc4752500"/>
      <w:bookmarkStart w:id="2003" w:name="_Toc3302744"/>
      <w:bookmarkStart w:id="2004" w:name="_Toc3310982"/>
      <w:bookmarkStart w:id="2005" w:name="_Toc4752510"/>
      <w:bookmarkStart w:id="2006" w:name="_Toc3302745"/>
      <w:bookmarkStart w:id="2007" w:name="_Toc3310983"/>
      <w:bookmarkStart w:id="2008" w:name="_Toc4752511"/>
      <w:bookmarkStart w:id="2009" w:name="_Toc3302746"/>
      <w:bookmarkStart w:id="2010" w:name="_Toc3310984"/>
      <w:bookmarkStart w:id="2011" w:name="_Toc4752512"/>
      <w:bookmarkStart w:id="2012" w:name="_Toc3302747"/>
      <w:bookmarkStart w:id="2013" w:name="_Toc3310985"/>
      <w:bookmarkStart w:id="2014" w:name="_Toc4752513"/>
      <w:bookmarkStart w:id="2015" w:name="_Toc3302748"/>
      <w:bookmarkStart w:id="2016" w:name="_Toc3310986"/>
      <w:bookmarkStart w:id="2017" w:name="_Toc4752514"/>
      <w:bookmarkStart w:id="2018" w:name="_Toc3302749"/>
      <w:bookmarkStart w:id="2019" w:name="_Toc3310987"/>
      <w:bookmarkStart w:id="2020" w:name="_Toc4752515"/>
      <w:bookmarkStart w:id="2021" w:name="_Toc3302750"/>
      <w:bookmarkStart w:id="2022" w:name="_Toc3310988"/>
      <w:bookmarkStart w:id="2023" w:name="_Toc4752516"/>
      <w:bookmarkStart w:id="2024" w:name="_Toc3302751"/>
      <w:bookmarkStart w:id="2025" w:name="_Toc3310989"/>
      <w:bookmarkStart w:id="2026" w:name="_Toc4752517"/>
      <w:bookmarkStart w:id="2027" w:name="_Toc3302752"/>
      <w:bookmarkStart w:id="2028" w:name="_Toc3310990"/>
      <w:bookmarkStart w:id="2029" w:name="_Toc4752518"/>
      <w:bookmarkStart w:id="2030" w:name="_Toc3302753"/>
      <w:bookmarkStart w:id="2031" w:name="_Toc3310991"/>
      <w:bookmarkStart w:id="2032" w:name="_Toc4752519"/>
      <w:bookmarkStart w:id="2033" w:name="_Toc3302754"/>
      <w:bookmarkStart w:id="2034" w:name="_Toc3310992"/>
      <w:bookmarkStart w:id="2035" w:name="_Toc4752520"/>
      <w:bookmarkStart w:id="2036" w:name="_Toc3302755"/>
      <w:bookmarkStart w:id="2037" w:name="_Toc3310993"/>
      <w:bookmarkStart w:id="2038" w:name="_Toc4752521"/>
      <w:bookmarkStart w:id="2039" w:name="_Toc3302756"/>
      <w:bookmarkStart w:id="2040" w:name="_Toc3310994"/>
      <w:bookmarkStart w:id="2041" w:name="_Toc4752522"/>
      <w:bookmarkStart w:id="2042" w:name="_Toc3302757"/>
      <w:bookmarkStart w:id="2043" w:name="_Toc3310995"/>
      <w:bookmarkStart w:id="2044" w:name="_Toc4752523"/>
      <w:bookmarkStart w:id="2045" w:name="_Toc3302758"/>
      <w:bookmarkStart w:id="2046" w:name="_Toc3310996"/>
      <w:bookmarkStart w:id="2047" w:name="_Toc4752524"/>
      <w:bookmarkStart w:id="2048" w:name="_Toc3302759"/>
      <w:bookmarkStart w:id="2049" w:name="_Toc3310997"/>
      <w:bookmarkStart w:id="2050" w:name="_Toc4752525"/>
      <w:bookmarkStart w:id="2051" w:name="_Toc3302760"/>
      <w:bookmarkStart w:id="2052" w:name="_Toc3310998"/>
      <w:bookmarkStart w:id="2053" w:name="_Toc4752526"/>
      <w:bookmarkStart w:id="2054" w:name="_Toc3302761"/>
      <w:bookmarkStart w:id="2055" w:name="_Toc3310999"/>
      <w:bookmarkStart w:id="2056" w:name="_Toc4752527"/>
      <w:bookmarkStart w:id="2057" w:name="_Toc3302762"/>
      <w:bookmarkStart w:id="2058" w:name="_Toc3311000"/>
      <w:bookmarkStart w:id="2059" w:name="_Toc4752528"/>
      <w:bookmarkStart w:id="2060" w:name="_Toc3302763"/>
      <w:bookmarkStart w:id="2061" w:name="_Toc3311001"/>
      <w:bookmarkStart w:id="2062" w:name="_Toc4752529"/>
      <w:bookmarkStart w:id="2063" w:name="_Toc3302764"/>
      <w:bookmarkStart w:id="2064" w:name="_Toc3311002"/>
      <w:bookmarkStart w:id="2065" w:name="_Toc4752530"/>
      <w:bookmarkStart w:id="2066" w:name="_Toc3302765"/>
      <w:bookmarkStart w:id="2067" w:name="_Toc3311003"/>
      <w:bookmarkStart w:id="2068" w:name="_Toc4752531"/>
      <w:bookmarkStart w:id="2069" w:name="_Toc3302766"/>
      <w:bookmarkStart w:id="2070" w:name="_Toc3311004"/>
      <w:bookmarkStart w:id="2071" w:name="_Toc4752532"/>
      <w:bookmarkStart w:id="2072" w:name="_Toc3302767"/>
      <w:bookmarkStart w:id="2073" w:name="_Toc3311005"/>
      <w:bookmarkStart w:id="2074" w:name="_Toc4752533"/>
      <w:bookmarkStart w:id="2075" w:name="_Toc3302768"/>
      <w:bookmarkStart w:id="2076" w:name="_Toc3311006"/>
      <w:bookmarkStart w:id="2077" w:name="_Toc4752534"/>
      <w:bookmarkStart w:id="2078" w:name="_Toc3302769"/>
      <w:bookmarkStart w:id="2079" w:name="_Toc3311007"/>
      <w:bookmarkStart w:id="2080" w:name="_Toc4752535"/>
      <w:bookmarkStart w:id="2081" w:name="_Toc3302770"/>
      <w:bookmarkStart w:id="2082" w:name="_Toc3311008"/>
      <w:bookmarkStart w:id="2083" w:name="_Toc4752536"/>
      <w:bookmarkStart w:id="2084" w:name="_Toc3302771"/>
      <w:bookmarkStart w:id="2085" w:name="_Toc3311009"/>
      <w:bookmarkStart w:id="2086" w:name="_Toc4752537"/>
      <w:bookmarkStart w:id="2087" w:name="_Toc3302772"/>
      <w:bookmarkStart w:id="2088" w:name="_Toc3311010"/>
      <w:bookmarkStart w:id="2089" w:name="_Toc4752538"/>
      <w:bookmarkStart w:id="2090" w:name="_Toc3302773"/>
      <w:bookmarkStart w:id="2091" w:name="_Toc3311011"/>
      <w:bookmarkStart w:id="2092" w:name="_Toc4752539"/>
      <w:bookmarkStart w:id="2093" w:name="_Toc3302776"/>
      <w:bookmarkStart w:id="2094" w:name="_Toc3311014"/>
      <w:bookmarkStart w:id="2095" w:name="_Toc4752542"/>
      <w:bookmarkStart w:id="2096" w:name="_Toc3302777"/>
      <w:bookmarkStart w:id="2097" w:name="_Toc3311015"/>
      <w:bookmarkStart w:id="2098" w:name="_Toc4752543"/>
      <w:bookmarkStart w:id="2099" w:name="_Toc3302778"/>
      <w:bookmarkStart w:id="2100" w:name="_Toc3311016"/>
      <w:bookmarkStart w:id="2101" w:name="_Toc4752544"/>
      <w:bookmarkStart w:id="2102" w:name="_Toc3302779"/>
      <w:bookmarkStart w:id="2103" w:name="_Toc3311017"/>
      <w:bookmarkStart w:id="2104" w:name="_Toc4752545"/>
      <w:bookmarkStart w:id="2105" w:name="_Toc3302786"/>
      <w:bookmarkStart w:id="2106" w:name="_Toc3311024"/>
      <w:bookmarkStart w:id="2107" w:name="_Toc4752552"/>
      <w:bookmarkStart w:id="2108" w:name="_Toc3302856"/>
      <w:bookmarkStart w:id="2109" w:name="_Toc3311094"/>
      <w:bookmarkStart w:id="2110" w:name="_Toc4752622"/>
      <w:bookmarkStart w:id="2111" w:name="_Toc3302857"/>
      <w:bookmarkStart w:id="2112" w:name="_Toc3311095"/>
      <w:bookmarkStart w:id="2113" w:name="_Toc4752623"/>
      <w:bookmarkStart w:id="2114" w:name="_Toc3302858"/>
      <w:bookmarkStart w:id="2115" w:name="_Toc3311096"/>
      <w:bookmarkStart w:id="2116" w:name="_Toc4752624"/>
      <w:bookmarkStart w:id="2117" w:name="_Toc3302859"/>
      <w:bookmarkStart w:id="2118" w:name="_Toc3311097"/>
      <w:bookmarkStart w:id="2119" w:name="_Toc4752625"/>
      <w:bookmarkStart w:id="2120" w:name="_Toc3302860"/>
      <w:bookmarkStart w:id="2121" w:name="_Toc3311098"/>
      <w:bookmarkStart w:id="2122" w:name="_Toc4752626"/>
      <w:bookmarkStart w:id="2123" w:name="_Toc3302861"/>
      <w:bookmarkStart w:id="2124" w:name="_Toc3311099"/>
      <w:bookmarkStart w:id="2125" w:name="_Toc4752627"/>
      <w:bookmarkStart w:id="2126" w:name="_Toc3302862"/>
      <w:bookmarkStart w:id="2127" w:name="_Toc3311100"/>
      <w:bookmarkStart w:id="2128" w:name="_Toc4752628"/>
      <w:bookmarkStart w:id="2129" w:name="_Toc3302892"/>
      <w:bookmarkStart w:id="2130" w:name="_Toc3311130"/>
      <w:bookmarkStart w:id="2131" w:name="_Toc4752658"/>
      <w:bookmarkStart w:id="2132" w:name="_Toc3302893"/>
      <w:bookmarkStart w:id="2133" w:name="_Toc3311131"/>
      <w:bookmarkStart w:id="2134" w:name="_Toc4752659"/>
      <w:bookmarkStart w:id="2135" w:name="_Toc3302894"/>
      <w:bookmarkStart w:id="2136" w:name="_Toc3311132"/>
      <w:bookmarkStart w:id="2137" w:name="_Toc4752660"/>
      <w:bookmarkStart w:id="2138" w:name="_Toc3302895"/>
      <w:bookmarkStart w:id="2139" w:name="_Toc3311133"/>
      <w:bookmarkStart w:id="2140" w:name="_Toc4752661"/>
      <w:bookmarkStart w:id="2141" w:name="_Toc3302896"/>
      <w:bookmarkStart w:id="2142" w:name="_Toc3311134"/>
      <w:bookmarkStart w:id="2143" w:name="_Toc4752662"/>
      <w:bookmarkStart w:id="2144" w:name="_Toc3302897"/>
      <w:bookmarkStart w:id="2145" w:name="_Toc3311135"/>
      <w:bookmarkStart w:id="2146" w:name="_Toc4752663"/>
      <w:bookmarkStart w:id="2147" w:name="_Toc3302898"/>
      <w:bookmarkStart w:id="2148" w:name="_Toc3311136"/>
      <w:bookmarkStart w:id="2149" w:name="_Toc4752664"/>
      <w:bookmarkStart w:id="2150" w:name="_Toc3302899"/>
      <w:bookmarkStart w:id="2151" w:name="_Toc3311137"/>
      <w:bookmarkStart w:id="2152" w:name="_Toc4752665"/>
      <w:bookmarkStart w:id="2153" w:name="_Toc3302900"/>
      <w:bookmarkStart w:id="2154" w:name="_Toc3311138"/>
      <w:bookmarkStart w:id="2155" w:name="_Toc4752666"/>
      <w:bookmarkStart w:id="2156" w:name="_Toc3302901"/>
      <w:bookmarkStart w:id="2157" w:name="_Toc3311139"/>
      <w:bookmarkStart w:id="2158" w:name="_Toc4752667"/>
      <w:bookmarkStart w:id="2159" w:name="_Toc3302902"/>
      <w:bookmarkStart w:id="2160" w:name="_Toc3311140"/>
      <w:bookmarkStart w:id="2161" w:name="_Toc4752668"/>
      <w:bookmarkStart w:id="2162" w:name="_Toc3302903"/>
      <w:bookmarkStart w:id="2163" w:name="_Toc3311141"/>
      <w:bookmarkStart w:id="2164" w:name="_Toc4752669"/>
      <w:bookmarkStart w:id="2165" w:name="_Toc3302904"/>
      <w:bookmarkStart w:id="2166" w:name="_Toc3311142"/>
      <w:bookmarkStart w:id="2167" w:name="_Toc4752670"/>
      <w:bookmarkStart w:id="2168" w:name="_Toc3302905"/>
      <w:bookmarkStart w:id="2169" w:name="_Toc3311143"/>
      <w:bookmarkStart w:id="2170" w:name="_Toc4752671"/>
      <w:bookmarkStart w:id="2171" w:name="_Toc3302906"/>
      <w:bookmarkStart w:id="2172" w:name="_Toc3311144"/>
      <w:bookmarkStart w:id="2173" w:name="_Toc4752672"/>
      <w:bookmarkStart w:id="2174" w:name="_Toc3302907"/>
      <w:bookmarkStart w:id="2175" w:name="_Toc3311145"/>
      <w:bookmarkStart w:id="2176" w:name="_Toc4752673"/>
      <w:bookmarkStart w:id="2177" w:name="_Toc3302908"/>
      <w:bookmarkStart w:id="2178" w:name="_Toc3311146"/>
      <w:bookmarkStart w:id="2179" w:name="_Toc4752674"/>
      <w:bookmarkStart w:id="2180" w:name="_Toc3302909"/>
      <w:bookmarkStart w:id="2181" w:name="_Toc3311147"/>
      <w:bookmarkStart w:id="2182" w:name="_Toc4752675"/>
      <w:bookmarkStart w:id="2183" w:name="_Toc3302910"/>
      <w:bookmarkStart w:id="2184" w:name="_Toc3311148"/>
      <w:bookmarkStart w:id="2185" w:name="_Toc4752676"/>
      <w:bookmarkStart w:id="2186" w:name="_Toc3302911"/>
      <w:bookmarkStart w:id="2187" w:name="_Toc3311149"/>
      <w:bookmarkStart w:id="2188" w:name="_Toc4752677"/>
      <w:bookmarkStart w:id="2189" w:name="_Toc3302912"/>
      <w:bookmarkStart w:id="2190" w:name="_Toc3311150"/>
      <w:bookmarkStart w:id="2191" w:name="_Toc4752678"/>
      <w:bookmarkStart w:id="2192" w:name="_Toc3302913"/>
      <w:bookmarkStart w:id="2193" w:name="_Toc3311151"/>
      <w:bookmarkStart w:id="2194" w:name="_Toc4752679"/>
      <w:bookmarkStart w:id="2195" w:name="_Toc3302914"/>
      <w:bookmarkStart w:id="2196" w:name="_Toc3311152"/>
      <w:bookmarkStart w:id="2197" w:name="_Toc4752680"/>
      <w:bookmarkStart w:id="2198" w:name="_Toc3302915"/>
      <w:bookmarkStart w:id="2199" w:name="_Toc3311153"/>
      <w:bookmarkStart w:id="2200" w:name="_Toc4752681"/>
      <w:bookmarkStart w:id="2201" w:name="_Toc3302916"/>
      <w:bookmarkStart w:id="2202" w:name="_Toc3311154"/>
      <w:bookmarkStart w:id="2203" w:name="_Toc4752682"/>
      <w:bookmarkStart w:id="2204" w:name="_Toc3302917"/>
      <w:bookmarkStart w:id="2205" w:name="_Toc3311155"/>
      <w:bookmarkStart w:id="2206" w:name="_Toc4752683"/>
      <w:bookmarkStart w:id="2207" w:name="_Toc3302918"/>
      <w:bookmarkStart w:id="2208" w:name="_Toc3311156"/>
      <w:bookmarkStart w:id="2209" w:name="_Toc4752684"/>
      <w:bookmarkStart w:id="2210" w:name="_Toc3302919"/>
      <w:bookmarkStart w:id="2211" w:name="_Toc3311157"/>
      <w:bookmarkStart w:id="2212" w:name="_Toc4752685"/>
      <w:bookmarkStart w:id="2213" w:name="_Toc3302920"/>
      <w:bookmarkStart w:id="2214" w:name="_Toc3311158"/>
      <w:bookmarkStart w:id="2215" w:name="_Toc4752686"/>
      <w:bookmarkStart w:id="2216" w:name="_Toc3302921"/>
      <w:bookmarkStart w:id="2217" w:name="_Toc3311159"/>
      <w:bookmarkStart w:id="2218" w:name="_Toc4752687"/>
      <w:bookmarkStart w:id="2219" w:name="_Toc3302922"/>
      <w:bookmarkStart w:id="2220" w:name="_Toc3311160"/>
      <w:bookmarkStart w:id="2221" w:name="_Toc4752688"/>
      <w:bookmarkStart w:id="2222" w:name="_Toc3302923"/>
      <w:bookmarkStart w:id="2223" w:name="_Toc3311161"/>
      <w:bookmarkStart w:id="2224" w:name="_Toc4752689"/>
      <w:bookmarkStart w:id="2225" w:name="_Toc3302924"/>
      <w:bookmarkStart w:id="2226" w:name="_Toc3311162"/>
      <w:bookmarkStart w:id="2227" w:name="_Toc4752690"/>
      <w:bookmarkStart w:id="2228" w:name="_Toc3302925"/>
      <w:bookmarkStart w:id="2229" w:name="_Toc3311163"/>
      <w:bookmarkStart w:id="2230" w:name="_Toc4752691"/>
      <w:bookmarkStart w:id="2231" w:name="_Toc3302926"/>
      <w:bookmarkStart w:id="2232" w:name="_Toc3311164"/>
      <w:bookmarkStart w:id="2233" w:name="_Toc4752692"/>
      <w:bookmarkStart w:id="2234" w:name="_Toc3302927"/>
      <w:bookmarkStart w:id="2235" w:name="_Toc3311165"/>
      <w:bookmarkStart w:id="2236" w:name="_Toc4752693"/>
      <w:bookmarkStart w:id="2237" w:name="_Toc3302928"/>
      <w:bookmarkStart w:id="2238" w:name="_Toc3311166"/>
      <w:bookmarkStart w:id="2239" w:name="_Toc4752694"/>
      <w:bookmarkStart w:id="2240" w:name="_Toc3302929"/>
      <w:bookmarkStart w:id="2241" w:name="_Toc3311167"/>
      <w:bookmarkStart w:id="2242" w:name="_Toc4752695"/>
      <w:bookmarkStart w:id="2243" w:name="_Toc3302930"/>
      <w:bookmarkStart w:id="2244" w:name="_Toc3311168"/>
      <w:bookmarkStart w:id="2245" w:name="_Toc4752696"/>
      <w:bookmarkStart w:id="2246" w:name="_Toc3302931"/>
      <w:bookmarkStart w:id="2247" w:name="_Toc3311169"/>
      <w:bookmarkStart w:id="2248" w:name="_Toc4752697"/>
      <w:bookmarkStart w:id="2249" w:name="_Toc3302932"/>
      <w:bookmarkStart w:id="2250" w:name="_Toc3311170"/>
      <w:bookmarkStart w:id="2251" w:name="_Toc4752698"/>
      <w:bookmarkStart w:id="2252" w:name="_Toc3302933"/>
      <w:bookmarkStart w:id="2253" w:name="_Toc3311171"/>
      <w:bookmarkStart w:id="2254" w:name="_Toc4752699"/>
      <w:bookmarkStart w:id="2255" w:name="_Toc3302934"/>
      <w:bookmarkStart w:id="2256" w:name="_Toc3311172"/>
      <w:bookmarkStart w:id="2257" w:name="_Toc4752700"/>
      <w:bookmarkStart w:id="2258" w:name="_Toc3302935"/>
      <w:bookmarkStart w:id="2259" w:name="_Toc3311173"/>
      <w:bookmarkStart w:id="2260" w:name="_Toc4752701"/>
      <w:bookmarkStart w:id="2261" w:name="_Toc3302936"/>
      <w:bookmarkStart w:id="2262" w:name="_Toc3311174"/>
      <w:bookmarkStart w:id="2263" w:name="_Toc4752702"/>
      <w:bookmarkStart w:id="2264" w:name="_Toc3302937"/>
      <w:bookmarkStart w:id="2265" w:name="_Toc3311175"/>
      <w:bookmarkStart w:id="2266" w:name="_Toc4752703"/>
      <w:bookmarkStart w:id="2267" w:name="_Toc3302938"/>
      <w:bookmarkStart w:id="2268" w:name="_Toc3311176"/>
      <w:bookmarkStart w:id="2269" w:name="_Toc4752704"/>
      <w:bookmarkStart w:id="2270" w:name="_Toc3302939"/>
      <w:bookmarkStart w:id="2271" w:name="_Toc3311177"/>
      <w:bookmarkStart w:id="2272" w:name="_Toc4752705"/>
      <w:bookmarkStart w:id="2273" w:name="_Toc3302940"/>
      <w:bookmarkStart w:id="2274" w:name="_Toc3311178"/>
      <w:bookmarkStart w:id="2275" w:name="_Toc4752706"/>
      <w:bookmarkStart w:id="2276" w:name="_Toc3302941"/>
      <w:bookmarkStart w:id="2277" w:name="_Toc3311179"/>
      <w:bookmarkStart w:id="2278" w:name="_Toc4752707"/>
      <w:bookmarkStart w:id="2279" w:name="_Toc3302942"/>
      <w:bookmarkStart w:id="2280" w:name="_Toc3311180"/>
      <w:bookmarkStart w:id="2281" w:name="_Toc4752708"/>
      <w:bookmarkStart w:id="2282" w:name="_Toc3302943"/>
      <w:bookmarkStart w:id="2283" w:name="_Toc3311181"/>
      <w:bookmarkStart w:id="2284" w:name="_Toc4752709"/>
      <w:bookmarkStart w:id="2285" w:name="_Toc3302944"/>
      <w:bookmarkStart w:id="2286" w:name="_Toc3311182"/>
      <w:bookmarkStart w:id="2287" w:name="_Toc4752710"/>
      <w:bookmarkStart w:id="2288" w:name="_Toc3302945"/>
      <w:bookmarkStart w:id="2289" w:name="_Toc3311183"/>
      <w:bookmarkStart w:id="2290" w:name="_Toc4752711"/>
      <w:bookmarkStart w:id="2291" w:name="_Toc3302946"/>
      <w:bookmarkStart w:id="2292" w:name="_Toc3311184"/>
      <w:bookmarkStart w:id="2293" w:name="_Toc4752712"/>
      <w:bookmarkStart w:id="2294" w:name="_Toc3302947"/>
      <w:bookmarkStart w:id="2295" w:name="_Toc3311185"/>
      <w:bookmarkStart w:id="2296" w:name="_Toc4752713"/>
      <w:bookmarkStart w:id="2297" w:name="_Toc3302948"/>
      <w:bookmarkStart w:id="2298" w:name="_Toc3311186"/>
      <w:bookmarkStart w:id="2299" w:name="_Toc4752714"/>
      <w:bookmarkStart w:id="2300" w:name="_Toc3302949"/>
      <w:bookmarkStart w:id="2301" w:name="_Toc3311187"/>
      <w:bookmarkStart w:id="2302" w:name="_Toc4752715"/>
      <w:bookmarkStart w:id="2303" w:name="_Toc3302950"/>
      <w:bookmarkStart w:id="2304" w:name="_Toc3311188"/>
      <w:bookmarkStart w:id="2305" w:name="_Toc4752716"/>
      <w:bookmarkStart w:id="2306" w:name="_Toc3302951"/>
      <w:bookmarkStart w:id="2307" w:name="_Toc3311189"/>
      <w:bookmarkStart w:id="2308" w:name="_Toc4752717"/>
      <w:bookmarkStart w:id="2309" w:name="_Toc3302956"/>
      <w:bookmarkStart w:id="2310" w:name="_Toc3311194"/>
      <w:bookmarkStart w:id="2311" w:name="_Toc4752722"/>
      <w:bookmarkStart w:id="2312" w:name="_Toc3303004"/>
      <w:bookmarkStart w:id="2313" w:name="_Toc3311242"/>
      <w:bookmarkStart w:id="2314" w:name="_Toc4752770"/>
      <w:bookmarkStart w:id="2315" w:name="_Toc3303005"/>
      <w:bookmarkStart w:id="2316" w:name="_Toc3311243"/>
      <w:bookmarkStart w:id="2317" w:name="_Toc4752771"/>
      <w:bookmarkStart w:id="2318" w:name="_Toc3303006"/>
      <w:bookmarkStart w:id="2319" w:name="_Toc3311244"/>
      <w:bookmarkStart w:id="2320" w:name="_Toc4752772"/>
      <w:bookmarkStart w:id="2321" w:name="_Toc3303007"/>
      <w:bookmarkStart w:id="2322" w:name="_Toc3311245"/>
      <w:bookmarkStart w:id="2323" w:name="_Toc4752773"/>
      <w:bookmarkStart w:id="2324" w:name="_Toc3303008"/>
      <w:bookmarkStart w:id="2325" w:name="_Toc3311246"/>
      <w:bookmarkStart w:id="2326" w:name="_Toc4752774"/>
      <w:bookmarkStart w:id="2327" w:name="_Toc3303009"/>
      <w:bookmarkStart w:id="2328" w:name="_Toc3311247"/>
      <w:bookmarkStart w:id="2329" w:name="_Toc4752775"/>
      <w:bookmarkStart w:id="2330" w:name="_Toc3303010"/>
      <w:bookmarkStart w:id="2331" w:name="_Toc3311248"/>
      <w:bookmarkStart w:id="2332" w:name="_Toc4752776"/>
      <w:bookmarkStart w:id="2333" w:name="_Toc3303011"/>
      <w:bookmarkStart w:id="2334" w:name="_Toc3311249"/>
      <w:bookmarkStart w:id="2335" w:name="_Toc4752777"/>
      <w:bookmarkStart w:id="2336" w:name="_Toc3303012"/>
      <w:bookmarkStart w:id="2337" w:name="_Toc3311250"/>
      <w:bookmarkStart w:id="2338" w:name="_Toc4752778"/>
      <w:bookmarkStart w:id="2339" w:name="_Toc3303013"/>
      <w:bookmarkStart w:id="2340" w:name="_Toc3311251"/>
      <w:bookmarkStart w:id="2341" w:name="_Toc4752779"/>
      <w:bookmarkStart w:id="2342" w:name="_Toc3303014"/>
      <w:bookmarkStart w:id="2343" w:name="_Toc3311252"/>
      <w:bookmarkStart w:id="2344" w:name="_Toc4752780"/>
      <w:bookmarkStart w:id="2345" w:name="_Toc3303015"/>
      <w:bookmarkStart w:id="2346" w:name="_Toc3311253"/>
      <w:bookmarkStart w:id="2347" w:name="_Toc4752781"/>
      <w:bookmarkStart w:id="2348" w:name="_Toc3303023"/>
      <w:bookmarkStart w:id="2349" w:name="_Toc3311261"/>
      <w:bookmarkStart w:id="2350" w:name="_Toc4752789"/>
      <w:bookmarkStart w:id="2351" w:name="_Toc3303142"/>
      <w:bookmarkStart w:id="2352" w:name="_Toc3311380"/>
      <w:bookmarkStart w:id="2353" w:name="_Toc4752908"/>
      <w:bookmarkStart w:id="2354" w:name="_Toc3303143"/>
      <w:bookmarkStart w:id="2355" w:name="_Toc3311381"/>
      <w:bookmarkStart w:id="2356" w:name="_Toc4752909"/>
      <w:bookmarkStart w:id="2357" w:name="_Toc3303144"/>
      <w:bookmarkStart w:id="2358" w:name="_Toc3311382"/>
      <w:bookmarkStart w:id="2359" w:name="_Toc4752910"/>
      <w:bookmarkStart w:id="2360" w:name="_Toc3303145"/>
      <w:bookmarkStart w:id="2361" w:name="_Toc3311383"/>
      <w:bookmarkStart w:id="2362" w:name="_Toc4752911"/>
      <w:bookmarkStart w:id="2363" w:name="_Toc3303146"/>
      <w:bookmarkStart w:id="2364" w:name="_Toc3311384"/>
      <w:bookmarkStart w:id="2365" w:name="_Toc4752912"/>
      <w:bookmarkStart w:id="2366" w:name="_Toc3303147"/>
      <w:bookmarkStart w:id="2367" w:name="_Toc3311385"/>
      <w:bookmarkStart w:id="2368" w:name="_Toc4752913"/>
      <w:bookmarkStart w:id="2369" w:name="_Toc3303148"/>
      <w:bookmarkStart w:id="2370" w:name="_Toc3311386"/>
      <w:bookmarkStart w:id="2371" w:name="_Toc4752914"/>
      <w:bookmarkStart w:id="2372" w:name="_Toc3303158"/>
      <w:bookmarkStart w:id="2373" w:name="_Toc3311396"/>
      <w:bookmarkStart w:id="2374" w:name="_Toc4752924"/>
      <w:bookmarkStart w:id="2375" w:name="_Toc3303159"/>
      <w:bookmarkStart w:id="2376" w:name="_Toc3311397"/>
      <w:bookmarkStart w:id="2377" w:name="_Toc4752925"/>
      <w:bookmarkStart w:id="2378" w:name="_Toc3303160"/>
      <w:bookmarkStart w:id="2379" w:name="_Toc3311398"/>
      <w:bookmarkStart w:id="2380" w:name="_Toc4752926"/>
      <w:bookmarkStart w:id="2381" w:name="_Toc3303161"/>
      <w:bookmarkStart w:id="2382" w:name="_Toc3311399"/>
      <w:bookmarkStart w:id="2383" w:name="_Toc4752927"/>
      <w:bookmarkStart w:id="2384" w:name="_Toc3303162"/>
      <w:bookmarkStart w:id="2385" w:name="_Toc3311400"/>
      <w:bookmarkStart w:id="2386" w:name="_Toc4752928"/>
      <w:bookmarkStart w:id="2387" w:name="_Toc3303163"/>
      <w:bookmarkStart w:id="2388" w:name="_Toc3311401"/>
      <w:bookmarkStart w:id="2389" w:name="_Toc4752929"/>
      <w:bookmarkStart w:id="2390" w:name="_Toc3303164"/>
      <w:bookmarkStart w:id="2391" w:name="_Toc3311402"/>
      <w:bookmarkStart w:id="2392" w:name="_Toc4752930"/>
      <w:bookmarkStart w:id="2393" w:name="_Toc3303165"/>
      <w:bookmarkStart w:id="2394" w:name="_Toc3311403"/>
      <w:bookmarkStart w:id="2395" w:name="_Toc4752931"/>
      <w:bookmarkStart w:id="2396" w:name="_Toc3303166"/>
      <w:bookmarkStart w:id="2397" w:name="_Toc3311404"/>
      <w:bookmarkStart w:id="2398" w:name="_Toc4752932"/>
      <w:bookmarkStart w:id="2399" w:name="_Toc3303167"/>
      <w:bookmarkStart w:id="2400" w:name="_Toc3311405"/>
      <w:bookmarkStart w:id="2401" w:name="_Toc4752933"/>
      <w:bookmarkStart w:id="2402" w:name="_Toc3303168"/>
      <w:bookmarkStart w:id="2403" w:name="_Toc3311406"/>
      <w:bookmarkStart w:id="2404" w:name="_Toc4752934"/>
      <w:bookmarkStart w:id="2405" w:name="_Toc3303169"/>
      <w:bookmarkStart w:id="2406" w:name="_Toc3311407"/>
      <w:bookmarkStart w:id="2407" w:name="_Toc4752935"/>
      <w:bookmarkStart w:id="2408" w:name="_Toc3303172"/>
      <w:bookmarkStart w:id="2409" w:name="_Toc3311410"/>
      <w:bookmarkStart w:id="2410" w:name="_Toc4752938"/>
      <w:bookmarkStart w:id="2411" w:name="_Toc3303173"/>
      <w:bookmarkStart w:id="2412" w:name="_Toc3311411"/>
      <w:bookmarkStart w:id="2413" w:name="_Toc4752939"/>
      <w:bookmarkStart w:id="2414" w:name="_Toc3303174"/>
      <w:bookmarkStart w:id="2415" w:name="_Toc3311412"/>
      <w:bookmarkStart w:id="2416" w:name="_Toc4752940"/>
      <w:bookmarkStart w:id="2417" w:name="_Toc3303175"/>
      <w:bookmarkStart w:id="2418" w:name="_Toc3311413"/>
      <w:bookmarkStart w:id="2419" w:name="_Toc4752941"/>
      <w:bookmarkStart w:id="2420" w:name="_Toc3303182"/>
      <w:bookmarkStart w:id="2421" w:name="_Toc3311420"/>
      <w:bookmarkStart w:id="2422" w:name="_Toc4752948"/>
      <w:bookmarkStart w:id="2423" w:name="_Toc3303252"/>
      <w:bookmarkStart w:id="2424" w:name="_Toc3311490"/>
      <w:bookmarkStart w:id="2425" w:name="_Toc4753018"/>
      <w:bookmarkStart w:id="2426" w:name="_Toc3303253"/>
      <w:bookmarkStart w:id="2427" w:name="_Toc3311491"/>
      <w:bookmarkStart w:id="2428" w:name="_Toc4753019"/>
      <w:bookmarkStart w:id="2429" w:name="_Toc3303254"/>
      <w:bookmarkStart w:id="2430" w:name="_Toc3311492"/>
      <w:bookmarkStart w:id="2431" w:name="_Toc4753020"/>
      <w:bookmarkStart w:id="2432" w:name="_Toc3303255"/>
      <w:bookmarkStart w:id="2433" w:name="_Toc3311493"/>
      <w:bookmarkStart w:id="2434" w:name="_Toc4753021"/>
      <w:bookmarkStart w:id="2435" w:name="_Toc3303256"/>
      <w:bookmarkStart w:id="2436" w:name="_Toc3311494"/>
      <w:bookmarkStart w:id="2437" w:name="_Toc4753022"/>
      <w:bookmarkStart w:id="2438" w:name="_Toc3303257"/>
      <w:bookmarkStart w:id="2439" w:name="_Toc3311495"/>
      <w:bookmarkStart w:id="2440" w:name="_Toc4753023"/>
      <w:bookmarkStart w:id="2441" w:name="_Toc3303258"/>
      <w:bookmarkStart w:id="2442" w:name="_Toc3311496"/>
      <w:bookmarkStart w:id="2443" w:name="_Toc4753024"/>
      <w:bookmarkStart w:id="2444" w:name="_Toc3303288"/>
      <w:bookmarkStart w:id="2445" w:name="_Toc3311526"/>
      <w:bookmarkStart w:id="2446" w:name="_Toc4753054"/>
      <w:bookmarkStart w:id="2447" w:name="_Toc3303289"/>
      <w:bookmarkStart w:id="2448" w:name="_Toc3311527"/>
      <w:bookmarkStart w:id="2449" w:name="_Toc4753055"/>
      <w:bookmarkStart w:id="2450" w:name="_Toc3303290"/>
      <w:bookmarkStart w:id="2451" w:name="_Toc3311528"/>
      <w:bookmarkStart w:id="2452" w:name="_Toc4753056"/>
      <w:bookmarkStart w:id="2453" w:name="_Toc3303291"/>
      <w:bookmarkStart w:id="2454" w:name="_Toc3311529"/>
      <w:bookmarkStart w:id="2455" w:name="_Toc4753057"/>
      <w:bookmarkStart w:id="2456" w:name="_Toc3303292"/>
      <w:bookmarkStart w:id="2457" w:name="_Toc3311530"/>
      <w:bookmarkStart w:id="2458" w:name="_Toc4753058"/>
      <w:bookmarkStart w:id="2459" w:name="_Toc3303293"/>
      <w:bookmarkStart w:id="2460" w:name="_Toc3311531"/>
      <w:bookmarkStart w:id="2461" w:name="_Toc4753059"/>
      <w:bookmarkStart w:id="2462" w:name="_Toc3303294"/>
      <w:bookmarkStart w:id="2463" w:name="_Toc3311532"/>
      <w:bookmarkStart w:id="2464" w:name="_Toc4753060"/>
      <w:bookmarkStart w:id="2465" w:name="_Toc3303295"/>
      <w:bookmarkStart w:id="2466" w:name="_Toc3311533"/>
      <w:bookmarkStart w:id="2467" w:name="_Toc4753061"/>
      <w:bookmarkStart w:id="2468" w:name="_Toc3303296"/>
      <w:bookmarkStart w:id="2469" w:name="_Toc3311534"/>
      <w:bookmarkStart w:id="2470" w:name="_Toc4753062"/>
      <w:bookmarkStart w:id="2471" w:name="_Toc3303297"/>
      <w:bookmarkStart w:id="2472" w:name="_Toc3311535"/>
      <w:bookmarkStart w:id="2473" w:name="_Toc4753063"/>
      <w:bookmarkStart w:id="2474" w:name="_Toc3303298"/>
      <w:bookmarkStart w:id="2475" w:name="_Toc3311536"/>
      <w:bookmarkStart w:id="2476" w:name="_Toc4753064"/>
      <w:bookmarkStart w:id="2477" w:name="_Toc3303299"/>
      <w:bookmarkStart w:id="2478" w:name="_Toc3311537"/>
      <w:bookmarkStart w:id="2479" w:name="_Toc4753065"/>
      <w:bookmarkStart w:id="2480" w:name="_Toc3303300"/>
      <w:bookmarkStart w:id="2481" w:name="_Toc3311538"/>
      <w:bookmarkStart w:id="2482" w:name="_Toc4753066"/>
      <w:bookmarkStart w:id="2483" w:name="_Toc3303301"/>
      <w:bookmarkStart w:id="2484" w:name="_Toc3311539"/>
      <w:bookmarkStart w:id="2485" w:name="_Toc4753067"/>
      <w:bookmarkStart w:id="2486" w:name="_Toc3303302"/>
      <w:bookmarkStart w:id="2487" w:name="_Toc3311540"/>
      <w:bookmarkStart w:id="2488" w:name="_Toc4753068"/>
      <w:bookmarkStart w:id="2489" w:name="_Toc3303303"/>
      <w:bookmarkStart w:id="2490" w:name="_Toc3311541"/>
      <w:bookmarkStart w:id="2491" w:name="_Toc4753069"/>
      <w:bookmarkStart w:id="2492" w:name="_Toc3303304"/>
      <w:bookmarkStart w:id="2493" w:name="_Toc3311542"/>
      <w:bookmarkStart w:id="2494" w:name="_Toc4753070"/>
      <w:bookmarkStart w:id="2495" w:name="_Toc3303305"/>
      <w:bookmarkStart w:id="2496" w:name="_Toc3311543"/>
      <w:bookmarkStart w:id="2497" w:name="_Toc4753071"/>
      <w:bookmarkStart w:id="2498" w:name="_Toc3303306"/>
      <w:bookmarkStart w:id="2499" w:name="_Toc3311544"/>
      <w:bookmarkStart w:id="2500" w:name="_Toc4753072"/>
      <w:bookmarkStart w:id="2501" w:name="_Toc3303307"/>
      <w:bookmarkStart w:id="2502" w:name="_Toc3311545"/>
      <w:bookmarkStart w:id="2503" w:name="_Toc4753073"/>
      <w:bookmarkStart w:id="2504" w:name="_Toc3303308"/>
      <w:bookmarkStart w:id="2505" w:name="_Toc3311546"/>
      <w:bookmarkStart w:id="2506" w:name="_Toc4753074"/>
      <w:bookmarkStart w:id="2507" w:name="_Toc3303309"/>
      <w:bookmarkStart w:id="2508" w:name="_Toc3311547"/>
      <w:bookmarkStart w:id="2509" w:name="_Toc4753075"/>
      <w:bookmarkStart w:id="2510" w:name="_Toc3303310"/>
      <w:bookmarkStart w:id="2511" w:name="_Toc3311548"/>
      <w:bookmarkStart w:id="2512" w:name="_Toc4753076"/>
      <w:bookmarkStart w:id="2513" w:name="_Toc3303311"/>
      <w:bookmarkStart w:id="2514" w:name="_Toc3311549"/>
      <w:bookmarkStart w:id="2515" w:name="_Toc4753077"/>
      <w:bookmarkStart w:id="2516" w:name="_Toc3303312"/>
      <w:bookmarkStart w:id="2517" w:name="_Toc3311550"/>
      <w:bookmarkStart w:id="2518" w:name="_Toc4753078"/>
      <w:bookmarkStart w:id="2519" w:name="_Toc3303313"/>
      <w:bookmarkStart w:id="2520" w:name="_Toc3311551"/>
      <w:bookmarkStart w:id="2521" w:name="_Toc4753079"/>
      <w:bookmarkStart w:id="2522" w:name="_Toc3303314"/>
      <w:bookmarkStart w:id="2523" w:name="_Toc3311552"/>
      <w:bookmarkStart w:id="2524" w:name="_Toc4753080"/>
      <w:bookmarkStart w:id="2525" w:name="_Toc3303315"/>
      <w:bookmarkStart w:id="2526" w:name="_Toc3311553"/>
      <w:bookmarkStart w:id="2527" w:name="_Toc4753081"/>
      <w:bookmarkStart w:id="2528" w:name="_Toc3303316"/>
      <w:bookmarkStart w:id="2529" w:name="_Toc3311554"/>
      <w:bookmarkStart w:id="2530" w:name="_Toc4753082"/>
      <w:bookmarkStart w:id="2531" w:name="_Toc3303317"/>
      <w:bookmarkStart w:id="2532" w:name="_Toc3311555"/>
      <w:bookmarkStart w:id="2533" w:name="_Toc4753083"/>
      <w:bookmarkStart w:id="2534" w:name="_Toc3303318"/>
      <w:bookmarkStart w:id="2535" w:name="_Toc3311556"/>
      <w:bookmarkStart w:id="2536" w:name="_Toc4753084"/>
      <w:bookmarkStart w:id="2537" w:name="_Toc3303319"/>
      <w:bookmarkStart w:id="2538" w:name="_Toc3311557"/>
      <w:bookmarkStart w:id="2539" w:name="_Toc4753085"/>
      <w:bookmarkStart w:id="2540" w:name="_Toc3303320"/>
      <w:bookmarkStart w:id="2541" w:name="_Toc3311558"/>
      <w:bookmarkStart w:id="2542" w:name="_Toc4753086"/>
      <w:bookmarkStart w:id="2543" w:name="_Toc3303321"/>
      <w:bookmarkStart w:id="2544" w:name="_Toc3311559"/>
      <w:bookmarkStart w:id="2545" w:name="_Toc4753087"/>
      <w:bookmarkStart w:id="2546" w:name="_Toc3303322"/>
      <w:bookmarkStart w:id="2547" w:name="_Toc3311560"/>
      <w:bookmarkStart w:id="2548" w:name="_Toc4753088"/>
      <w:bookmarkStart w:id="2549" w:name="_Toc3303323"/>
      <w:bookmarkStart w:id="2550" w:name="_Toc3311561"/>
      <w:bookmarkStart w:id="2551" w:name="_Toc4753089"/>
      <w:bookmarkStart w:id="2552" w:name="_Toc3303324"/>
      <w:bookmarkStart w:id="2553" w:name="_Toc3311562"/>
      <w:bookmarkStart w:id="2554" w:name="_Toc4753090"/>
      <w:bookmarkStart w:id="2555" w:name="_Toc3303325"/>
      <w:bookmarkStart w:id="2556" w:name="_Toc3311563"/>
      <w:bookmarkStart w:id="2557" w:name="_Toc4753091"/>
      <w:bookmarkStart w:id="2558" w:name="_Toc3303326"/>
      <w:bookmarkStart w:id="2559" w:name="_Toc3311564"/>
      <w:bookmarkStart w:id="2560" w:name="_Toc4753092"/>
      <w:bookmarkStart w:id="2561" w:name="_Toc3303327"/>
      <w:bookmarkStart w:id="2562" w:name="_Toc3311565"/>
      <w:bookmarkStart w:id="2563" w:name="_Toc4753093"/>
      <w:bookmarkStart w:id="2564" w:name="_Toc3303328"/>
      <w:bookmarkStart w:id="2565" w:name="_Toc3311566"/>
      <w:bookmarkStart w:id="2566" w:name="_Toc4753094"/>
      <w:bookmarkStart w:id="2567" w:name="_Toc3303329"/>
      <w:bookmarkStart w:id="2568" w:name="_Toc3311567"/>
      <w:bookmarkStart w:id="2569" w:name="_Toc4753095"/>
      <w:bookmarkStart w:id="2570" w:name="_Toc3303330"/>
      <w:bookmarkStart w:id="2571" w:name="_Toc3311568"/>
      <w:bookmarkStart w:id="2572" w:name="_Toc4753096"/>
      <w:bookmarkStart w:id="2573" w:name="_Toc3303331"/>
      <w:bookmarkStart w:id="2574" w:name="_Toc3311569"/>
      <w:bookmarkStart w:id="2575" w:name="_Toc4753097"/>
      <w:bookmarkStart w:id="2576" w:name="_Toc3303332"/>
      <w:bookmarkStart w:id="2577" w:name="_Toc3311570"/>
      <w:bookmarkStart w:id="2578" w:name="_Toc4753098"/>
      <w:bookmarkStart w:id="2579" w:name="_Toc3303333"/>
      <w:bookmarkStart w:id="2580" w:name="_Toc3311571"/>
      <w:bookmarkStart w:id="2581" w:name="_Toc4753099"/>
      <w:bookmarkStart w:id="2582" w:name="_Toc3303334"/>
      <w:bookmarkStart w:id="2583" w:name="_Toc3311572"/>
      <w:bookmarkStart w:id="2584" w:name="_Toc4753100"/>
      <w:bookmarkStart w:id="2585" w:name="_Toc3303335"/>
      <w:bookmarkStart w:id="2586" w:name="_Toc3311573"/>
      <w:bookmarkStart w:id="2587" w:name="_Toc4753101"/>
      <w:bookmarkStart w:id="2588" w:name="_Toc3303336"/>
      <w:bookmarkStart w:id="2589" w:name="_Toc3311574"/>
      <w:bookmarkStart w:id="2590" w:name="_Toc4753102"/>
      <w:bookmarkStart w:id="2591" w:name="_Toc3303341"/>
      <w:bookmarkStart w:id="2592" w:name="_Toc3311579"/>
      <w:bookmarkStart w:id="2593" w:name="_Toc4753107"/>
      <w:bookmarkStart w:id="2594" w:name="_Toc3303389"/>
      <w:bookmarkStart w:id="2595" w:name="_Toc3311627"/>
      <w:bookmarkStart w:id="2596" w:name="_Toc4753155"/>
      <w:bookmarkStart w:id="2597" w:name="_Toc3303390"/>
      <w:bookmarkStart w:id="2598" w:name="_Toc3311628"/>
      <w:bookmarkStart w:id="2599" w:name="_Toc4753156"/>
      <w:bookmarkStart w:id="2600" w:name="_Toc3303391"/>
      <w:bookmarkStart w:id="2601" w:name="_Toc3311629"/>
      <w:bookmarkStart w:id="2602" w:name="_Toc4753157"/>
      <w:bookmarkStart w:id="2603" w:name="_Toc3303392"/>
      <w:bookmarkStart w:id="2604" w:name="_Toc3311630"/>
      <w:bookmarkStart w:id="2605" w:name="_Toc4753158"/>
      <w:bookmarkStart w:id="2606" w:name="_Toc3303393"/>
      <w:bookmarkStart w:id="2607" w:name="_Toc3311631"/>
      <w:bookmarkStart w:id="2608" w:name="_Toc4753159"/>
      <w:bookmarkStart w:id="2609" w:name="_Toc3303394"/>
      <w:bookmarkStart w:id="2610" w:name="_Toc3311632"/>
      <w:bookmarkStart w:id="2611" w:name="_Toc4753160"/>
      <w:bookmarkStart w:id="2612" w:name="_Toc3303395"/>
      <w:bookmarkStart w:id="2613" w:name="_Toc3311633"/>
      <w:bookmarkStart w:id="2614" w:name="_Toc4753161"/>
      <w:bookmarkStart w:id="2615" w:name="_Toc3303396"/>
      <w:bookmarkStart w:id="2616" w:name="_Toc3311634"/>
      <w:bookmarkStart w:id="2617" w:name="_Toc4753162"/>
      <w:bookmarkStart w:id="2618" w:name="_Toc3303397"/>
      <w:bookmarkStart w:id="2619" w:name="_Toc3311635"/>
      <w:bookmarkStart w:id="2620" w:name="_Toc4753163"/>
      <w:bookmarkStart w:id="2621" w:name="_Toc3303398"/>
      <w:bookmarkStart w:id="2622" w:name="_Toc3311636"/>
      <w:bookmarkStart w:id="2623" w:name="_Toc4753164"/>
      <w:bookmarkStart w:id="2624" w:name="_Toc3303399"/>
      <w:bookmarkStart w:id="2625" w:name="_Toc3311637"/>
      <w:bookmarkStart w:id="2626" w:name="_Toc4753165"/>
      <w:bookmarkStart w:id="2627" w:name="_Toc3303400"/>
      <w:bookmarkStart w:id="2628" w:name="_Toc3311638"/>
      <w:bookmarkStart w:id="2629" w:name="_Toc4753166"/>
      <w:bookmarkStart w:id="2630" w:name="_Toc3303401"/>
      <w:bookmarkStart w:id="2631" w:name="_Toc3311639"/>
      <w:bookmarkStart w:id="2632" w:name="_Toc4753167"/>
      <w:bookmarkStart w:id="2633" w:name="_Toc3303402"/>
      <w:bookmarkStart w:id="2634" w:name="_Toc3311640"/>
      <w:bookmarkStart w:id="2635" w:name="_Toc4753168"/>
      <w:bookmarkStart w:id="2636" w:name="_Toc3303403"/>
      <w:bookmarkStart w:id="2637" w:name="_Toc3311641"/>
      <w:bookmarkStart w:id="2638" w:name="_Toc4753169"/>
      <w:bookmarkStart w:id="2639" w:name="_Toc3303404"/>
      <w:bookmarkStart w:id="2640" w:name="_Toc3311642"/>
      <w:bookmarkStart w:id="2641" w:name="_Toc4753170"/>
      <w:bookmarkStart w:id="2642" w:name="_Toc3303405"/>
      <w:bookmarkStart w:id="2643" w:name="_Toc3311643"/>
      <w:bookmarkStart w:id="2644" w:name="_Toc4753171"/>
      <w:bookmarkStart w:id="2645" w:name="_Toc3303406"/>
      <w:bookmarkStart w:id="2646" w:name="_Toc3311644"/>
      <w:bookmarkStart w:id="2647" w:name="_Toc4753172"/>
      <w:bookmarkStart w:id="2648" w:name="_Toc3303407"/>
      <w:bookmarkStart w:id="2649" w:name="_Toc3311645"/>
      <w:bookmarkStart w:id="2650" w:name="_Toc4753173"/>
      <w:bookmarkStart w:id="2651" w:name="_Toc3303408"/>
      <w:bookmarkStart w:id="2652" w:name="_Toc3311646"/>
      <w:bookmarkStart w:id="2653" w:name="_Toc4753174"/>
      <w:bookmarkStart w:id="2654" w:name="_Toc3303409"/>
      <w:bookmarkStart w:id="2655" w:name="_Toc3311647"/>
      <w:bookmarkStart w:id="2656" w:name="_Toc4753175"/>
      <w:bookmarkStart w:id="2657" w:name="_Toc3303412"/>
      <w:bookmarkStart w:id="2658" w:name="_Toc3311650"/>
      <w:bookmarkStart w:id="2659" w:name="_Toc4753178"/>
      <w:bookmarkStart w:id="2660" w:name="_Toc3303413"/>
      <w:bookmarkStart w:id="2661" w:name="_Toc3311651"/>
      <w:bookmarkStart w:id="2662" w:name="_Toc4753179"/>
      <w:bookmarkStart w:id="2663" w:name="_Toc3303414"/>
      <w:bookmarkStart w:id="2664" w:name="_Toc3311652"/>
      <w:bookmarkStart w:id="2665" w:name="_Toc4753180"/>
      <w:bookmarkStart w:id="2666" w:name="_Toc3303415"/>
      <w:bookmarkStart w:id="2667" w:name="_Toc3311653"/>
      <w:bookmarkStart w:id="2668" w:name="_Toc4753181"/>
      <w:bookmarkStart w:id="2669" w:name="_Toc3303422"/>
      <w:bookmarkStart w:id="2670" w:name="_Toc3311660"/>
      <w:bookmarkStart w:id="2671" w:name="_Toc4753188"/>
      <w:bookmarkStart w:id="2672" w:name="_Toc3303492"/>
      <w:bookmarkStart w:id="2673" w:name="_Toc3311730"/>
      <w:bookmarkStart w:id="2674" w:name="_Toc4753258"/>
      <w:bookmarkStart w:id="2675" w:name="_Toc3303493"/>
      <w:bookmarkStart w:id="2676" w:name="_Toc3311731"/>
      <w:bookmarkStart w:id="2677" w:name="_Toc4753259"/>
      <w:bookmarkStart w:id="2678" w:name="_Toc3303494"/>
      <w:bookmarkStart w:id="2679" w:name="_Toc3311732"/>
      <w:bookmarkStart w:id="2680" w:name="_Toc4753260"/>
      <w:bookmarkStart w:id="2681" w:name="_Toc3303495"/>
      <w:bookmarkStart w:id="2682" w:name="_Toc3311733"/>
      <w:bookmarkStart w:id="2683" w:name="_Toc4753261"/>
      <w:bookmarkStart w:id="2684" w:name="_Toc3303496"/>
      <w:bookmarkStart w:id="2685" w:name="_Toc3311734"/>
      <w:bookmarkStart w:id="2686" w:name="_Toc4753262"/>
      <w:bookmarkStart w:id="2687" w:name="_Toc3303497"/>
      <w:bookmarkStart w:id="2688" w:name="_Toc3311735"/>
      <w:bookmarkStart w:id="2689" w:name="_Toc4753263"/>
      <w:bookmarkStart w:id="2690" w:name="_Toc3303498"/>
      <w:bookmarkStart w:id="2691" w:name="_Toc3311736"/>
      <w:bookmarkStart w:id="2692" w:name="_Toc4753264"/>
      <w:bookmarkStart w:id="2693" w:name="_Toc3303528"/>
      <w:bookmarkStart w:id="2694" w:name="_Toc3311766"/>
      <w:bookmarkStart w:id="2695" w:name="_Toc4753294"/>
      <w:bookmarkStart w:id="2696" w:name="_Toc3303529"/>
      <w:bookmarkStart w:id="2697" w:name="_Toc3311767"/>
      <w:bookmarkStart w:id="2698" w:name="_Toc4753295"/>
      <w:bookmarkStart w:id="2699" w:name="_Toc3303530"/>
      <w:bookmarkStart w:id="2700" w:name="_Toc3311768"/>
      <w:bookmarkStart w:id="2701" w:name="_Toc4753296"/>
      <w:bookmarkStart w:id="2702" w:name="_Toc3303531"/>
      <w:bookmarkStart w:id="2703" w:name="_Toc3311769"/>
      <w:bookmarkStart w:id="2704" w:name="_Toc4753297"/>
      <w:bookmarkStart w:id="2705" w:name="_Toc3303532"/>
      <w:bookmarkStart w:id="2706" w:name="_Toc3311770"/>
      <w:bookmarkStart w:id="2707" w:name="_Toc4753298"/>
      <w:bookmarkStart w:id="2708" w:name="_Toc3303533"/>
      <w:bookmarkStart w:id="2709" w:name="_Toc3311771"/>
      <w:bookmarkStart w:id="2710" w:name="_Toc4753299"/>
      <w:bookmarkStart w:id="2711" w:name="_Toc3303534"/>
      <w:bookmarkStart w:id="2712" w:name="_Toc3311772"/>
      <w:bookmarkStart w:id="2713" w:name="_Toc4753300"/>
      <w:bookmarkStart w:id="2714" w:name="_Toc3303535"/>
      <w:bookmarkStart w:id="2715" w:name="_Toc3311773"/>
      <w:bookmarkStart w:id="2716" w:name="_Toc4753301"/>
      <w:bookmarkStart w:id="2717" w:name="_Toc3303536"/>
      <w:bookmarkStart w:id="2718" w:name="_Toc3311774"/>
      <w:bookmarkStart w:id="2719" w:name="_Toc4753302"/>
      <w:bookmarkStart w:id="2720" w:name="_Toc3303537"/>
      <w:bookmarkStart w:id="2721" w:name="_Toc3311775"/>
      <w:bookmarkStart w:id="2722" w:name="_Toc4753303"/>
      <w:bookmarkStart w:id="2723" w:name="_Toc3303538"/>
      <w:bookmarkStart w:id="2724" w:name="_Toc3311776"/>
      <w:bookmarkStart w:id="2725" w:name="_Toc4753304"/>
      <w:bookmarkStart w:id="2726" w:name="_Toc3303539"/>
      <w:bookmarkStart w:id="2727" w:name="_Toc3311777"/>
      <w:bookmarkStart w:id="2728" w:name="_Toc4753305"/>
      <w:bookmarkStart w:id="2729" w:name="_Toc3303540"/>
      <w:bookmarkStart w:id="2730" w:name="_Toc3311778"/>
      <w:bookmarkStart w:id="2731" w:name="_Toc4753306"/>
      <w:bookmarkStart w:id="2732" w:name="_Toc3303541"/>
      <w:bookmarkStart w:id="2733" w:name="_Toc3311779"/>
      <w:bookmarkStart w:id="2734" w:name="_Toc4753307"/>
      <w:bookmarkStart w:id="2735" w:name="_Toc3303542"/>
      <w:bookmarkStart w:id="2736" w:name="_Toc3311780"/>
      <w:bookmarkStart w:id="2737" w:name="_Toc4753308"/>
      <w:bookmarkStart w:id="2738" w:name="_Toc3303543"/>
      <w:bookmarkStart w:id="2739" w:name="_Toc3311781"/>
      <w:bookmarkStart w:id="2740" w:name="_Toc4753309"/>
      <w:bookmarkStart w:id="2741" w:name="_Toc3303544"/>
      <w:bookmarkStart w:id="2742" w:name="_Toc3311782"/>
      <w:bookmarkStart w:id="2743" w:name="_Toc4753310"/>
      <w:bookmarkStart w:id="2744" w:name="_Toc3303545"/>
      <w:bookmarkStart w:id="2745" w:name="_Toc3311783"/>
      <w:bookmarkStart w:id="2746" w:name="_Toc4753311"/>
      <w:bookmarkStart w:id="2747" w:name="_Toc3303546"/>
      <w:bookmarkStart w:id="2748" w:name="_Toc3311784"/>
      <w:bookmarkStart w:id="2749" w:name="_Toc4753312"/>
      <w:bookmarkStart w:id="2750" w:name="_Toc3303547"/>
      <w:bookmarkStart w:id="2751" w:name="_Toc3311785"/>
      <w:bookmarkStart w:id="2752" w:name="_Toc4753313"/>
      <w:bookmarkStart w:id="2753" w:name="_Toc3303548"/>
      <w:bookmarkStart w:id="2754" w:name="_Toc3311786"/>
      <w:bookmarkStart w:id="2755" w:name="_Toc4753314"/>
      <w:bookmarkStart w:id="2756" w:name="_Toc3303549"/>
      <w:bookmarkStart w:id="2757" w:name="_Toc3311787"/>
      <w:bookmarkStart w:id="2758" w:name="_Toc4753315"/>
      <w:bookmarkStart w:id="2759" w:name="_Toc3303550"/>
      <w:bookmarkStart w:id="2760" w:name="_Toc3311788"/>
      <w:bookmarkStart w:id="2761" w:name="_Toc4753316"/>
      <w:bookmarkStart w:id="2762" w:name="_Toc3303551"/>
      <w:bookmarkStart w:id="2763" w:name="_Toc3311789"/>
      <w:bookmarkStart w:id="2764" w:name="_Toc4753317"/>
      <w:bookmarkStart w:id="2765" w:name="_Toc3303552"/>
      <w:bookmarkStart w:id="2766" w:name="_Toc3311790"/>
      <w:bookmarkStart w:id="2767" w:name="_Toc4753318"/>
      <w:bookmarkStart w:id="2768" w:name="_Toc3303553"/>
      <w:bookmarkStart w:id="2769" w:name="_Toc3311791"/>
      <w:bookmarkStart w:id="2770" w:name="_Toc4753319"/>
      <w:bookmarkStart w:id="2771" w:name="_Toc3303554"/>
      <w:bookmarkStart w:id="2772" w:name="_Toc3311792"/>
      <w:bookmarkStart w:id="2773" w:name="_Toc4753320"/>
      <w:bookmarkStart w:id="2774" w:name="_Toc3303555"/>
      <w:bookmarkStart w:id="2775" w:name="_Toc3311793"/>
      <w:bookmarkStart w:id="2776" w:name="_Toc4753321"/>
      <w:bookmarkStart w:id="2777" w:name="_Toc3303556"/>
      <w:bookmarkStart w:id="2778" w:name="_Toc3311794"/>
      <w:bookmarkStart w:id="2779" w:name="_Toc4753322"/>
      <w:bookmarkStart w:id="2780" w:name="_Toc3303557"/>
      <w:bookmarkStart w:id="2781" w:name="_Toc3311795"/>
      <w:bookmarkStart w:id="2782" w:name="_Toc4753323"/>
      <w:bookmarkStart w:id="2783" w:name="_Toc3303558"/>
      <w:bookmarkStart w:id="2784" w:name="_Toc3311796"/>
      <w:bookmarkStart w:id="2785" w:name="_Toc4753324"/>
      <w:bookmarkStart w:id="2786" w:name="_Toc3303559"/>
      <w:bookmarkStart w:id="2787" w:name="_Toc3311797"/>
      <w:bookmarkStart w:id="2788" w:name="_Toc4753325"/>
      <w:bookmarkStart w:id="2789" w:name="_Toc3303560"/>
      <w:bookmarkStart w:id="2790" w:name="_Toc3311798"/>
      <w:bookmarkStart w:id="2791" w:name="_Toc4753326"/>
      <w:bookmarkStart w:id="2792" w:name="_Toc3303561"/>
      <w:bookmarkStart w:id="2793" w:name="_Toc3311799"/>
      <w:bookmarkStart w:id="2794" w:name="_Toc4753327"/>
      <w:bookmarkStart w:id="2795" w:name="_Toc3303562"/>
      <w:bookmarkStart w:id="2796" w:name="_Toc3311800"/>
      <w:bookmarkStart w:id="2797" w:name="_Toc4753328"/>
      <w:bookmarkStart w:id="2798" w:name="_Toc3303563"/>
      <w:bookmarkStart w:id="2799" w:name="_Toc3311801"/>
      <w:bookmarkStart w:id="2800" w:name="_Toc4753329"/>
      <w:bookmarkStart w:id="2801" w:name="_Toc3303564"/>
      <w:bookmarkStart w:id="2802" w:name="_Toc3311802"/>
      <w:bookmarkStart w:id="2803" w:name="_Toc4753330"/>
      <w:bookmarkStart w:id="2804" w:name="_Toc3303565"/>
      <w:bookmarkStart w:id="2805" w:name="_Toc3311803"/>
      <w:bookmarkStart w:id="2806" w:name="_Toc4753331"/>
      <w:bookmarkStart w:id="2807" w:name="_Toc3303566"/>
      <w:bookmarkStart w:id="2808" w:name="_Toc3311804"/>
      <w:bookmarkStart w:id="2809" w:name="_Toc4753332"/>
      <w:bookmarkStart w:id="2810" w:name="_Toc3303567"/>
      <w:bookmarkStart w:id="2811" w:name="_Toc3311805"/>
      <w:bookmarkStart w:id="2812" w:name="_Toc4753333"/>
      <w:bookmarkStart w:id="2813" w:name="_Toc3303568"/>
      <w:bookmarkStart w:id="2814" w:name="_Toc3311806"/>
      <w:bookmarkStart w:id="2815" w:name="_Toc4753334"/>
      <w:bookmarkStart w:id="2816" w:name="_Toc3303569"/>
      <w:bookmarkStart w:id="2817" w:name="_Toc3311807"/>
      <w:bookmarkStart w:id="2818" w:name="_Toc4753335"/>
      <w:bookmarkStart w:id="2819" w:name="_Toc3303570"/>
      <w:bookmarkStart w:id="2820" w:name="_Toc3311808"/>
      <w:bookmarkStart w:id="2821" w:name="_Toc4753336"/>
      <w:bookmarkStart w:id="2822" w:name="_Toc3303571"/>
      <w:bookmarkStart w:id="2823" w:name="_Toc3311809"/>
      <w:bookmarkStart w:id="2824" w:name="_Toc4753337"/>
      <w:bookmarkStart w:id="2825" w:name="_Toc3303572"/>
      <w:bookmarkStart w:id="2826" w:name="_Toc3311810"/>
      <w:bookmarkStart w:id="2827" w:name="_Toc4753338"/>
      <w:bookmarkStart w:id="2828" w:name="_Toc3303577"/>
      <w:bookmarkStart w:id="2829" w:name="_Toc3311815"/>
      <w:bookmarkStart w:id="2830" w:name="_Toc4753343"/>
      <w:bookmarkStart w:id="2831" w:name="_Toc3303625"/>
      <w:bookmarkStart w:id="2832" w:name="_Toc3311863"/>
      <w:bookmarkStart w:id="2833" w:name="_Toc4753391"/>
      <w:bookmarkStart w:id="2834" w:name="_Toc3303626"/>
      <w:bookmarkStart w:id="2835" w:name="_Toc3311864"/>
      <w:bookmarkStart w:id="2836" w:name="_Toc4753392"/>
      <w:bookmarkStart w:id="2837" w:name="_Toc3303627"/>
      <w:bookmarkStart w:id="2838" w:name="_Toc3311865"/>
      <w:bookmarkStart w:id="2839" w:name="_Toc4753393"/>
      <w:bookmarkStart w:id="2840" w:name="_Toc3303628"/>
      <w:bookmarkStart w:id="2841" w:name="_Toc3311866"/>
      <w:bookmarkStart w:id="2842" w:name="_Toc4753394"/>
      <w:bookmarkStart w:id="2843" w:name="_Toc3303629"/>
      <w:bookmarkStart w:id="2844" w:name="_Toc3311867"/>
      <w:bookmarkStart w:id="2845" w:name="_Toc4753395"/>
      <w:bookmarkStart w:id="2846" w:name="_Toc3303630"/>
      <w:bookmarkStart w:id="2847" w:name="_Toc3311868"/>
      <w:bookmarkStart w:id="2848" w:name="_Toc4753396"/>
      <w:bookmarkStart w:id="2849" w:name="_Toc3303631"/>
      <w:bookmarkStart w:id="2850" w:name="_Toc3311869"/>
      <w:bookmarkStart w:id="2851" w:name="_Toc4753397"/>
      <w:bookmarkStart w:id="2852" w:name="_Toc3303639"/>
      <w:bookmarkStart w:id="2853" w:name="_Toc3311877"/>
      <w:bookmarkStart w:id="2854" w:name="_Toc4753405"/>
      <w:bookmarkStart w:id="2855" w:name="_Toc3303737"/>
      <w:bookmarkStart w:id="2856" w:name="_Toc3311975"/>
      <w:bookmarkStart w:id="2857" w:name="_Toc4753503"/>
      <w:bookmarkStart w:id="2858" w:name="_Toc3303738"/>
      <w:bookmarkStart w:id="2859" w:name="_Toc3311976"/>
      <w:bookmarkStart w:id="2860" w:name="_Toc4753504"/>
      <w:bookmarkStart w:id="2861" w:name="_Toc3303739"/>
      <w:bookmarkStart w:id="2862" w:name="_Toc3311977"/>
      <w:bookmarkStart w:id="2863" w:name="_Toc4753505"/>
      <w:bookmarkStart w:id="2864" w:name="_Toc3303740"/>
      <w:bookmarkStart w:id="2865" w:name="_Toc3311978"/>
      <w:bookmarkStart w:id="2866" w:name="_Toc4753506"/>
      <w:bookmarkStart w:id="2867" w:name="_Toc3303741"/>
      <w:bookmarkStart w:id="2868" w:name="_Toc3311979"/>
      <w:bookmarkStart w:id="2869" w:name="_Toc4753507"/>
      <w:bookmarkStart w:id="2870" w:name="_Toc3303742"/>
      <w:bookmarkStart w:id="2871" w:name="_Toc3311980"/>
      <w:bookmarkStart w:id="2872" w:name="_Toc4753508"/>
      <w:bookmarkStart w:id="2873" w:name="_Toc3303743"/>
      <w:bookmarkStart w:id="2874" w:name="_Toc3311981"/>
      <w:bookmarkStart w:id="2875" w:name="_Toc4753509"/>
      <w:bookmarkStart w:id="2876" w:name="_Toc3303744"/>
      <w:bookmarkStart w:id="2877" w:name="_Toc3311982"/>
      <w:bookmarkStart w:id="2878" w:name="_Toc4753510"/>
      <w:bookmarkStart w:id="2879" w:name="_Toc3303752"/>
      <w:bookmarkStart w:id="2880" w:name="_Toc3311990"/>
      <w:bookmarkStart w:id="2881" w:name="_Toc4753518"/>
      <w:bookmarkStart w:id="2882" w:name="_Toc3303753"/>
      <w:bookmarkStart w:id="2883" w:name="_Toc3311991"/>
      <w:bookmarkStart w:id="2884" w:name="_Toc4753519"/>
      <w:bookmarkStart w:id="2885" w:name="_Toc3303754"/>
      <w:bookmarkStart w:id="2886" w:name="_Toc3311992"/>
      <w:bookmarkStart w:id="2887" w:name="_Toc4753520"/>
      <w:bookmarkStart w:id="2888" w:name="_Toc3303755"/>
      <w:bookmarkStart w:id="2889" w:name="_Toc3311993"/>
      <w:bookmarkStart w:id="2890" w:name="_Toc4753521"/>
      <w:bookmarkStart w:id="2891" w:name="_Toc3303756"/>
      <w:bookmarkStart w:id="2892" w:name="_Toc3311994"/>
      <w:bookmarkStart w:id="2893" w:name="_Toc4753522"/>
      <w:bookmarkStart w:id="2894" w:name="_Toc3303757"/>
      <w:bookmarkStart w:id="2895" w:name="_Toc3311995"/>
      <w:bookmarkStart w:id="2896" w:name="_Toc4753523"/>
      <w:bookmarkStart w:id="2897" w:name="_Toc3303758"/>
      <w:bookmarkStart w:id="2898" w:name="_Toc3311996"/>
      <w:bookmarkStart w:id="2899" w:name="_Toc4753524"/>
      <w:bookmarkStart w:id="2900" w:name="_Toc3303759"/>
      <w:bookmarkStart w:id="2901" w:name="_Toc3311997"/>
      <w:bookmarkStart w:id="2902" w:name="_Toc4753525"/>
      <w:bookmarkStart w:id="2903" w:name="_Toc3303760"/>
      <w:bookmarkStart w:id="2904" w:name="_Toc3311998"/>
      <w:bookmarkStart w:id="2905" w:name="_Toc4753526"/>
      <w:bookmarkStart w:id="2906" w:name="_Toc3303761"/>
      <w:bookmarkStart w:id="2907" w:name="_Toc3311999"/>
      <w:bookmarkStart w:id="2908" w:name="_Toc4753527"/>
      <w:bookmarkStart w:id="2909" w:name="_Toc3303762"/>
      <w:bookmarkStart w:id="2910" w:name="_Toc3312000"/>
      <w:bookmarkStart w:id="2911" w:name="_Toc4753528"/>
      <w:bookmarkStart w:id="2912" w:name="_Toc3303763"/>
      <w:bookmarkStart w:id="2913" w:name="_Toc3312001"/>
      <w:bookmarkStart w:id="2914" w:name="_Toc4753529"/>
      <w:bookmarkStart w:id="2915" w:name="_Toc3303764"/>
      <w:bookmarkStart w:id="2916" w:name="_Toc3312002"/>
      <w:bookmarkStart w:id="2917" w:name="_Toc4753530"/>
      <w:bookmarkStart w:id="2918" w:name="_Toc3303767"/>
      <w:bookmarkStart w:id="2919" w:name="_Toc3312005"/>
      <w:bookmarkStart w:id="2920" w:name="_Toc4753533"/>
      <w:bookmarkStart w:id="2921" w:name="_Toc3303768"/>
      <w:bookmarkStart w:id="2922" w:name="_Toc3312006"/>
      <w:bookmarkStart w:id="2923" w:name="_Toc4753534"/>
      <w:bookmarkStart w:id="2924" w:name="_Toc3303769"/>
      <w:bookmarkStart w:id="2925" w:name="_Toc3312007"/>
      <w:bookmarkStart w:id="2926" w:name="_Toc4753535"/>
      <w:bookmarkStart w:id="2927" w:name="_Toc3303770"/>
      <w:bookmarkStart w:id="2928" w:name="_Toc3312008"/>
      <w:bookmarkStart w:id="2929" w:name="_Toc4753536"/>
      <w:bookmarkStart w:id="2930" w:name="_Toc3303777"/>
      <w:bookmarkStart w:id="2931" w:name="_Toc3312015"/>
      <w:bookmarkStart w:id="2932" w:name="_Toc4753543"/>
      <w:bookmarkStart w:id="2933" w:name="_Toc3303847"/>
      <w:bookmarkStart w:id="2934" w:name="_Toc3312085"/>
      <w:bookmarkStart w:id="2935" w:name="_Toc4753613"/>
      <w:bookmarkStart w:id="2936" w:name="_Toc3303848"/>
      <w:bookmarkStart w:id="2937" w:name="_Toc3312086"/>
      <w:bookmarkStart w:id="2938" w:name="_Toc4753614"/>
      <w:bookmarkStart w:id="2939" w:name="_Toc3303849"/>
      <w:bookmarkStart w:id="2940" w:name="_Toc3312087"/>
      <w:bookmarkStart w:id="2941" w:name="_Toc4753615"/>
      <w:bookmarkStart w:id="2942" w:name="_Toc3303850"/>
      <w:bookmarkStart w:id="2943" w:name="_Toc3312088"/>
      <w:bookmarkStart w:id="2944" w:name="_Toc4753616"/>
      <w:bookmarkStart w:id="2945" w:name="_Toc3303851"/>
      <w:bookmarkStart w:id="2946" w:name="_Toc3312089"/>
      <w:bookmarkStart w:id="2947" w:name="_Toc4753617"/>
      <w:bookmarkStart w:id="2948" w:name="_Toc3303852"/>
      <w:bookmarkStart w:id="2949" w:name="_Toc3312090"/>
      <w:bookmarkStart w:id="2950" w:name="_Toc4753618"/>
      <w:bookmarkStart w:id="2951" w:name="_Toc3303853"/>
      <w:bookmarkStart w:id="2952" w:name="_Toc3312091"/>
      <w:bookmarkStart w:id="2953" w:name="_Toc4753619"/>
      <w:bookmarkStart w:id="2954" w:name="_Toc3303883"/>
      <w:bookmarkStart w:id="2955" w:name="_Toc3312121"/>
      <w:bookmarkStart w:id="2956" w:name="_Toc4753649"/>
      <w:bookmarkStart w:id="2957" w:name="_Toc3303884"/>
      <w:bookmarkStart w:id="2958" w:name="_Toc3312122"/>
      <w:bookmarkStart w:id="2959" w:name="_Toc4753650"/>
      <w:bookmarkStart w:id="2960" w:name="_Toc3303885"/>
      <w:bookmarkStart w:id="2961" w:name="_Toc3312123"/>
      <w:bookmarkStart w:id="2962" w:name="_Toc4753651"/>
      <w:bookmarkStart w:id="2963" w:name="_Toc3303886"/>
      <w:bookmarkStart w:id="2964" w:name="_Toc3312124"/>
      <w:bookmarkStart w:id="2965" w:name="_Toc4753652"/>
      <w:bookmarkStart w:id="2966" w:name="_Toc3303887"/>
      <w:bookmarkStart w:id="2967" w:name="_Toc3312125"/>
      <w:bookmarkStart w:id="2968" w:name="_Toc4753653"/>
      <w:bookmarkStart w:id="2969" w:name="_Toc3303888"/>
      <w:bookmarkStart w:id="2970" w:name="_Toc3312126"/>
      <w:bookmarkStart w:id="2971" w:name="_Toc4753654"/>
      <w:bookmarkStart w:id="2972" w:name="_Toc3303889"/>
      <w:bookmarkStart w:id="2973" w:name="_Toc3312127"/>
      <w:bookmarkStart w:id="2974" w:name="_Toc4753655"/>
      <w:bookmarkStart w:id="2975" w:name="_Toc3303890"/>
      <w:bookmarkStart w:id="2976" w:name="_Toc3312128"/>
      <w:bookmarkStart w:id="2977" w:name="_Toc4753656"/>
      <w:bookmarkStart w:id="2978" w:name="_Toc3303891"/>
      <w:bookmarkStart w:id="2979" w:name="_Toc3312129"/>
      <w:bookmarkStart w:id="2980" w:name="_Toc4753657"/>
      <w:bookmarkStart w:id="2981" w:name="_Toc3303892"/>
      <w:bookmarkStart w:id="2982" w:name="_Toc3312130"/>
      <w:bookmarkStart w:id="2983" w:name="_Toc4753658"/>
      <w:bookmarkStart w:id="2984" w:name="_Toc3303893"/>
      <w:bookmarkStart w:id="2985" w:name="_Toc3312131"/>
      <w:bookmarkStart w:id="2986" w:name="_Toc4753659"/>
      <w:bookmarkStart w:id="2987" w:name="_Toc3303894"/>
      <w:bookmarkStart w:id="2988" w:name="_Toc3312132"/>
      <w:bookmarkStart w:id="2989" w:name="_Toc4753660"/>
      <w:bookmarkStart w:id="2990" w:name="_Toc3303895"/>
      <w:bookmarkStart w:id="2991" w:name="_Toc3312133"/>
      <w:bookmarkStart w:id="2992" w:name="_Toc4753661"/>
      <w:bookmarkStart w:id="2993" w:name="_Toc3303896"/>
      <w:bookmarkStart w:id="2994" w:name="_Toc3312134"/>
      <w:bookmarkStart w:id="2995" w:name="_Toc4753662"/>
      <w:bookmarkStart w:id="2996" w:name="_Toc3303897"/>
      <w:bookmarkStart w:id="2997" w:name="_Toc3312135"/>
      <w:bookmarkStart w:id="2998" w:name="_Toc4753663"/>
      <w:bookmarkStart w:id="2999" w:name="_Toc3303898"/>
      <w:bookmarkStart w:id="3000" w:name="_Toc3312136"/>
      <w:bookmarkStart w:id="3001" w:name="_Toc4753664"/>
      <w:bookmarkStart w:id="3002" w:name="_Toc3303899"/>
      <w:bookmarkStart w:id="3003" w:name="_Toc3312137"/>
      <w:bookmarkStart w:id="3004" w:name="_Toc4753665"/>
      <w:bookmarkStart w:id="3005" w:name="_Toc3303900"/>
      <w:bookmarkStart w:id="3006" w:name="_Toc3312138"/>
      <w:bookmarkStart w:id="3007" w:name="_Toc4753666"/>
      <w:bookmarkStart w:id="3008" w:name="_Toc3303901"/>
      <w:bookmarkStart w:id="3009" w:name="_Toc3312139"/>
      <w:bookmarkStart w:id="3010" w:name="_Toc4753667"/>
      <w:bookmarkStart w:id="3011" w:name="_Toc3303902"/>
      <w:bookmarkStart w:id="3012" w:name="_Toc3312140"/>
      <w:bookmarkStart w:id="3013" w:name="_Toc4753668"/>
      <w:bookmarkStart w:id="3014" w:name="_Toc3303903"/>
      <w:bookmarkStart w:id="3015" w:name="_Toc3312141"/>
      <w:bookmarkStart w:id="3016" w:name="_Toc4753669"/>
      <w:bookmarkStart w:id="3017" w:name="_Toc3303904"/>
      <w:bookmarkStart w:id="3018" w:name="_Toc3312142"/>
      <w:bookmarkStart w:id="3019" w:name="_Toc4753670"/>
      <w:bookmarkStart w:id="3020" w:name="_Toc3303905"/>
      <w:bookmarkStart w:id="3021" w:name="_Toc3312143"/>
      <w:bookmarkStart w:id="3022" w:name="_Toc4753671"/>
      <w:bookmarkStart w:id="3023" w:name="_Toc3303906"/>
      <w:bookmarkStart w:id="3024" w:name="_Toc3312144"/>
      <w:bookmarkStart w:id="3025" w:name="_Toc4753672"/>
      <w:bookmarkStart w:id="3026" w:name="_Toc3303907"/>
      <w:bookmarkStart w:id="3027" w:name="_Toc3312145"/>
      <w:bookmarkStart w:id="3028" w:name="_Toc4753673"/>
      <w:bookmarkStart w:id="3029" w:name="_Toc3303908"/>
      <w:bookmarkStart w:id="3030" w:name="_Toc3312146"/>
      <w:bookmarkStart w:id="3031" w:name="_Toc4753674"/>
      <w:bookmarkStart w:id="3032" w:name="_Toc3303909"/>
      <w:bookmarkStart w:id="3033" w:name="_Toc3312147"/>
      <w:bookmarkStart w:id="3034" w:name="_Toc4753675"/>
      <w:bookmarkStart w:id="3035" w:name="_Toc3303910"/>
      <w:bookmarkStart w:id="3036" w:name="_Toc3312148"/>
      <w:bookmarkStart w:id="3037" w:name="_Toc4753676"/>
      <w:bookmarkStart w:id="3038" w:name="_Toc3303911"/>
      <w:bookmarkStart w:id="3039" w:name="_Toc3312149"/>
      <w:bookmarkStart w:id="3040" w:name="_Toc4753677"/>
      <w:bookmarkStart w:id="3041" w:name="_Toc3303912"/>
      <w:bookmarkStart w:id="3042" w:name="_Toc3312150"/>
      <w:bookmarkStart w:id="3043" w:name="_Toc4753678"/>
      <w:bookmarkStart w:id="3044" w:name="_Toc3303913"/>
      <w:bookmarkStart w:id="3045" w:name="_Toc3312151"/>
      <w:bookmarkStart w:id="3046" w:name="_Toc4753679"/>
      <w:bookmarkStart w:id="3047" w:name="_Toc3303914"/>
      <w:bookmarkStart w:id="3048" w:name="_Toc3312152"/>
      <w:bookmarkStart w:id="3049" w:name="_Toc4753680"/>
      <w:bookmarkStart w:id="3050" w:name="_Toc3303915"/>
      <w:bookmarkStart w:id="3051" w:name="_Toc3312153"/>
      <w:bookmarkStart w:id="3052" w:name="_Toc4753681"/>
      <w:bookmarkStart w:id="3053" w:name="_Toc3303916"/>
      <w:bookmarkStart w:id="3054" w:name="_Toc3312154"/>
      <w:bookmarkStart w:id="3055" w:name="_Toc4753682"/>
      <w:bookmarkStart w:id="3056" w:name="_Toc3303917"/>
      <w:bookmarkStart w:id="3057" w:name="_Toc3312155"/>
      <w:bookmarkStart w:id="3058" w:name="_Toc4753683"/>
      <w:bookmarkStart w:id="3059" w:name="_Toc3303918"/>
      <w:bookmarkStart w:id="3060" w:name="_Toc3312156"/>
      <w:bookmarkStart w:id="3061" w:name="_Toc4753684"/>
      <w:bookmarkStart w:id="3062" w:name="_Toc3303919"/>
      <w:bookmarkStart w:id="3063" w:name="_Toc3312157"/>
      <w:bookmarkStart w:id="3064" w:name="_Toc4753685"/>
      <w:bookmarkStart w:id="3065" w:name="_Toc3303920"/>
      <w:bookmarkStart w:id="3066" w:name="_Toc3312158"/>
      <w:bookmarkStart w:id="3067" w:name="_Toc4753686"/>
      <w:bookmarkStart w:id="3068" w:name="_Toc3303921"/>
      <w:bookmarkStart w:id="3069" w:name="_Toc3312159"/>
      <w:bookmarkStart w:id="3070" w:name="_Toc4753687"/>
      <w:bookmarkStart w:id="3071" w:name="_Toc3303922"/>
      <w:bookmarkStart w:id="3072" w:name="_Toc3312160"/>
      <w:bookmarkStart w:id="3073" w:name="_Toc4753688"/>
      <w:bookmarkStart w:id="3074" w:name="_Toc3303923"/>
      <w:bookmarkStart w:id="3075" w:name="_Toc3312161"/>
      <w:bookmarkStart w:id="3076" w:name="_Toc4753689"/>
      <w:bookmarkStart w:id="3077" w:name="_Toc3303924"/>
      <w:bookmarkStart w:id="3078" w:name="_Toc3312162"/>
      <w:bookmarkStart w:id="3079" w:name="_Toc4753690"/>
      <w:bookmarkStart w:id="3080" w:name="_Toc3303925"/>
      <w:bookmarkStart w:id="3081" w:name="_Toc3312163"/>
      <w:bookmarkStart w:id="3082" w:name="_Toc4753691"/>
      <w:bookmarkStart w:id="3083" w:name="_Toc3303926"/>
      <w:bookmarkStart w:id="3084" w:name="_Toc3312164"/>
      <w:bookmarkStart w:id="3085" w:name="_Toc4753692"/>
      <w:bookmarkStart w:id="3086" w:name="_Toc3303927"/>
      <w:bookmarkStart w:id="3087" w:name="_Toc3312165"/>
      <w:bookmarkStart w:id="3088" w:name="_Toc4753693"/>
      <w:bookmarkStart w:id="3089" w:name="_Toc3303928"/>
      <w:bookmarkStart w:id="3090" w:name="_Toc3312166"/>
      <w:bookmarkStart w:id="3091" w:name="_Toc4753694"/>
      <w:bookmarkStart w:id="3092" w:name="_Toc3303929"/>
      <w:bookmarkStart w:id="3093" w:name="_Toc3312167"/>
      <w:bookmarkStart w:id="3094" w:name="_Toc4753695"/>
      <w:bookmarkStart w:id="3095" w:name="_Toc3303930"/>
      <w:bookmarkStart w:id="3096" w:name="_Toc3312168"/>
      <w:bookmarkStart w:id="3097" w:name="_Toc4753696"/>
      <w:bookmarkStart w:id="3098" w:name="_Toc3303931"/>
      <w:bookmarkStart w:id="3099" w:name="_Toc3312169"/>
      <w:bookmarkStart w:id="3100" w:name="_Toc4753697"/>
      <w:bookmarkStart w:id="3101" w:name="_Toc3303932"/>
      <w:bookmarkStart w:id="3102" w:name="_Toc3312170"/>
      <w:bookmarkStart w:id="3103" w:name="_Toc4753698"/>
      <w:bookmarkStart w:id="3104" w:name="_Toc3303933"/>
      <w:bookmarkStart w:id="3105" w:name="_Toc3312171"/>
      <w:bookmarkStart w:id="3106" w:name="_Toc4753699"/>
      <w:bookmarkStart w:id="3107" w:name="_Toc3303934"/>
      <w:bookmarkStart w:id="3108" w:name="_Toc3312172"/>
      <w:bookmarkStart w:id="3109" w:name="_Toc4753700"/>
      <w:bookmarkStart w:id="3110" w:name="_Toc3303935"/>
      <w:bookmarkStart w:id="3111" w:name="_Toc3312173"/>
      <w:bookmarkStart w:id="3112" w:name="_Toc4753701"/>
      <w:bookmarkStart w:id="3113" w:name="_Toc3303936"/>
      <w:bookmarkStart w:id="3114" w:name="_Toc3312174"/>
      <w:bookmarkStart w:id="3115" w:name="_Toc4753702"/>
      <w:bookmarkStart w:id="3116" w:name="_Toc3303937"/>
      <w:bookmarkStart w:id="3117" w:name="_Toc3312175"/>
      <w:bookmarkStart w:id="3118" w:name="_Toc4753703"/>
      <w:bookmarkStart w:id="3119" w:name="_Toc3303938"/>
      <w:bookmarkStart w:id="3120" w:name="_Toc3312176"/>
      <w:bookmarkStart w:id="3121" w:name="_Toc4753704"/>
      <w:bookmarkStart w:id="3122" w:name="_Toc3303939"/>
      <w:bookmarkStart w:id="3123" w:name="_Toc3312177"/>
      <w:bookmarkStart w:id="3124" w:name="_Toc4753705"/>
      <w:bookmarkStart w:id="3125" w:name="_Toc3303940"/>
      <w:bookmarkStart w:id="3126" w:name="_Toc3312178"/>
      <w:bookmarkStart w:id="3127" w:name="_Toc4753706"/>
      <w:bookmarkStart w:id="3128" w:name="_Toc3303941"/>
      <w:bookmarkStart w:id="3129" w:name="_Toc3312179"/>
      <w:bookmarkStart w:id="3130" w:name="_Toc4753707"/>
      <w:bookmarkStart w:id="3131" w:name="_Toc3303944"/>
      <w:bookmarkStart w:id="3132" w:name="_Toc3312182"/>
      <w:bookmarkStart w:id="3133" w:name="_Toc4753710"/>
      <w:bookmarkStart w:id="3134" w:name="_Toc3303945"/>
      <w:bookmarkStart w:id="3135" w:name="_Toc3312183"/>
      <w:bookmarkStart w:id="3136" w:name="_Toc4753711"/>
      <w:bookmarkStart w:id="3137" w:name="_Toc3303946"/>
      <w:bookmarkStart w:id="3138" w:name="_Toc3312184"/>
      <w:bookmarkStart w:id="3139" w:name="_Toc4753712"/>
      <w:bookmarkStart w:id="3140" w:name="_Toc3303947"/>
      <w:bookmarkStart w:id="3141" w:name="_Toc3312185"/>
      <w:bookmarkStart w:id="3142" w:name="_Toc4753713"/>
      <w:bookmarkStart w:id="3143" w:name="_Toc3303954"/>
      <w:bookmarkStart w:id="3144" w:name="_Toc3312192"/>
      <w:bookmarkStart w:id="3145" w:name="_Toc4753720"/>
      <w:bookmarkStart w:id="3146" w:name="_Toc3304024"/>
      <w:bookmarkStart w:id="3147" w:name="_Toc3312262"/>
      <w:bookmarkStart w:id="3148" w:name="_Toc4753790"/>
      <w:bookmarkStart w:id="3149" w:name="_Toc3304025"/>
      <w:bookmarkStart w:id="3150" w:name="_Toc3312263"/>
      <w:bookmarkStart w:id="3151" w:name="_Toc4753791"/>
      <w:bookmarkStart w:id="3152" w:name="_Toc3304026"/>
      <w:bookmarkStart w:id="3153" w:name="_Toc3312264"/>
      <w:bookmarkStart w:id="3154" w:name="_Toc4753792"/>
      <w:bookmarkStart w:id="3155" w:name="_Toc3304027"/>
      <w:bookmarkStart w:id="3156" w:name="_Toc3312265"/>
      <w:bookmarkStart w:id="3157" w:name="_Toc4753793"/>
      <w:bookmarkStart w:id="3158" w:name="_Toc3304028"/>
      <w:bookmarkStart w:id="3159" w:name="_Toc3312266"/>
      <w:bookmarkStart w:id="3160" w:name="_Toc4753794"/>
      <w:bookmarkStart w:id="3161" w:name="_Toc3304029"/>
      <w:bookmarkStart w:id="3162" w:name="_Toc3312267"/>
      <w:bookmarkStart w:id="3163" w:name="_Toc4753795"/>
      <w:bookmarkStart w:id="3164" w:name="_Toc3304059"/>
      <w:bookmarkStart w:id="3165" w:name="_Toc3312297"/>
      <w:bookmarkStart w:id="3166" w:name="_Toc4753825"/>
      <w:bookmarkStart w:id="3167" w:name="_Toc3304060"/>
      <w:bookmarkStart w:id="3168" w:name="_Toc3312298"/>
      <w:bookmarkStart w:id="3169" w:name="_Toc4753826"/>
      <w:bookmarkStart w:id="3170" w:name="_Toc3304061"/>
      <w:bookmarkStart w:id="3171" w:name="_Toc3312299"/>
      <w:bookmarkStart w:id="3172" w:name="_Toc4753827"/>
      <w:bookmarkStart w:id="3173" w:name="_Toc3304062"/>
      <w:bookmarkStart w:id="3174" w:name="_Toc3312300"/>
      <w:bookmarkStart w:id="3175" w:name="_Toc4753828"/>
      <w:bookmarkStart w:id="3176" w:name="_Toc3304063"/>
      <w:bookmarkStart w:id="3177" w:name="_Toc3312301"/>
      <w:bookmarkStart w:id="3178" w:name="_Toc4753829"/>
      <w:bookmarkStart w:id="3179" w:name="_Toc3304064"/>
      <w:bookmarkStart w:id="3180" w:name="_Toc3312302"/>
      <w:bookmarkStart w:id="3181" w:name="_Toc4753830"/>
      <w:bookmarkStart w:id="3182" w:name="_Toc3304065"/>
      <w:bookmarkStart w:id="3183" w:name="_Toc3312303"/>
      <w:bookmarkStart w:id="3184" w:name="_Toc4753831"/>
      <w:bookmarkStart w:id="3185" w:name="_Toc3304066"/>
      <w:bookmarkStart w:id="3186" w:name="_Toc3312304"/>
      <w:bookmarkStart w:id="3187" w:name="_Toc4753832"/>
      <w:bookmarkStart w:id="3188" w:name="_Toc3304067"/>
      <w:bookmarkStart w:id="3189" w:name="_Toc3312305"/>
      <w:bookmarkStart w:id="3190" w:name="_Toc4753833"/>
      <w:bookmarkStart w:id="3191" w:name="_Toc3304068"/>
      <w:bookmarkStart w:id="3192" w:name="_Toc3312306"/>
      <w:bookmarkStart w:id="3193" w:name="_Toc4753834"/>
      <w:bookmarkStart w:id="3194" w:name="_Toc3304069"/>
      <w:bookmarkStart w:id="3195" w:name="_Toc3312307"/>
      <w:bookmarkStart w:id="3196" w:name="_Toc4753835"/>
      <w:bookmarkStart w:id="3197" w:name="_Toc3304070"/>
      <w:bookmarkStart w:id="3198" w:name="_Toc3312308"/>
      <w:bookmarkStart w:id="3199" w:name="_Toc4753836"/>
      <w:bookmarkStart w:id="3200" w:name="_Toc3304071"/>
      <w:bookmarkStart w:id="3201" w:name="_Toc3312309"/>
      <w:bookmarkStart w:id="3202" w:name="_Toc4753837"/>
      <w:bookmarkStart w:id="3203" w:name="_Toc3304072"/>
      <w:bookmarkStart w:id="3204" w:name="_Toc3312310"/>
      <w:bookmarkStart w:id="3205" w:name="_Toc4753838"/>
      <w:bookmarkStart w:id="3206" w:name="_Toc3304073"/>
      <w:bookmarkStart w:id="3207" w:name="_Toc3312311"/>
      <w:bookmarkStart w:id="3208" w:name="_Toc4753839"/>
      <w:bookmarkStart w:id="3209" w:name="_Toc3304074"/>
      <w:bookmarkStart w:id="3210" w:name="_Toc3312312"/>
      <w:bookmarkStart w:id="3211" w:name="_Toc4753840"/>
      <w:bookmarkStart w:id="3212" w:name="_Toc3304075"/>
      <w:bookmarkStart w:id="3213" w:name="_Toc3312313"/>
      <w:bookmarkStart w:id="3214" w:name="_Toc4753841"/>
      <w:bookmarkStart w:id="3215" w:name="_Toc3304076"/>
      <w:bookmarkStart w:id="3216" w:name="_Toc3312314"/>
      <w:bookmarkStart w:id="3217" w:name="_Toc4753842"/>
      <w:bookmarkStart w:id="3218" w:name="_Toc3304077"/>
      <w:bookmarkStart w:id="3219" w:name="_Toc3312315"/>
      <w:bookmarkStart w:id="3220" w:name="_Toc4753843"/>
      <w:bookmarkStart w:id="3221" w:name="_Toc3304078"/>
      <w:bookmarkStart w:id="3222" w:name="_Toc3312316"/>
      <w:bookmarkStart w:id="3223" w:name="_Toc4753844"/>
      <w:bookmarkStart w:id="3224" w:name="_Toc3304079"/>
      <w:bookmarkStart w:id="3225" w:name="_Toc3312317"/>
      <w:bookmarkStart w:id="3226" w:name="_Toc4753845"/>
      <w:bookmarkStart w:id="3227" w:name="_Toc3304080"/>
      <w:bookmarkStart w:id="3228" w:name="_Toc3312318"/>
      <w:bookmarkStart w:id="3229" w:name="_Toc4753846"/>
      <w:bookmarkStart w:id="3230" w:name="_Toc3304081"/>
      <w:bookmarkStart w:id="3231" w:name="_Toc3312319"/>
      <w:bookmarkStart w:id="3232" w:name="_Toc4753847"/>
      <w:bookmarkStart w:id="3233" w:name="_Toc3304082"/>
      <w:bookmarkStart w:id="3234" w:name="_Toc3312320"/>
      <w:bookmarkStart w:id="3235" w:name="_Toc4753848"/>
      <w:bookmarkStart w:id="3236" w:name="_Toc3304083"/>
      <w:bookmarkStart w:id="3237" w:name="_Toc3312321"/>
      <w:bookmarkStart w:id="3238" w:name="_Toc4753849"/>
      <w:bookmarkStart w:id="3239" w:name="_Toc3304084"/>
      <w:bookmarkStart w:id="3240" w:name="_Toc3312322"/>
      <w:bookmarkStart w:id="3241" w:name="_Toc4753850"/>
      <w:bookmarkStart w:id="3242" w:name="_Toc3304085"/>
      <w:bookmarkStart w:id="3243" w:name="_Toc3312323"/>
      <w:bookmarkStart w:id="3244" w:name="_Toc4753851"/>
      <w:bookmarkStart w:id="3245" w:name="_Toc3304086"/>
      <w:bookmarkStart w:id="3246" w:name="_Toc3312324"/>
      <w:bookmarkStart w:id="3247" w:name="_Toc4753852"/>
      <w:bookmarkStart w:id="3248" w:name="_Toc3304087"/>
      <w:bookmarkStart w:id="3249" w:name="_Toc3312325"/>
      <w:bookmarkStart w:id="3250" w:name="_Toc4753853"/>
      <w:bookmarkStart w:id="3251" w:name="_Toc3304088"/>
      <w:bookmarkStart w:id="3252" w:name="_Toc3312326"/>
      <w:bookmarkStart w:id="3253" w:name="_Toc4753854"/>
      <w:bookmarkStart w:id="3254" w:name="_Toc3304089"/>
      <w:bookmarkStart w:id="3255" w:name="_Toc3312327"/>
      <w:bookmarkStart w:id="3256" w:name="_Toc4753855"/>
      <w:bookmarkStart w:id="3257" w:name="_Toc3304090"/>
      <w:bookmarkStart w:id="3258" w:name="_Toc3312328"/>
      <w:bookmarkStart w:id="3259" w:name="_Toc4753856"/>
      <w:bookmarkStart w:id="3260" w:name="_Toc3304091"/>
      <w:bookmarkStart w:id="3261" w:name="_Toc3312329"/>
      <w:bookmarkStart w:id="3262" w:name="_Toc4753857"/>
      <w:bookmarkStart w:id="3263" w:name="_Toc3304092"/>
      <w:bookmarkStart w:id="3264" w:name="_Toc3312330"/>
      <w:bookmarkStart w:id="3265" w:name="_Toc4753858"/>
      <w:bookmarkStart w:id="3266" w:name="_Toc3304093"/>
      <w:bookmarkStart w:id="3267" w:name="_Toc3312331"/>
      <w:bookmarkStart w:id="3268" w:name="_Toc4753859"/>
      <w:bookmarkStart w:id="3269" w:name="_Toc3304094"/>
      <w:bookmarkStart w:id="3270" w:name="_Toc3312332"/>
      <w:bookmarkStart w:id="3271" w:name="_Toc4753860"/>
      <w:bookmarkStart w:id="3272" w:name="_Toc3304095"/>
      <w:bookmarkStart w:id="3273" w:name="_Toc3312333"/>
      <w:bookmarkStart w:id="3274" w:name="_Toc4753861"/>
      <w:bookmarkStart w:id="3275" w:name="_Toc3304096"/>
      <w:bookmarkStart w:id="3276" w:name="_Toc3312334"/>
      <w:bookmarkStart w:id="3277" w:name="_Toc4753862"/>
      <w:bookmarkStart w:id="3278" w:name="_Toc3304097"/>
      <w:bookmarkStart w:id="3279" w:name="_Toc3312335"/>
      <w:bookmarkStart w:id="3280" w:name="_Toc4753863"/>
      <w:bookmarkStart w:id="3281" w:name="_Toc3304098"/>
      <w:bookmarkStart w:id="3282" w:name="_Toc3312336"/>
      <w:bookmarkStart w:id="3283" w:name="_Toc4753864"/>
      <w:bookmarkStart w:id="3284" w:name="_Toc3304099"/>
      <w:bookmarkStart w:id="3285" w:name="_Toc3312337"/>
      <w:bookmarkStart w:id="3286" w:name="_Toc4753865"/>
      <w:bookmarkStart w:id="3287" w:name="_Toc3304100"/>
      <w:bookmarkStart w:id="3288" w:name="_Toc3312338"/>
      <w:bookmarkStart w:id="3289" w:name="_Toc4753866"/>
      <w:bookmarkStart w:id="3290" w:name="_Toc3304101"/>
      <w:bookmarkStart w:id="3291" w:name="_Toc3312339"/>
      <w:bookmarkStart w:id="3292" w:name="_Toc4753867"/>
      <w:bookmarkStart w:id="3293" w:name="_Toc3304102"/>
      <w:bookmarkStart w:id="3294" w:name="_Toc3312340"/>
      <w:bookmarkStart w:id="3295" w:name="_Toc4753868"/>
      <w:bookmarkStart w:id="3296" w:name="_Toc3304103"/>
      <w:bookmarkStart w:id="3297" w:name="_Toc3312341"/>
      <w:bookmarkStart w:id="3298" w:name="_Toc4753869"/>
      <w:bookmarkStart w:id="3299" w:name="_Toc3304104"/>
      <w:bookmarkStart w:id="3300" w:name="_Toc3312342"/>
      <w:bookmarkStart w:id="3301" w:name="_Toc4753870"/>
      <w:bookmarkStart w:id="3302" w:name="_Toc3304105"/>
      <w:bookmarkStart w:id="3303" w:name="_Toc3312343"/>
      <w:bookmarkStart w:id="3304" w:name="_Toc4753871"/>
      <w:bookmarkStart w:id="3305" w:name="_Toc3304106"/>
      <w:bookmarkStart w:id="3306" w:name="_Toc3312344"/>
      <w:bookmarkStart w:id="3307" w:name="_Toc4753872"/>
      <w:bookmarkStart w:id="3308" w:name="_Toc3304107"/>
      <w:bookmarkStart w:id="3309" w:name="_Toc3312345"/>
      <w:bookmarkStart w:id="3310" w:name="_Toc4753873"/>
      <w:bookmarkStart w:id="3311" w:name="_Toc3304108"/>
      <w:bookmarkStart w:id="3312" w:name="_Toc3312346"/>
      <w:bookmarkStart w:id="3313" w:name="_Toc4753874"/>
      <w:bookmarkStart w:id="3314" w:name="_Toc3304109"/>
      <w:bookmarkStart w:id="3315" w:name="_Toc3312347"/>
      <w:bookmarkStart w:id="3316" w:name="_Toc4753875"/>
      <w:bookmarkStart w:id="3317" w:name="_Toc3304110"/>
      <w:bookmarkStart w:id="3318" w:name="_Toc3312348"/>
      <w:bookmarkStart w:id="3319" w:name="_Toc4753876"/>
      <w:bookmarkStart w:id="3320" w:name="_Toc3304111"/>
      <w:bookmarkStart w:id="3321" w:name="_Toc3312349"/>
      <w:bookmarkStart w:id="3322" w:name="_Toc4753877"/>
      <w:bookmarkStart w:id="3323" w:name="_Toc3304112"/>
      <w:bookmarkStart w:id="3324" w:name="_Toc3312350"/>
      <w:bookmarkStart w:id="3325" w:name="_Toc4753878"/>
      <w:bookmarkStart w:id="3326" w:name="_Toc3304113"/>
      <w:bookmarkStart w:id="3327" w:name="_Toc3312351"/>
      <w:bookmarkStart w:id="3328" w:name="_Toc4753879"/>
      <w:bookmarkStart w:id="3329" w:name="_Toc3304114"/>
      <w:bookmarkStart w:id="3330" w:name="_Toc3312352"/>
      <w:bookmarkStart w:id="3331" w:name="_Toc4753880"/>
      <w:bookmarkStart w:id="3332" w:name="_Toc3304115"/>
      <w:bookmarkStart w:id="3333" w:name="_Toc3312353"/>
      <w:bookmarkStart w:id="3334" w:name="_Toc4753881"/>
      <w:bookmarkStart w:id="3335" w:name="_Toc3304116"/>
      <w:bookmarkStart w:id="3336" w:name="_Toc3312354"/>
      <w:bookmarkStart w:id="3337" w:name="_Toc4753882"/>
      <w:bookmarkStart w:id="3338" w:name="_Toc3304117"/>
      <w:bookmarkStart w:id="3339" w:name="_Toc3312355"/>
      <w:bookmarkStart w:id="3340" w:name="_Toc4753883"/>
      <w:bookmarkStart w:id="3341" w:name="_Toc3304118"/>
      <w:bookmarkStart w:id="3342" w:name="_Toc3312356"/>
      <w:bookmarkStart w:id="3343" w:name="_Toc4753884"/>
      <w:bookmarkStart w:id="3344" w:name="_Toc3304119"/>
      <w:bookmarkStart w:id="3345" w:name="_Toc3312357"/>
      <w:bookmarkStart w:id="3346" w:name="_Toc4753885"/>
      <w:bookmarkStart w:id="3347" w:name="_Toc3304120"/>
      <w:bookmarkStart w:id="3348" w:name="_Toc3312358"/>
      <w:bookmarkStart w:id="3349" w:name="_Toc4753886"/>
      <w:bookmarkStart w:id="3350" w:name="_Toc3304121"/>
      <w:bookmarkStart w:id="3351" w:name="_Toc3312359"/>
      <w:bookmarkStart w:id="3352" w:name="_Toc4753887"/>
      <w:bookmarkStart w:id="3353" w:name="_Toc3304122"/>
      <w:bookmarkStart w:id="3354" w:name="_Toc3312360"/>
      <w:bookmarkStart w:id="3355" w:name="_Toc4753888"/>
      <w:bookmarkStart w:id="3356" w:name="_Toc3304123"/>
      <w:bookmarkStart w:id="3357" w:name="_Toc3312361"/>
      <w:bookmarkStart w:id="3358" w:name="_Toc4753889"/>
      <w:bookmarkStart w:id="3359" w:name="_Toc3304124"/>
      <w:bookmarkStart w:id="3360" w:name="_Toc3312362"/>
      <w:bookmarkStart w:id="3361" w:name="_Toc4753890"/>
      <w:bookmarkStart w:id="3362" w:name="_Toc3304125"/>
      <w:bookmarkStart w:id="3363" w:name="_Toc3312363"/>
      <w:bookmarkStart w:id="3364" w:name="_Toc4753891"/>
      <w:bookmarkStart w:id="3365" w:name="_Toc3304126"/>
      <w:bookmarkStart w:id="3366" w:name="_Toc3312364"/>
      <w:bookmarkStart w:id="3367" w:name="_Toc4753892"/>
      <w:bookmarkStart w:id="3368" w:name="_Toc3304127"/>
      <w:bookmarkStart w:id="3369" w:name="_Toc3312365"/>
      <w:bookmarkStart w:id="3370" w:name="_Toc4753893"/>
      <w:bookmarkStart w:id="3371" w:name="_Toc3304128"/>
      <w:bookmarkStart w:id="3372" w:name="_Toc3312366"/>
      <w:bookmarkStart w:id="3373" w:name="_Toc4753894"/>
      <w:bookmarkStart w:id="3374" w:name="_Toc3304129"/>
      <w:bookmarkStart w:id="3375" w:name="_Toc3312367"/>
      <w:bookmarkStart w:id="3376" w:name="_Toc4753895"/>
      <w:bookmarkStart w:id="3377" w:name="_Toc3304130"/>
      <w:bookmarkStart w:id="3378" w:name="_Toc3312368"/>
      <w:bookmarkStart w:id="3379" w:name="_Toc4753896"/>
      <w:bookmarkStart w:id="3380" w:name="_Toc3304131"/>
      <w:bookmarkStart w:id="3381" w:name="_Toc3312369"/>
      <w:bookmarkStart w:id="3382" w:name="_Toc4753897"/>
      <w:bookmarkStart w:id="3383" w:name="_Toc3304132"/>
      <w:bookmarkStart w:id="3384" w:name="_Toc3312370"/>
      <w:bookmarkStart w:id="3385" w:name="_Toc4753898"/>
      <w:bookmarkStart w:id="3386" w:name="_Toc3304133"/>
      <w:bookmarkStart w:id="3387" w:name="_Toc3312371"/>
      <w:bookmarkStart w:id="3388" w:name="_Toc4753899"/>
      <w:bookmarkStart w:id="3389" w:name="_Toc3304134"/>
      <w:bookmarkStart w:id="3390" w:name="_Toc3312372"/>
      <w:bookmarkStart w:id="3391" w:name="_Toc4753900"/>
      <w:bookmarkStart w:id="3392" w:name="_Toc3304135"/>
      <w:bookmarkStart w:id="3393" w:name="_Toc3312373"/>
      <w:bookmarkStart w:id="3394" w:name="_Toc4753901"/>
      <w:bookmarkStart w:id="3395" w:name="_Toc3304136"/>
      <w:bookmarkStart w:id="3396" w:name="_Toc3312374"/>
      <w:bookmarkStart w:id="3397" w:name="_Toc4753902"/>
      <w:bookmarkStart w:id="3398" w:name="_Toc3304137"/>
      <w:bookmarkStart w:id="3399" w:name="_Toc3312375"/>
      <w:bookmarkStart w:id="3400" w:name="_Toc4753903"/>
      <w:bookmarkStart w:id="3401" w:name="_Toc3304138"/>
      <w:bookmarkStart w:id="3402" w:name="_Toc3312376"/>
      <w:bookmarkStart w:id="3403" w:name="_Toc4753904"/>
      <w:bookmarkStart w:id="3404" w:name="_Toc3304139"/>
      <w:bookmarkStart w:id="3405" w:name="_Toc3312377"/>
      <w:bookmarkStart w:id="3406" w:name="_Toc4753905"/>
      <w:bookmarkStart w:id="3407" w:name="_Toc3304140"/>
      <w:bookmarkStart w:id="3408" w:name="_Toc3312378"/>
      <w:bookmarkStart w:id="3409" w:name="_Toc4753906"/>
      <w:bookmarkStart w:id="3410" w:name="_Toc3304145"/>
      <w:bookmarkStart w:id="3411" w:name="_Toc3312383"/>
      <w:bookmarkStart w:id="3412" w:name="_Toc4753911"/>
      <w:bookmarkStart w:id="3413" w:name="_Toc3304193"/>
      <w:bookmarkStart w:id="3414" w:name="_Toc3312431"/>
      <w:bookmarkStart w:id="3415" w:name="_Toc4753959"/>
      <w:bookmarkStart w:id="3416" w:name="_Toc3304194"/>
      <w:bookmarkStart w:id="3417" w:name="_Toc3312432"/>
      <w:bookmarkStart w:id="3418" w:name="_Toc4753960"/>
      <w:bookmarkStart w:id="3419" w:name="_Toc3304195"/>
      <w:bookmarkStart w:id="3420" w:name="_Toc3312433"/>
      <w:bookmarkStart w:id="3421" w:name="_Toc4753961"/>
      <w:bookmarkStart w:id="3422" w:name="_Toc3304196"/>
      <w:bookmarkStart w:id="3423" w:name="_Toc3312434"/>
      <w:bookmarkStart w:id="3424" w:name="_Toc4753962"/>
      <w:bookmarkStart w:id="3425" w:name="_Toc3304197"/>
      <w:bookmarkStart w:id="3426" w:name="_Toc3312435"/>
      <w:bookmarkStart w:id="3427" w:name="_Toc4753963"/>
      <w:bookmarkStart w:id="3428" w:name="_Toc3304198"/>
      <w:bookmarkStart w:id="3429" w:name="_Toc3312436"/>
      <w:bookmarkStart w:id="3430" w:name="_Toc4753964"/>
      <w:bookmarkStart w:id="3431" w:name="_Toc3304199"/>
      <w:bookmarkStart w:id="3432" w:name="_Toc3312437"/>
      <w:bookmarkStart w:id="3433" w:name="_Toc4753965"/>
      <w:bookmarkStart w:id="3434" w:name="_Toc3304200"/>
      <w:bookmarkStart w:id="3435" w:name="_Toc3312438"/>
      <w:bookmarkStart w:id="3436" w:name="_Toc4753966"/>
      <w:bookmarkStart w:id="3437" w:name="_Toc3304201"/>
      <w:bookmarkStart w:id="3438" w:name="_Toc3312439"/>
      <w:bookmarkStart w:id="3439" w:name="_Toc4753967"/>
      <w:bookmarkStart w:id="3440" w:name="_Toc3304202"/>
      <w:bookmarkStart w:id="3441" w:name="_Toc3312440"/>
      <w:bookmarkStart w:id="3442" w:name="_Toc4753968"/>
      <w:bookmarkStart w:id="3443" w:name="_Toc3304205"/>
      <w:bookmarkStart w:id="3444" w:name="_Toc3312443"/>
      <w:bookmarkStart w:id="3445" w:name="_Toc4753971"/>
      <w:bookmarkStart w:id="3446" w:name="_Toc3304206"/>
      <w:bookmarkStart w:id="3447" w:name="_Toc3312444"/>
      <w:bookmarkStart w:id="3448" w:name="_Toc4753972"/>
      <w:bookmarkStart w:id="3449" w:name="_Toc3304207"/>
      <w:bookmarkStart w:id="3450" w:name="_Toc3312445"/>
      <w:bookmarkStart w:id="3451" w:name="_Toc4753973"/>
      <w:bookmarkStart w:id="3452" w:name="_Toc3304208"/>
      <w:bookmarkStart w:id="3453" w:name="_Toc3312446"/>
      <w:bookmarkStart w:id="3454" w:name="_Toc4753974"/>
      <w:bookmarkStart w:id="3455" w:name="_Toc3304215"/>
      <w:bookmarkStart w:id="3456" w:name="_Toc3312453"/>
      <w:bookmarkStart w:id="3457" w:name="_Toc4753981"/>
      <w:bookmarkStart w:id="3458" w:name="_Toc3304285"/>
      <w:bookmarkStart w:id="3459" w:name="_Toc3312523"/>
      <w:bookmarkStart w:id="3460" w:name="_Toc4754051"/>
      <w:bookmarkStart w:id="3461" w:name="_Toc3304286"/>
      <w:bookmarkStart w:id="3462" w:name="_Toc3312524"/>
      <w:bookmarkStart w:id="3463" w:name="_Toc4754052"/>
      <w:bookmarkStart w:id="3464" w:name="_Toc3304287"/>
      <w:bookmarkStart w:id="3465" w:name="_Toc3312525"/>
      <w:bookmarkStart w:id="3466" w:name="_Toc4754053"/>
      <w:bookmarkStart w:id="3467" w:name="_Toc3304288"/>
      <w:bookmarkStart w:id="3468" w:name="_Toc3312526"/>
      <w:bookmarkStart w:id="3469" w:name="_Toc4754054"/>
      <w:bookmarkStart w:id="3470" w:name="_Toc3304289"/>
      <w:bookmarkStart w:id="3471" w:name="_Toc3312527"/>
      <w:bookmarkStart w:id="3472" w:name="_Toc4754055"/>
      <w:bookmarkStart w:id="3473" w:name="_Toc3304290"/>
      <w:bookmarkStart w:id="3474" w:name="_Toc3312528"/>
      <w:bookmarkStart w:id="3475" w:name="_Toc4754056"/>
      <w:bookmarkStart w:id="3476" w:name="_Toc3304291"/>
      <w:bookmarkStart w:id="3477" w:name="_Toc3312529"/>
      <w:bookmarkStart w:id="3478" w:name="_Toc4754057"/>
      <w:bookmarkStart w:id="3479" w:name="_Toc3304321"/>
      <w:bookmarkStart w:id="3480" w:name="_Toc3312559"/>
      <w:bookmarkStart w:id="3481" w:name="_Toc4754087"/>
      <w:bookmarkStart w:id="3482" w:name="_Toc3304322"/>
      <w:bookmarkStart w:id="3483" w:name="_Toc3312560"/>
      <w:bookmarkStart w:id="3484" w:name="_Toc4754088"/>
      <w:bookmarkStart w:id="3485" w:name="_Toc3304323"/>
      <w:bookmarkStart w:id="3486" w:name="_Toc3312561"/>
      <w:bookmarkStart w:id="3487" w:name="_Toc4754089"/>
      <w:bookmarkStart w:id="3488" w:name="_Toc3304324"/>
      <w:bookmarkStart w:id="3489" w:name="_Toc3312562"/>
      <w:bookmarkStart w:id="3490" w:name="_Toc4754090"/>
      <w:bookmarkStart w:id="3491" w:name="_Toc3304325"/>
      <w:bookmarkStart w:id="3492" w:name="_Toc3312563"/>
      <w:bookmarkStart w:id="3493" w:name="_Toc4754091"/>
      <w:bookmarkStart w:id="3494" w:name="_Toc3304326"/>
      <w:bookmarkStart w:id="3495" w:name="_Toc3312564"/>
      <w:bookmarkStart w:id="3496" w:name="_Toc4754092"/>
      <w:bookmarkStart w:id="3497" w:name="_Toc3304327"/>
      <w:bookmarkStart w:id="3498" w:name="_Toc3312565"/>
      <w:bookmarkStart w:id="3499" w:name="_Toc4754093"/>
      <w:bookmarkStart w:id="3500" w:name="_Toc3304328"/>
      <w:bookmarkStart w:id="3501" w:name="_Toc3312566"/>
      <w:bookmarkStart w:id="3502" w:name="_Toc4754094"/>
      <w:bookmarkStart w:id="3503" w:name="_Toc3304329"/>
      <w:bookmarkStart w:id="3504" w:name="_Toc3312567"/>
      <w:bookmarkStart w:id="3505" w:name="_Toc4754095"/>
      <w:bookmarkStart w:id="3506" w:name="_Toc3304330"/>
      <w:bookmarkStart w:id="3507" w:name="_Toc3312568"/>
      <w:bookmarkStart w:id="3508" w:name="_Toc4754096"/>
      <w:bookmarkStart w:id="3509" w:name="_Toc3304331"/>
      <w:bookmarkStart w:id="3510" w:name="_Toc3312569"/>
      <w:bookmarkStart w:id="3511" w:name="_Toc4754097"/>
      <w:bookmarkStart w:id="3512" w:name="_Toc3304332"/>
      <w:bookmarkStart w:id="3513" w:name="_Toc3312570"/>
      <w:bookmarkStart w:id="3514" w:name="_Toc4754098"/>
      <w:bookmarkStart w:id="3515" w:name="_Toc3304333"/>
      <w:bookmarkStart w:id="3516" w:name="_Toc3312571"/>
      <w:bookmarkStart w:id="3517" w:name="_Toc4754099"/>
      <w:bookmarkStart w:id="3518" w:name="_Toc3304334"/>
      <w:bookmarkStart w:id="3519" w:name="_Toc3312572"/>
      <w:bookmarkStart w:id="3520" w:name="_Toc4754100"/>
      <w:bookmarkStart w:id="3521" w:name="_Toc3304335"/>
      <w:bookmarkStart w:id="3522" w:name="_Toc3312573"/>
      <w:bookmarkStart w:id="3523" w:name="_Toc4754101"/>
      <w:bookmarkStart w:id="3524" w:name="_Toc3304336"/>
      <w:bookmarkStart w:id="3525" w:name="_Toc3312574"/>
      <w:bookmarkStart w:id="3526" w:name="_Toc4754102"/>
      <w:bookmarkStart w:id="3527" w:name="_Toc3304337"/>
      <w:bookmarkStart w:id="3528" w:name="_Toc3312575"/>
      <w:bookmarkStart w:id="3529" w:name="_Toc4754103"/>
      <w:bookmarkStart w:id="3530" w:name="_Toc3304338"/>
      <w:bookmarkStart w:id="3531" w:name="_Toc3312576"/>
      <w:bookmarkStart w:id="3532" w:name="_Toc4754104"/>
      <w:bookmarkStart w:id="3533" w:name="_Toc3304339"/>
      <w:bookmarkStart w:id="3534" w:name="_Toc3312577"/>
      <w:bookmarkStart w:id="3535" w:name="_Toc4754105"/>
      <w:bookmarkStart w:id="3536" w:name="_Toc3304340"/>
      <w:bookmarkStart w:id="3537" w:name="_Toc3312578"/>
      <w:bookmarkStart w:id="3538" w:name="_Toc4754106"/>
      <w:bookmarkStart w:id="3539" w:name="_Toc3304341"/>
      <w:bookmarkStart w:id="3540" w:name="_Toc3312579"/>
      <w:bookmarkStart w:id="3541" w:name="_Toc4754107"/>
      <w:bookmarkStart w:id="3542" w:name="_Toc3304342"/>
      <w:bookmarkStart w:id="3543" w:name="_Toc3312580"/>
      <w:bookmarkStart w:id="3544" w:name="_Toc4754108"/>
      <w:bookmarkStart w:id="3545" w:name="_Toc3304343"/>
      <w:bookmarkStart w:id="3546" w:name="_Toc3312581"/>
      <w:bookmarkStart w:id="3547" w:name="_Toc4754109"/>
      <w:bookmarkStart w:id="3548" w:name="_Toc3304344"/>
      <w:bookmarkStart w:id="3549" w:name="_Toc3312582"/>
      <w:bookmarkStart w:id="3550" w:name="_Toc4754110"/>
      <w:bookmarkStart w:id="3551" w:name="_Toc3304345"/>
      <w:bookmarkStart w:id="3552" w:name="_Toc3312583"/>
      <w:bookmarkStart w:id="3553" w:name="_Toc4754111"/>
      <w:bookmarkStart w:id="3554" w:name="_Toc3304346"/>
      <w:bookmarkStart w:id="3555" w:name="_Toc3312584"/>
      <w:bookmarkStart w:id="3556" w:name="_Toc4754112"/>
      <w:bookmarkStart w:id="3557" w:name="_Toc3304347"/>
      <w:bookmarkStart w:id="3558" w:name="_Toc3312585"/>
      <w:bookmarkStart w:id="3559" w:name="_Toc4754113"/>
      <w:bookmarkStart w:id="3560" w:name="_Toc3304348"/>
      <w:bookmarkStart w:id="3561" w:name="_Toc3312586"/>
      <w:bookmarkStart w:id="3562" w:name="_Toc4754114"/>
      <w:bookmarkStart w:id="3563" w:name="_Toc3304349"/>
      <w:bookmarkStart w:id="3564" w:name="_Toc3312587"/>
      <w:bookmarkStart w:id="3565" w:name="_Toc4754115"/>
      <w:bookmarkStart w:id="3566" w:name="_Toc3304350"/>
      <w:bookmarkStart w:id="3567" w:name="_Toc3312588"/>
      <w:bookmarkStart w:id="3568" w:name="_Toc4754116"/>
      <w:bookmarkStart w:id="3569" w:name="_Toc3304351"/>
      <w:bookmarkStart w:id="3570" w:name="_Toc3312589"/>
      <w:bookmarkStart w:id="3571" w:name="_Toc4754117"/>
      <w:bookmarkStart w:id="3572" w:name="_Toc3304352"/>
      <w:bookmarkStart w:id="3573" w:name="_Toc3312590"/>
      <w:bookmarkStart w:id="3574" w:name="_Toc4754118"/>
      <w:bookmarkStart w:id="3575" w:name="_Toc3304353"/>
      <w:bookmarkStart w:id="3576" w:name="_Toc3312591"/>
      <w:bookmarkStart w:id="3577" w:name="_Toc4754119"/>
      <w:bookmarkStart w:id="3578" w:name="_Toc3304354"/>
      <w:bookmarkStart w:id="3579" w:name="_Toc3312592"/>
      <w:bookmarkStart w:id="3580" w:name="_Toc4754120"/>
      <w:bookmarkStart w:id="3581" w:name="_Toc3304355"/>
      <w:bookmarkStart w:id="3582" w:name="_Toc3312593"/>
      <w:bookmarkStart w:id="3583" w:name="_Toc4754121"/>
      <w:bookmarkStart w:id="3584" w:name="_Toc3304356"/>
      <w:bookmarkStart w:id="3585" w:name="_Toc3312594"/>
      <w:bookmarkStart w:id="3586" w:name="_Toc4754122"/>
      <w:bookmarkStart w:id="3587" w:name="_Toc3304357"/>
      <w:bookmarkStart w:id="3588" w:name="_Toc3312595"/>
      <w:bookmarkStart w:id="3589" w:name="_Toc4754123"/>
      <w:bookmarkStart w:id="3590" w:name="_Toc3304358"/>
      <w:bookmarkStart w:id="3591" w:name="_Toc3312596"/>
      <w:bookmarkStart w:id="3592" w:name="_Toc4754124"/>
      <w:bookmarkStart w:id="3593" w:name="_Toc3304359"/>
      <w:bookmarkStart w:id="3594" w:name="_Toc3312597"/>
      <w:bookmarkStart w:id="3595" w:name="_Toc4754125"/>
      <w:bookmarkStart w:id="3596" w:name="_Toc3304360"/>
      <w:bookmarkStart w:id="3597" w:name="_Toc3312598"/>
      <w:bookmarkStart w:id="3598" w:name="_Toc4754126"/>
      <w:bookmarkStart w:id="3599" w:name="_Toc3304361"/>
      <w:bookmarkStart w:id="3600" w:name="_Toc3312599"/>
      <w:bookmarkStart w:id="3601" w:name="_Toc4754127"/>
      <w:bookmarkStart w:id="3602" w:name="_Toc3304362"/>
      <w:bookmarkStart w:id="3603" w:name="_Toc3312600"/>
      <w:bookmarkStart w:id="3604" w:name="_Toc4754128"/>
      <w:bookmarkStart w:id="3605" w:name="_Toc3304363"/>
      <w:bookmarkStart w:id="3606" w:name="_Toc3312601"/>
      <w:bookmarkStart w:id="3607" w:name="_Toc4754129"/>
      <w:bookmarkStart w:id="3608" w:name="_Toc3304364"/>
      <w:bookmarkStart w:id="3609" w:name="_Toc3312602"/>
      <w:bookmarkStart w:id="3610" w:name="_Toc4754130"/>
      <w:bookmarkStart w:id="3611" w:name="_Toc3304365"/>
      <w:bookmarkStart w:id="3612" w:name="_Toc3312603"/>
      <w:bookmarkStart w:id="3613" w:name="_Toc4754131"/>
      <w:bookmarkStart w:id="3614" w:name="_Toc3304366"/>
      <w:bookmarkStart w:id="3615" w:name="_Toc3312604"/>
      <w:bookmarkStart w:id="3616" w:name="_Toc4754132"/>
      <w:bookmarkStart w:id="3617" w:name="_Toc3304367"/>
      <w:bookmarkStart w:id="3618" w:name="_Toc3312605"/>
      <w:bookmarkStart w:id="3619" w:name="_Toc4754133"/>
      <w:bookmarkStart w:id="3620" w:name="_Toc3304368"/>
      <w:bookmarkStart w:id="3621" w:name="_Toc3312606"/>
      <w:bookmarkStart w:id="3622" w:name="_Toc4754134"/>
      <w:bookmarkStart w:id="3623" w:name="_Toc3304369"/>
      <w:bookmarkStart w:id="3624" w:name="_Toc3312607"/>
      <w:bookmarkStart w:id="3625" w:name="_Toc4754135"/>
      <w:bookmarkStart w:id="3626" w:name="_Toc3304370"/>
      <w:bookmarkStart w:id="3627" w:name="_Toc3312608"/>
      <w:bookmarkStart w:id="3628" w:name="_Toc4754136"/>
      <w:bookmarkStart w:id="3629" w:name="_Toc3304371"/>
      <w:bookmarkStart w:id="3630" w:name="_Toc3312609"/>
      <w:bookmarkStart w:id="3631" w:name="_Toc4754137"/>
      <w:bookmarkStart w:id="3632" w:name="_Toc3304372"/>
      <w:bookmarkStart w:id="3633" w:name="_Toc3312610"/>
      <w:bookmarkStart w:id="3634" w:name="_Toc4754138"/>
      <w:bookmarkStart w:id="3635" w:name="_Toc3304373"/>
      <w:bookmarkStart w:id="3636" w:name="_Toc3312611"/>
      <w:bookmarkStart w:id="3637" w:name="_Toc4754139"/>
      <w:bookmarkStart w:id="3638" w:name="_Toc3304374"/>
      <w:bookmarkStart w:id="3639" w:name="_Toc3312612"/>
      <w:bookmarkStart w:id="3640" w:name="_Toc4754140"/>
      <w:bookmarkStart w:id="3641" w:name="_Toc3304375"/>
      <w:bookmarkStart w:id="3642" w:name="_Toc3312613"/>
      <w:bookmarkStart w:id="3643" w:name="_Toc4754141"/>
      <w:bookmarkStart w:id="3644" w:name="_Toc3304376"/>
      <w:bookmarkStart w:id="3645" w:name="_Toc3312614"/>
      <w:bookmarkStart w:id="3646" w:name="_Toc4754142"/>
      <w:bookmarkStart w:id="3647" w:name="_Toc3304377"/>
      <w:bookmarkStart w:id="3648" w:name="_Toc3312615"/>
      <w:bookmarkStart w:id="3649" w:name="_Toc4754143"/>
      <w:bookmarkStart w:id="3650" w:name="_Toc3304378"/>
      <w:bookmarkStart w:id="3651" w:name="_Toc3312616"/>
      <w:bookmarkStart w:id="3652" w:name="_Toc4754144"/>
      <w:bookmarkStart w:id="3653" w:name="_Toc3304379"/>
      <w:bookmarkStart w:id="3654" w:name="_Toc3312617"/>
      <w:bookmarkStart w:id="3655" w:name="_Toc4754145"/>
      <w:bookmarkStart w:id="3656" w:name="_Toc3304380"/>
      <w:bookmarkStart w:id="3657" w:name="_Toc3312618"/>
      <w:bookmarkStart w:id="3658" w:name="_Toc4754146"/>
      <w:bookmarkStart w:id="3659" w:name="_Toc3304381"/>
      <w:bookmarkStart w:id="3660" w:name="_Toc3312619"/>
      <w:bookmarkStart w:id="3661" w:name="_Toc4754147"/>
      <w:bookmarkStart w:id="3662" w:name="_Toc3304382"/>
      <w:bookmarkStart w:id="3663" w:name="_Toc3312620"/>
      <w:bookmarkStart w:id="3664" w:name="_Toc4754148"/>
      <w:bookmarkStart w:id="3665" w:name="_Toc3304383"/>
      <w:bookmarkStart w:id="3666" w:name="_Toc3312621"/>
      <w:bookmarkStart w:id="3667" w:name="_Toc4754149"/>
      <w:bookmarkStart w:id="3668" w:name="_Toc3304384"/>
      <w:bookmarkStart w:id="3669" w:name="_Toc3312622"/>
      <w:bookmarkStart w:id="3670" w:name="_Toc4754150"/>
      <w:bookmarkStart w:id="3671" w:name="_Toc3304385"/>
      <w:bookmarkStart w:id="3672" w:name="_Toc3312623"/>
      <w:bookmarkStart w:id="3673" w:name="_Toc4754151"/>
      <w:bookmarkStart w:id="3674" w:name="_Toc3304386"/>
      <w:bookmarkStart w:id="3675" w:name="_Toc3312624"/>
      <w:bookmarkStart w:id="3676" w:name="_Toc4754152"/>
      <w:bookmarkStart w:id="3677" w:name="_Toc3304387"/>
      <w:bookmarkStart w:id="3678" w:name="_Toc3312625"/>
      <w:bookmarkStart w:id="3679" w:name="_Toc4754153"/>
      <w:bookmarkStart w:id="3680" w:name="_Toc3304388"/>
      <w:bookmarkStart w:id="3681" w:name="_Toc3312626"/>
      <w:bookmarkStart w:id="3682" w:name="_Toc4754154"/>
      <w:bookmarkStart w:id="3683" w:name="_Toc3304389"/>
      <w:bookmarkStart w:id="3684" w:name="_Toc3312627"/>
      <w:bookmarkStart w:id="3685" w:name="_Toc4754155"/>
      <w:bookmarkStart w:id="3686" w:name="_Toc3304390"/>
      <w:bookmarkStart w:id="3687" w:name="_Toc3312628"/>
      <w:bookmarkStart w:id="3688" w:name="_Toc4754156"/>
      <w:bookmarkStart w:id="3689" w:name="_Toc3304391"/>
      <w:bookmarkStart w:id="3690" w:name="_Toc3312629"/>
      <w:bookmarkStart w:id="3691" w:name="_Toc4754157"/>
      <w:bookmarkStart w:id="3692" w:name="_Toc3304392"/>
      <w:bookmarkStart w:id="3693" w:name="_Toc3312630"/>
      <w:bookmarkStart w:id="3694" w:name="_Toc4754158"/>
      <w:bookmarkStart w:id="3695" w:name="_Toc3304393"/>
      <w:bookmarkStart w:id="3696" w:name="_Toc3312631"/>
      <w:bookmarkStart w:id="3697" w:name="_Toc4754159"/>
      <w:bookmarkStart w:id="3698" w:name="_Toc3304394"/>
      <w:bookmarkStart w:id="3699" w:name="_Toc3312632"/>
      <w:bookmarkStart w:id="3700" w:name="_Toc4754160"/>
      <w:bookmarkStart w:id="3701" w:name="_Toc3304395"/>
      <w:bookmarkStart w:id="3702" w:name="_Toc3312633"/>
      <w:bookmarkStart w:id="3703" w:name="_Toc4754161"/>
      <w:bookmarkStart w:id="3704" w:name="_Toc3304396"/>
      <w:bookmarkStart w:id="3705" w:name="_Toc3312634"/>
      <w:bookmarkStart w:id="3706" w:name="_Toc4754162"/>
      <w:bookmarkStart w:id="3707" w:name="_Toc3304397"/>
      <w:bookmarkStart w:id="3708" w:name="_Toc3312635"/>
      <w:bookmarkStart w:id="3709" w:name="_Toc4754163"/>
      <w:bookmarkStart w:id="3710" w:name="_Toc3304398"/>
      <w:bookmarkStart w:id="3711" w:name="_Toc3312636"/>
      <w:bookmarkStart w:id="3712" w:name="_Toc4754164"/>
      <w:bookmarkStart w:id="3713" w:name="_Toc3304399"/>
      <w:bookmarkStart w:id="3714" w:name="_Toc3312637"/>
      <w:bookmarkStart w:id="3715" w:name="_Toc4754165"/>
      <w:bookmarkStart w:id="3716" w:name="_Toc3304400"/>
      <w:bookmarkStart w:id="3717" w:name="_Toc3312638"/>
      <w:bookmarkStart w:id="3718" w:name="_Toc4754166"/>
      <w:bookmarkStart w:id="3719" w:name="_Toc3304401"/>
      <w:bookmarkStart w:id="3720" w:name="_Toc3312639"/>
      <w:bookmarkStart w:id="3721" w:name="_Toc4754167"/>
      <w:bookmarkStart w:id="3722" w:name="_Toc3304402"/>
      <w:bookmarkStart w:id="3723" w:name="_Toc3312640"/>
      <w:bookmarkStart w:id="3724" w:name="_Toc4754168"/>
      <w:bookmarkStart w:id="3725" w:name="_Toc3304403"/>
      <w:bookmarkStart w:id="3726" w:name="_Toc3312641"/>
      <w:bookmarkStart w:id="3727" w:name="_Toc4754169"/>
      <w:bookmarkStart w:id="3728" w:name="_Toc3304404"/>
      <w:bookmarkStart w:id="3729" w:name="_Toc3312642"/>
      <w:bookmarkStart w:id="3730" w:name="_Toc4754170"/>
      <w:bookmarkStart w:id="3731" w:name="_Toc3304405"/>
      <w:bookmarkStart w:id="3732" w:name="_Toc3312643"/>
      <w:bookmarkStart w:id="3733" w:name="_Toc4754171"/>
      <w:bookmarkStart w:id="3734" w:name="_Toc3304406"/>
      <w:bookmarkStart w:id="3735" w:name="_Toc3312644"/>
      <w:bookmarkStart w:id="3736" w:name="_Toc4754172"/>
      <w:bookmarkStart w:id="3737" w:name="_Toc3304407"/>
      <w:bookmarkStart w:id="3738" w:name="_Toc3312645"/>
      <w:bookmarkStart w:id="3739" w:name="_Toc4754173"/>
      <w:bookmarkStart w:id="3740" w:name="_Toc3304408"/>
      <w:bookmarkStart w:id="3741" w:name="_Toc3312646"/>
      <w:bookmarkStart w:id="3742" w:name="_Toc4754174"/>
      <w:bookmarkStart w:id="3743" w:name="_Toc3304409"/>
      <w:bookmarkStart w:id="3744" w:name="_Toc3312647"/>
      <w:bookmarkStart w:id="3745" w:name="_Toc4754175"/>
      <w:bookmarkStart w:id="3746" w:name="_Toc3304410"/>
      <w:bookmarkStart w:id="3747" w:name="_Toc3312648"/>
      <w:bookmarkStart w:id="3748" w:name="_Toc4754176"/>
      <w:bookmarkStart w:id="3749" w:name="_Toc3304415"/>
      <w:bookmarkStart w:id="3750" w:name="_Toc3312653"/>
      <w:bookmarkStart w:id="3751" w:name="_Toc4754181"/>
      <w:bookmarkStart w:id="3752" w:name="_Toc3304463"/>
      <w:bookmarkStart w:id="3753" w:name="_Toc3312701"/>
      <w:bookmarkStart w:id="3754" w:name="_Toc4754229"/>
      <w:bookmarkStart w:id="3755" w:name="_Toc3304464"/>
      <w:bookmarkStart w:id="3756" w:name="_Toc3312702"/>
      <w:bookmarkStart w:id="3757" w:name="_Toc4754230"/>
      <w:bookmarkStart w:id="3758" w:name="_Toc3304465"/>
      <w:bookmarkStart w:id="3759" w:name="_Toc3312703"/>
      <w:bookmarkStart w:id="3760" w:name="_Toc4754231"/>
      <w:bookmarkStart w:id="3761" w:name="_Toc3304466"/>
      <w:bookmarkStart w:id="3762" w:name="_Toc3312704"/>
      <w:bookmarkStart w:id="3763" w:name="_Toc4754232"/>
      <w:bookmarkStart w:id="3764" w:name="_Toc3304467"/>
      <w:bookmarkStart w:id="3765" w:name="_Toc3312705"/>
      <w:bookmarkStart w:id="3766" w:name="_Toc4754233"/>
      <w:bookmarkStart w:id="3767" w:name="_Toc3304470"/>
      <w:bookmarkStart w:id="3768" w:name="_Toc3304471"/>
      <w:bookmarkStart w:id="3769" w:name="_Toc3304472"/>
      <w:bookmarkStart w:id="3770" w:name="_Toc3304473"/>
      <w:bookmarkStart w:id="3771" w:name="_Toc3304474"/>
      <w:bookmarkStart w:id="3772" w:name="_Toc3304475"/>
      <w:bookmarkStart w:id="3773" w:name="_Toc3304476"/>
      <w:bookmarkStart w:id="3774" w:name="_Toc3304477"/>
      <w:bookmarkStart w:id="3775" w:name="_Toc3304478"/>
      <w:bookmarkStart w:id="3776" w:name="_Toc3304479"/>
      <w:bookmarkStart w:id="3777" w:name="_Toc3304480"/>
      <w:bookmarkStart w:id="3778" w:name="_Toc3304481"/>
      <w:bookmarkStart w:id="3779" w:name="_Toc3304482"/>
      <w:bookmarkStart w:id="3780" w:name="_Toc3304483"/>
      <w:bookmarkStart w:id="3781" w:name="_Toc3304484"/>
      <w:bookmarkStart w:id="3782" w:name="_Toc3304485"/>
      <w:bookmarkStart w:id="3783" w:name="_Toc3304486"/>
      <w:bookmarkStart w:id="3784" w:name="_Toc3304487"/>
      <w:bookmarkStart w:id="3785" w:name="_Toc3304488"/>
      <w:bookmarkStart w:id="3786" w:name="_Toc3304491"/>
      <w:bookmarkStart w:id="3787" w:name="_Toc3304492"/>
      <w:bookmarkStart w:id="3788" w:name="_Toc3304493"/>
      <w:bookmarkStart w:id="3789" w:name="_Toc3304494"/>
      <w:bookmarkStart w:id="3790" w:name="_Toc3304501"/>
      <w:bookmarkStart w:id="3791" w:name="_Toc3304571"/>
      <w:bookmarkStart w:id="3792" w:name="_Toc3304572"/>
      <w:bookmarkStart w:id="3793" w:name="_Toc3304573"/>
      <w:bookmarkStart w:id="3794" w:name="_Toc3304574"/>
      <w:bookmarkStart w:id="3795" w:name="_Toc3304575"/>
      <w:bookmarkStart w:id="3796" w:name="_Toc3304576"/>
      <w:bookmarkStart w:id="3797" w:name="_Toc3304577"/>
      <w:bookmarkStart w:id="3798" w:name="_Toc3304607"/>
      <w:bookmarkStart w:id="3799" w:name="_Toc3304608"/>
      <w:bookmarkStart w:id="3800" w:name="_Toc3304609"/>
      <w:bookmarkStart w:id="3801" w:name="_Toc3304610"/>
      <w:bookmarkStart w:id="3802" w:name="_Toc3304611"/>
      <w:bookmarkStart w:id="3803" w:name="_Toc3304612"/>
      <w:bookmarkStart w:id="3804" w:name="_Toc3304613"/>
      <w:bookmarkStart w:id="3805" w:name="_Toc3304614"/>
      <w:bookmarkStart w:id="3806" w:name="_Toc3304615"/>
      <w:bookmarkStart w:id="3807" w:name="_Toc3304616"/>
      <w:bookmarkStart w:id="3808" w:name="_Toc3304617"/>
      <w:bookmarkStart w:id="3809" w:name="_Toc3304618"/>
      <w:bookmarkStart w:id="3810" w:name="_Toc3304619"/>
      <w:bookmarkStart w:id="3811" w:name="_Toc3304620"/>
      <w:bookmarkStart w:id="3812" w:name="_Toc3304621"/>
      <w:bookmarkStart w:id="3813" w:name="_Toc3304622"/>
      <w:bookmarkStart w:id="3814" w:name="_Toc3304623"/>
      <w:bookmarkStart w:id="3815" w:name="_Toc3304624"/>
      <w:bookmarkStart w:id="3816" w:name="_Toc3304625"/>
      <w:bookmarkStart w:id="3817" w:name="_Toc3304626"/>
      <w:bookmarkStart w:id="3818" w:name="_Toc3304627"/>
      <w:bookmarkStart w:id="3819" w:name="_Toc3304628"/>
      <w:bookmarkStart w:id="3820" w:name="_Toc3304629"/>
      <w:bookmarkStart w:id="3821" w:name="_Toc3304630"/>
      <w:bookmarkStart w:id="3822" w:name="_Toc3304631"/>
      <w:bookmarkStart w:id="3823" w:name="_Toc3304632"/>
      <w:bookmarkStart w:id="3824" w:name="_Toc3304633"/>
      <w:bookmarkStart w:id="3825" w:name="_Toc3304634"/>
      <w:bookmarkStart w:id="3826" w:name="_Toc3304635"/>
      <w:bookmarkStart w:id="3827" w:name="_Toc3304636"/>
      <w:bookmarkStart w:id="3828" w:name="_Toc3304637"/>
      <w:bookmarkStart w:id="3829" w:name="_Toc3304638"/>
      <w:bookmarkStart w:id="3830" w:name="_Toc3304639"/>
      <w:bookmarkStart w:id="3831" w:name="_Toc3304640"/>
      <w:bookmarkStart w:id="3832" w:name="_Toc3304641"/>
      <w:bookmarkStart w:id="3833" w:name="_Toc3304642"/>
      <w:bookmarkStart w:id="3834" w:name="_Toc3304643"/>
      <w:bookmarkStart w:id="3835" w:name="_Toc3304644"/>
      <w:bookmarkStart w:id="3836" w:name="_Toc3304645"/>
      <w:bookmarkStart w:id="3837" w:name="_Toc3304646"/>
      <w:bookmarkStart w:id="3838" w:name="_Toc3304647"/>
      <w:bookmarkStart w:id="3839" w:name="_Toc3304648"/>
      <w:bookmarkStart w:id="3840" w:name="_Toc3304649"/>
      <w:bookmarkStart w:id="3841" w:name="_Toc3304650"/>
      <w:bookmarkStart w:id="3842" w:name="_Toc3304651"/>
      <w:bookmarkStart w:id="3843" w:name="_Toc3304652"/>
      <w:bookmarkStart w:id="3844" w:name="_Toc3304653"/>
      <w:bookmarkStart w:id="3845" w:name="_Toc3304654"/>
      <w:bookmarkStart w:id="3846" w:name="_Toc3304655"/>
      <w:bookmarkStart w:id="3847" w:name="_Toc3304656"/>
      <w:bookmarkStart w:id="3848" w:name="_Toc3304657"/>
      <w:bookmarkStart w:id="3849" w:name="_Toc3304658"/>
      <w:bookmarkStart w:id="3850" w:name="_Toc3304659"/>
      <w:bookmarkStart w:id="3851" w:name="_Toc3304660"/>
      <w:bookmarkStart w:id="3852" w:name="_Toc3304661"/>
      <w:bookmarkStart w:id="3853" w:name="_Toc3304662"/>
      <w:bookmarkStart w:id="3854" w:name="_Toc3304663"/>
      <w:bookmarkStart w:id="3855" w:name="_Toc3304664"/>
      <w:bookmarkStart w:id="3856" w:name="_Toc3304665"/>
      <w:bookmarkStart w:id="3857" w:name="_Toc3304666"/>
      <w:bookmarkStart w:id="3858" w:name="_Toc3304667"/>
      <w:bookmarkStart w:id="3859" w:name="_Toc3304668"/>
      <w:bookmarkStart w:id="3860" w:name="_Toc3304669"/>
      <w:bookmarkStart w:id="3861" w:name="_Toc3304674"/>
      <w:bookmarkStart w:id="3862" w:name="_Toc3304722"/>
      <w:bookmarkStart w:id="3863" w:name="_Toc3304723"/>
      <w:bookmarkStart w:id="3864" w:name="_Toc3304724"/>
      <w:bookmarkStart w:id="3865" w:name="_Toc3304725"/>
      <w:bookmarkStart w:id="3866" w:name="_Toc3304726"/>
      <w:bookmarkStart w:id="3867" w:name="_Toc3304727"/>
      <w:bookmarkStart w:id="3868" w:name="_Toc3304728"/>
      <w:bookmarkStart w:id="3869" w:name="_Toc3304729"/>
      <w:bookmarkStart w:id="3870" w:name="_Toc3304730"/>
      <w:bookmarkStart w:id="3871" w:name="_Toc3304731"/>
      <w:bookmarkStart w:id="3872" w:name="_Toc3304732"/>
      <w:bookmarkStart w:id="3873" w:name="_Toc3304740"/>
      <w:bookmarkStart w:id="3874" w:name="_Toc3304850"/>
      <w:bookmarkStart w:id="3875" w:name="_Toc3304851"/>
      <w:bookmarkStart w:id="3876" w:name="_Toc3304852"/>
      <w:bookmarkStart w:id="3877" w:name="_Toc3304853"/>
      <w:bookmarkStart w:id="3878" w:name="_Toc3304854"/>
      <w:bookmarkStart w:id="3879" w:name="_Toc3304855"/>
      <w:bookmarkStart w:id="3880" w:name="_Toc3304862"/>
      <w:bookmarkStart w:id="3881" w:name="_Toc3304863"/>
      <w:bookmarkStart w:id="3882" w:name="_Toc3304864"/>
      <w:bookmarkStart w:id="3883" w:name="_Toc3304865"/>
      <w:bookmarkStart w:id="3884" w:name="_Toc3304866"/>
      <w:bookmarkStart w:id="3885" w:name="_Toc3304867"/>
      <w:bookmarkStart w:id="3886" w:name="_Toc3304868"/>
      <w:bookmarkStart w:id="3887" w:name="_Toc3304869"/>
      <w:bookmarkStart w:id="3888" w:name="_Toc3304870"/>
      <w:bookmarkStart w:id="3889" w:name="_Toc3304871"/>
      <w:bookmarkStart w:id="3890" w:name="_Toc3304872"/>
      <w:bookmarkStart w:id="3891" w:name="_Toc3304873"/>
      <w:bookmarkStart w:id="3892" w:name="_Toc3304876"/>
      <w:bookmarkStart w:id="3893" w:name="_Toc3304877"/>
      <w:bookmarkStart w:id="3894" w:name="_Toc3304878"/>
      <w:bookmarkStart w:id="3895" w:name="_Toc3304879"/>
      <w:bookmarkStart w:id="3896" w:name="_Toc3304886"/>
      <w:bookmarkStart w:id="3897" w:name="_Toc3304956"/>
      <w:bookmarkStart w:id="3898" w:name="_Toc3304957"/>
      <w:bookmarkStart w:id="3899" w:name="_Toc3304958"/>
      <w:bookmarkStart w:id="3900" w:name="_Toc3304959"/>
      <w:bookmarkStart w:id="3901" w:name="_Toc3304960"/>
      <w:bookmarkStart w:id="3902" w:name="_Toc3304961"/>
      <w:bookmarkStart w:id="3903" w:name="_Toc3304962"/>
      <w:bookmarkStart w:id="3904" w:name="_Toc3304992"/>
      <w:bookmarkStart w:id="3905" w:name="_Toc3304993"/>
      <w:bookmarkStart w:id="3906" w:name="_Toc3304994"/>
      <w:bookmarkStart w:id="3907" w:name="_Toc3304995"/>
      <w:bookmarkStart w:id="3908" w:name="_Toc3304996"/>
      <w:bookmarkStart w:id="3909" w:name="_Toc3304997"/>
      <w:bookmarkStart w:id="3910" w:name="_Toc3304998"/>
      <w:bookmarkStart w:id="3911" w:name="_Toc3304999"/>
      <w:bookmarkStart w:id="3912" w:name="_Toc3305000"/>
      <w:bookmarkStart w:id="3913" w:name="_Toc3305001"/>
      <w:bookmarkStart w:id="3914" w:name="_Toc3305002"/>
      <w:bookmarkStart w:id="3915" w:name="_Toc3305003"/>
      <w:bookmarkStart w:id="3916" w:name="_Toc3305004"/>
      <w:bookmarkStart w:id="3917" w:name="_Toc3305005"/>
      <w:bookmarkStart w:id="3918" w:name="_Toc3305006"/>
      <w:bookmarkStart w:id="3919" w:name="_Toc3305007"/>
      <w:bookmarkStart w:id="3920" w:name="_Toc3305008"/>
      <w:bookmarkStart w:id="3921" w:name="_Toc3305009"/>
      <w:bookmarkStart w:id="3922" w:name="_Toc3305010"/>
      <w:bookmarkStart w:id="3923" w:name="_Toc3305011"/>
      <w:bookmarkStart w:id="3924" w:name="_Toc3305012"/>
      <w:bookmarkStart w:id="3925" w:name="_Toc3305013"/>
      <w:bookmarkStart w:id="3926" w:name="_Toc3305014"/>
      <w:bookmarkStart w:id="3927" w:name="_Toc3305015"/>
      <w:bookmarkStart w:id="3928" w:name="_Toc3305016"/>
      <w:bookmarkStart w:id="3929" w:name="_Toc3305017"/>
      <w:bookmarkStart w:id="3930" w:name="_Toc3305018"/>
      <w:bookmarkStart w:id="3931" w:name="_Toc3305019"/>
      <w:bookmarkStart w:id="3932" w:name="_Toc3305020"/>
      <w:bookmarkStart w:id="3933" w:name="_Toc3305021"/>
      <w:bookmarkStart w:id="3934" w:name="_Toc3305022"/>
      <w:bookmarkStart w:id="3935" w:name="_Toc3305023"/>
      <w:bookmarkStart w:id="3936" w:name="_Toc3305024"/>
      <w:bookmarkStart w:id="3937" w:name="_Toc3305025"/>
      <w:bookmarkStart w:id="3938" w:name="_Toc3305026"/>
      <w:bookmarkStart w:id="3939" w:name="_Toc3305027"/>
      <w:bookmarkStart w:id="3940" w:name="_Toc3305028"/>
      <w:bookmarkStart w:id="3941" w:name="_Toc3305029"/>
      <w:bookmarkStart w:id="3942" w:name="_Toc3305030"/>
      <w:bookmarkStart w:id="3943" w:name="_Toc3305031"/>
      <w:bookmarkStart w:id="3944" w:name="_Toc3305032"/>
      <w:bookmarkStart w:id="3945" w:name="_Toc3305033"/>
      <w:bookmarkStart w:id="3946" w:name="_Toc3305034"/>
      <w:bookmarkStart w:id="3947" w:name="_Toc3305035"/>
      <w:bookmarkStart w:id="3948" w:name="_Toc3305036"/>
      <w:bookmarkStart w:id="3949" w:name="_Toc3305041"/>
      <w:bookmarkStart w:id="3950" w:name="_Toc3305089"/>
      <w:bookmarkStart w:id="3951" w:name="_Toc3305090"/>
      <w:bookmarkStart w:id="3952" w:name="_Toc3305091"/>
      <w:bookmarkStart w:id="3953" w:name="_Toc3305092"/>
      <w:bookmarkStart w:id="3954" w:name="_Toc3305093"/>
      <w:bookmarkStart w:id="3955" w:name="_Toc3305094"/>
      <w:bookmarkStart w:id="3956" w:name="_Toc3305095"/>
      <w:bookmarkStart w:id="3957" w:name="_Toc3305096"/>
      <w:bookmarkStart w:id="3958" w:name="_Toc3305097"/>
      <w:bookmarkStart w:id="3959" w:name="_Toc3305098"/>
      <w:bookmarkStart w:id="3960" w:name="_Toc3305099"/>
      <w:bookmarkStart w:id="3961" w:name="_Toc3305100"/>
      <w:bookmarkStart w:id="3962" w:name="_Toc3305101"/>
      <w:bookmarkStart w:id="3963" w:name="_Toc3305102"/>
      <w:bookmarkStart w:id="3964" w:name="_Toc3305103"/>
      <w:bookmarkStart w:id="3965" w:name="_Toc3305104"/>
      <w:bookmarkStart w:id="3966" w:name="_Toc3305105"/>
      <w:bookmarkStart w:id="3967" w:name="_Toc3305106"/>
      <w:bookmarkStart w:id="3968" w:name="_Toc3305107"/>
      <w:bookmarkStart w:id="3969" w:name="_Toc3305108"/>
      <w:bookmarkStart w:id="3970" w:name="_Toc3305109"/>
      <w:bookmarkStart w:id="3971" w:name="_Toc3305110"/>
      <w:bookmarkStart w:id="3972" w:name="_Toc3305113"/>
      <w:bookmarkStart w:id="3973" w:name="_Toc3305114"/>
      <w:bookmarkStart w:id="3974" w:name="_Toc3305115"/>
      <w:bookmarkStart w:id="3975" w:name="_Toc3305116"/>
      <w:bookmarkStart w:id="3976" w:name="_Toc3305123"/>
      <w:bookmarkStart w:id="3977" w:name="_Toc3305193"/>
      <w:bookmarkStart w:id="3978" w:name="_Toc3305194"/>
      <w:bookmarkStart w:id="3979" w:name="_Toc3305195"/>
      <w:bookmarkStart w:id="3980" w:name="_Toc3305196"/>
      <w:bookmarkStart w:id="3981" w:name="_Toc3305197"/>
      <w:bookmarkStart w:id="3982" w:name="_Toc3305198"/>
      <w:bookmarkStart w:id="3983" w:name="_Toc3305199"/>
      <w:bookmarkStart w:id="3984" w:name="_Toc3305200"/>
      <w:bookmarkStart w:id="3985" w:name="_Toc3305230"/>
      <w:bookmarkStart w:id="3986" w:name="_Toc3305231"/>
      <w:bookmarkStart w:id="3987" w:name="_Toc3305232"/>
      <w:bookmarkStart w:id="3988" w:name="_Toc3305233"/>
      <w:bookmarkStart w:id="3989" w:name="_Toc3305234"/>
      <w:bookmarkStart w:id="3990" w:name="_Toc3305235"/>
      <w:bookmarkStart w:id="3991" w:name="_Toc3305236"/>
      <w:bookmarkStart w:id="3992" w:name="_Toc3305237"/>
      <w:bookmarkStart w:id="3993" w:name="_Toc3305238"/>
      <w:bookmarkStart w:id="3994" w:name="_Toc3305239"/>
      <w:bookmarkStart w:id="3995" w:name="_Toc3305240"/>
      <w:bookmarkStart w:id="3996" w:name="_Toc3305241"/>
      <w:bookmarkStart w:id="3997" w:name="_Toc3305242"/>
      <w:bookmarkStart w:id="3998" w:name="_Toc3305243"/>
      <w:bookmarkStart w:id="3999" w:name="_Toc3305244"/>
      <w:bookmarkStart w:id="4000" w:name="_Toc3305245"/>
      <w:bookmarkStart w:id="4001" w:name="_Toc3305246"/>
      <w:bookmarkStart w:id="4002" w:name="_Toc3305247"/>
      <w:bookmarkStart w:id="4003" w:name="_Toc3305248"/>
      <w:bookmarkStart w:id="4004" w:name="_Toc3305249"/>
      <w:bookmarkStart w:id="4005" w:name="_Toc3305250"/>
      <w:bookmarkStart w:id="4006" w:name="_Toc3305251"/>
      <w:bookmarkStart w:id="4007" w:name="_Toc3305252"/>
      <w:bookmarkStart w:id="4008" w:name="_Toc3305253"/>
      <w:bookmarkStart w:id="4009" w:name="_Toc3305254"/>
      <w:bookmarkStart w:id="4010" w:name="_Toc3305255"/>
      <w:bookmarkStart w:id="4011" w:name="_Toc3305256"/>
      <w:bookmarkStart w:id="4012" w:name="_Toc3305257"/>
      <w:bookmarkStart w:id="4013" w:name="_Toc3305258"/>
      <w:bookmarkStart w:id="4014" w:name="_Toc3305259"/>
      <w:bookmarkStart w:id="4015" w:name="_Toc3305260"/>
      <w:bookmarkStart w:id="4016" w:name="_Toc3305261"/>
      <w:bookmarkStart w:id="4017" w:name="_Toc3305262"/>
      <w:bookmarkStart w:id="4018" w:name="_Toc3305263"/>
      <w:bookmarkStart w:id="4019" w:name="_Toc3305264"/>
      <w:bookmarkStart w:id="4020" w:name="_Toc3305265"/>
      <w:bookmarkStart w:id="4021" w:name="_Toc3305266"/>
      <w:bookmarkStart w:id="4022" w:name="_Toc3305267"/>
      <w:bookmarkStart w:id="4023" w:name="_Toc3305268"/>
      <w:bookmarkStart w:id="4024" w:name="_Toc3305269"/>
      <w:bookmarkStart w:id="4025" w:name="_Toc3305270"/>
      <w:bookmarkStart w:id="4026" w:name="_Toc3305271"/>
      <w:bookmarkStart w:id="4027" w:name="_Toc3305272"/>
      <w:bookmarkStart w:id="4028" w:name="_Toc3305273"/>
      <w:bookmarkStart w:id="4029" w:name="_Toc3305274"/>
      <w:bookmarkStart w:id="4030" w:name="_Toc3305275"/>
      <w:bookmarkStart w:id="4031" w:name="_Toc3305276"/>
      <w:bookmarkStart w:id="4032" w:name="_Toc3305277"/>
      <w:bookmarkStart w:id="4033" w:name="_Toc3305278"/>
      <w:bookmarkStart w:id="4034" w:name="_Toc3305279"/>
      <w:bookmarkStart w:id="4035" w:name="_Toc3305280"/>
      <w:bookmarkStart w:id="4036" w:name="_Toc3305281"/>
      <w:bookmarkStart w:id="4037" w:name="_Toc3305282"/>
      <w:bookmarkStart w:id="4038" w:name="_Toc3305283"/>
      <w:bookmarkStart w:id="4039" w:name="_Toc3305284"/>
      <w:bookmarkStart w:id="4040" w:name="_Toc3305285"/>
      <w:bookmarkStart w:id="4041" w:name="_Toc3305286"/>
      <w:bookmarkStart w:id="4042" w:name="_Toc3305287"/>
      <w:bookmarkStart w:id="4043" w:name="_Toc3305288"/>
      <w:bookmarkStart w:id="4044" w:name="_Toc3305289"/>
      <w:bookmarkStart w:id="4045" w:name="_Toc3305290"/>
      <w:bookmarkStart w:id="4046" w:name="_Toc3305291"/>
      <w:bookmarkStart w:id="4047" w:name="_Toc3305292"/>
      <w:bookmarkStart w:id="4048" w:name="_Toc3305297"/>
      <w:bookmarkStart w:id="4049" w:name="_Toc3305345"/>
      <w:bookmarkStart w:id="4050" w:name="_Toc3305346"/>
      <w:bookmarkStart w:id="4051" w:name="_Toc3305347"/>
      <w:bookmarkStart w:id="4052" w:name="_Toc3305348"/>
      <w:bookmarkStart w:id="4053" w:name="_Toc3305349"/>
      <w:bookmarkStart w:id="4054" w:name="_Toc3305350"/>
      <w:bookmarkStart w:id="4055" w:name="_Toc3305351"/>
      <w:bookmarkStart w:id="4056" w:name="_Toc3305352"/>
      <w:bookmarkStart w:id="4057" w:name="_Toc3305353"/>
      <w:bookmarkStart w:id="4058" w:name="_Toc3305354"/>
      <w:bookmarkStart w:id="4059" w:name="_Toc3305355"/>
      <w:bookmarkStart w:id="4060" w:name="_Toc3305363"/>
      <w:bookmarkStart w:id="4061" w:name="_Toc3305463"/>
      <w:bookmarkStart w:id="4062" w:name="_Toc3305464"/>
      <w:bookmarkStart w:id="4063" w:name="_Toc3305465"/>
      <w:bookmarkStart w:id="4064" w:name="_Toc3305466"/>
      <w:bookmarkStart w:id="4065" w:name="_Toc3305467"/>
      <w:bookmarkStart w:id="4066" w:name="_Toc3305468"/>
      <w:bookmarkStart w:id="4067" w:name="_Toc3305478"/>
      <w:bookmarkStart w:id="4068" w:name="_Toc3305479"/>
      <w:bookmarkStart w:id="4069" w:name="_Toc3305480"/>
      <w:bookmarkStart w:id="4070" w:name="_Toc3305481"/>
      <w:bookmarkStart w:id="4071" w:name="_Toc3305482"/>
      <w:bookmarkStart w:id="4072" w:name="_Toc3305483"/>
      <w:bookmarkStart w:id="4073" w:name="_Toc3305484"/>
      <w:bookmarkStart w:id="4074" w:name="_Toc3305485"/>
      <w:bookmarkStart w:id="4075" w:name="_Toc3305486"/>
      <w:bookmarkStart w:id="4076" w:name="_Toc3305487"/>
      <w:bookmarkStart w:id="4077" w:name="_Toc3305488"/>
      <w:bookmarkStart w:id="4078" w:name="_Toc3305489"/>
      <w:bookmarkStart w:id="4079" w:name="_Toc3305490"/>
      <w:bookmarkStart w:id="4080" w:name="_Toc3305491"/>
      <w:bookmarkStart w:id="4081" w:name="_Toc3305494"/>
      <w:bookmarkStart w:id="4082" w:name="_Toc3305495"/>
      <w:bookmarkStart w:id="4083" w:name="_Toc3305496"/>
      <w:bookmarkStart w:id="4084" w:name="_Toc3305497"/>
      <w:bookmarkStart w:id="4085" w:name="_Toc3305504"/>
      <w:bookmarkStart w:id="4086" w:name="_Toc3305574"/>
      <w:bookmarkStart w:id="4087" w:name="_Toc3305575"/>
      <w:bookmarkStart w:id="4088" w:name="_Toc3305576"/>
      <w:bookmarkStart w:id="4089" w:name="_Toc3305577"/>
      <w:bookmarkStart w:id="4090" w:name="_Toc3305578"/>
      <w:bookmarkStart w:id="4091" w:name="_Toc3305579"/>
      <w:bookmarkStart w:id="4092" w:name="_Toc3305580"/>
      <w:bookmarkStart w:id="4093" w:name="_Toc3305610"/>
      <w:bookmarkStart w:id="4094" w:name="_Toc3305611"/>
      <w:bookmarkStart w:id="4095" w:name="_Toc3305612"/>
      <w:bookmarkStart w:id="4096" w:name="_Toc3305613"/>
      <w:bookmarkStart w:id="4097" w:name="_Toc3305614"/>
      <w:bookmarkStart w:id="4098" w:name="_Toc3305615"/>
      <w:bookmarkStart w:id="4099" w:name="_Toc3305616"/>
      <w:bookmarkStart w:id="4100" w:name="_Toc3305617"/>
      <w:bookmarkStart w:id="4101" w:name="_Toc3305618"/>
      <w:bookmarkStart w:id="4102" w:name="_Toc3305619"/>
      <w:bookmarkStart w:id="4103" w:name="_Toc3305620"/>
      <w:bookmarkStart w:id="4104" w:name="_Toc3305621"/>
      <w:bookmarkStart w:id="4105" w:name="_Toc3305622"/>
      <w:bookmarkStart w:id="4106" w:name="_Toc3305623"/>
      <w:bookmarkStart w:id="4107" w:name="_Toc3305624"/>
      <w:bookmarkStart w:id="4108" w:name="_Toc3305625"/>
      <w:bookmarkStart w:id="4109" w:name="_Toc3305626"/>
      <w:bookmarkStart w:id="4110" w:name="_Toc3305627"/>
      <w:bookmarkStart w:id="4111" w:name="_Toc3305628"/>
      <w:bookmarkStart w:id="4112" w:name="_Toc3305629"/>
      <w:bookmarkStart w:id="4113" w:name="_Toc3305630"/>
      <w:bookmarkStart w:id="4114" w:name="_Toc3305631"/>
      <w:bookmarkStart w:id="4115" w:name="_Toc3305632"/>
      <w:bookmarkStart w:id="4116" w:name="_Toc3305633"/>
      <w:bookmarkStart w:id="4117" w:name="_Toc3305634"/>
      <w:bookmarkStart w:id="4118" w:name="_Toc3305635"/>
      <w:bookmarkStart w:id="4119" w:name="_Toc3305636"/>
      <w:bookmarkStart w:id="4120" w:name="_Toc3305637"/>
      <w:bookmarkStart w:id="4121" w:name="_Toc3305638"/>
      <w:bookmarkStart w:id="4122" w:name="_Toc3305639"/>
      <w:bookmarkStart w:id="4123" w:name="_Toc3305640"/>
      <w:bookmarkStart w:id="4124" w:name="_Toc3305641"/>
      <w:bookmarkStart w:id="4125" w:name="_Toc3305642"/>
      <w:bookmarkStart w:id="4126" w:name="_Toc3305643"/>
      <w:bookmarkStart w:id="4127" w:name="_Toc3305644"/>
      <w:bookmarkStart w:id="4128" w:name="_Toc3305645"/>
      <w:bookmarkStart w:id="4129" w:name="_Toc3305646"/>
      <w:bookmarkStart w:id="4130" w:name="_Toc3305647"/>
      <w:bookmarkStart w:id="4131" w:name="_Toc3305648"/>
      <w:bookmarkStart w:id="4132" w:name="_Toc3305649"/>
      <w:bookmarkStart w:id="4133" w:name="_Toc3305650"/>
      <w:bookmarkStart w:id="4134" w:name="_Toc3305651"/>
      <w:bookmarkStart w:id="4135" w:name="_Toc3305652"/>
      <w:bookmarkStart w:id="4136" w:name="_Toc3305653"/>
      <w:bookmarkStart w:id="4137" w:name="_Toc3305654"/>
      <w:bookmarkStart w:id="4138" w:name="_Toc3305655"/>
      <w:bookmarkStart w:id="4139" w:name="_Toc3305656"/>
      <w:bookmarkStart w:id="4140" w:name="_Toc3305657"/>
      <w:bookmarkStart w:id="4141" w:name="_Toc3305658"/>
      <w:bookmarkStart w:id="4142" w:name="_Toc3305659"/>
      <w:bookmarkStart w:id="4143" w:name="_Toc3305660"/>
      <w:bookmarkStart w:id="4144" w:name="_Toc3305661"/>
      <w:bookmarkStart w:id="4145" w:name="_Toc3305662"/>
      <w:bookmarkStart w:id="4146" w:name="_Toc3305663"/>
      <w:bookmarkStart w:id="4147" w:name="_Toc3305664"/>
      <w:bookmarkStart w:id="4148" w:name="_Toc3305665"/>
      <w:bookmarkStart w:id="4149" w:name="_Toc3305666"/>
      <w:bookmarkStart w:id="4150" w:name="_Toc3305667"/>
      <w:bookmarkStart w:id="4151" w:name="_Toc3305668"/>
      <w:bookmarkStart w:id="4152" w:name="_Toc3305669"/>
      <w:bookmarkStart w:id="4153" w:name="_Toc3305670"/>
      <w:bookmarkStart w:id="4154" w:name="_Toc3305671"/>
      <w:bookmarkStart w:id="4155" w:name="_Toc3305672"/>
      <w:bookmarkStart w:id="4156" w:name="_Toc3305673"/>
      <w:bookmarkStart w:id="4157" w:name="_Toc3305676"/>
      <w:bookmarkStart w:id="4158" w:name="_Toc3305677"/>
      <w:bookmarkStart w:id="4159" w:name="_Toc3305678"/>
      <w:bookmarkStart w:id="4160" w:name="_Toc3305679"/>
      <w:bookmarkStart w:id="4161" w:name="_Toc3305686"/>
      <w:bookmarkStart w:id="4162" w:name="_Toc3305756"/>
      <w:bookmarkStart w:id="4163" w:name="_Toc3305757"/>
      <w:bookmarkStart w:id="4164" w:name="_Toc3305758"/>
      <w:bookmarkStart w:id="4165" w:name="_Toc3305759"/>
      <w:bookmarkStart w:id="4166" w:name="_Toc3305760"/>
      <w:bookmarkStart w:id="4167" w:name="_Toc3305761"/>
      <w:bookmarkStart w:id="4168" w:name="_Toc3305762"/>
      <w:bookmarkStart w:id="4169" w:name="_Toc3305792"/>
      <w:bookmarkStart w:id="4170" w:name="_Toc3305793"/>
      <w:bookmarkStart w:id="4171" w:name="_Toc3305794"/>
      <w:bookmarkStart w:id="4172" w:name="_Toc3305795"/>
      <w:bookmarkStart w:id="4173" w:name="_Toc3305796"/>
      <w:bookmarkStart w:id="4174" w:name="_Toc3305797"/>
      <w:bookmarkStart w:id="4175" w:name="_Toc3305798"/>
      <w:bookmarkStart w:id="4176" w:name="_Toc3305799"/>
      <w:bookmarkStart w:id="4177" w:name="_Toc3305800"/>
      <w:bookmarkStart w:id="4178" w:name="_Toc3305801"/>
      <w:bookmarkStart w:id="4179" w:name="_Toc3305802"/>
      <w:bookmarkStart w:id="4180" w:name="_Toc3305803"/>
      <w:bookmarkStart w:id="4181" w:name="_Toc3305804"/>
      <w:bookmarkStart w:id="4182" w:name="_Toc3305805"/>
      <w:bookmarkStart w:id="4183" w:name="_Toc3305806"/>
      <w:bookmarkStart w:id="4184" w:name="_Toc3305807"/>
      <w:bookmarkStart w:id="4185" w:name="_Toc3305808"/>
      <w:bookmarkStart w:id="4186" w:name="_Toc3305809"/>
      <w:bookmarkStart w:id="4187" w:name="_Toc3305810"/>
      <w:bookmarkStart w:id="4188" w:name="_Toc3305811"/>
      <w:bookmarkStart w:id="4189" w:name="_Toc3305812"/>
      <w:bookmarkStart w:id="4190" w:name="_Toc3305813"/>
      <w:bookmarkStart w:id="4191" w:name="_Toc3305814"/>
      <w:bookmarkStart w:id="4192" w:name="_Toc3305815"/>
      <w:bookmarkStart w:id="4193" w:name="_Toc3305816"/>
      <w:bookmarkStart w:id="4194" w:name="_Toc3305817"/>
      <w:bookmarkStart w:id="4195" w:name="_Toc3305818"/>
      <w:bookmarkStart w:id="4196" w:name="_Toc3305819"/>
      <w:bookmarkStart w:id="4197" w:name="_Toc3305820"/>
      <w:bookmarkStart w:id="4198" w:name="_Toc3305821"/>
      <w:bookmarkStart w:id="4199" w:name="_Toc3305822"/>
      <w:bookmarkStart w:id="4200" w:name="_Toc3305823"/>
      <w:bookmarkStart w:id="4201" w:name="_Toc3305824"/>
      <w:bookmarkStart w:id="4202" w:name="_Toc3305825"/>
      <w:bookmarkStart w:id="4203" w:name="_Toc3305826"/>
      <w:bookmarkStart w:id="4204" w:name="_Toc3305827"/>
      <w:bookmarkStart w:id="4205" w:name="_Toc3305828"/>
      <w:bookmarkStart w:id="4206" w:name="_Toc3305829"/>
      <w:bookmarkStart w:id="4207" w:name="_Toc3305830"/>
      <w:bookmarkStart w:id="4208" w:name="_Toc3305831"/>
      <w:bookmarkStart w:id="4209" w:name="_Toc3305832"/>
      <w:bookmarkStart w:id="4210" w:name="_Toc3305833"/>
      <w:bookmarkStart w:id="4211" w:name="_Toc3305834"/>
      <w:bookmarkStart w:id="4212" w:name="_Toc3305835"/>
      <w:bookmarkStart w:id="4213" w:name="_Toc3305836"/>
      <w:bookmarkStart w:id="4214" w:name="_Toc3305837"/>
      <w:bookmarkStart w:id="4215" w:name="_Toc3305838"/>
      <w:bookmarkStart w:id="4216" w:name="_Toc3305839"/>
      <w:bookmarkStart w:id="4217" w:name="_Toc3305840"/>
      <w:bookmarkStart w:id="4218" w:name="_Toc3305841"/>
      <w:bookmarkStart w:id="4219" w:name="_Toc3305842"/>
      <w:bookmarkStart w:id="4220" w:name="_Toc3305843"/>
      <w:bookmarkStart w:id="4221" w:name="_Toc3305844"/>
      <w:bookmarkStart w:id="4222" w:name="_Toc3305845"/>
      <w:bookmarkStart w:id="4223" w:name="_Toc3305846"/>
      <w:bookmarkStart w:id="4224" w:name="_Toc3305851"/>
      <w:bookmarkStart w:id="4225" w:name="_Toc3305899"/>
      <w:bookmarkStart w:id="4226" w:name="_Toc3305900"/>
      <w:bookmarkStart w:id="4227" w:name="_Toc3305901"/>
      <w:bookmarkStart w:id="4228" w:name="_Toc3305902"/>
      <w:bookmarkStart w:id="4229" w:name="_Toc3305903"/>
      <w:bookmarkStart w:id="4230" w:name="_Toc3305904"/>
      <w:bookmarkStart w:id="4231" w:name="_Toc3305905"/>
      <w:bookmarkStart w:id="4232" w:name="_Toc3305906"/>
      <w:bookmarkStart w:id="4233" w:name="_Toc3305907"/>
      <w:bookmarkStart w:id="4234" w:name="_Toc3305908"/>
      <w:bookmarkStart w:id="4235" w:name="_Toc3305909"/>
      <w:bookmarkStart w:id="4236" w:name="_Toc3305910"/>
      <w:bookmarkStart w:id="4237" w:name="_Toc3305911"/>
      <w:bookmarkStart w:id="4238" w:name="_Toc3305912"/>
      <w:bookmarkStart w:id="4239" w:name="_Toc3305913"/>
      <w:bookmarkStart w:id="4240" w:name="_Toc3305914"/>
      <w:bookmarkStart w:id="4241" w:name="_Toc3305922"/>
      <w:bookmarkStart w:id="4242" w:name="_Toc3306040"/>
      <w:bookmarkStart w:id="4243" w:name="_Toc3306041"/>
      <w:bookmarkStart w:id="4244" w:name="_Toc3306042"/>
      <w:bookmarkStart w:id="4245" w:name="_Toc3306043"/>
      <w:bookmarkStart w:id="4246" w:name="_Toc3306044"/>
      <w:bookmarkStart w:id="4247" w:name="_Toc3306045"/>
      <w:bookmarkStart w:id="4248" w:name="_Toc3306052"/>
      <w:bookmarkStart w:id="4249" w:name="_Toc3306053"/>
      <w:bookmarkStart w:id="4250" w:name="_Toc3306054"/>
      <w:bookmarkStart w:id="4251" w:name="_Toc3306055"/>
      <w:bookmarkStart w:id="4252" w:name="_Toc3306056"/>
      <w:bookmarkStart w:id="4253" w:name="_Toc3306057"/>
      <w:bookmarkStart w:id="4254" w:name="_Toc3306058"/>
      <w:bookmarkStart w:id="4255" w:name="_Toc3306059"/>
      <w:bookmarkStart w:id="4256" w:name="_Toc3306060"/>
      <w:bookmarkStart w:id="4257" w:name="_Toc3306061"/>
      <w:bookmarkStart w:id="4258" w:name="_Toc3306062"/>
      <w:bookmarkStart w:id="4259" w:name="_Toc3306063"/>
      <w:bookmarkStart w:id="4260" w:name="_Toc3306066"/>
      <w:bookmarkStart w:id="4261" w:name="_Toc3306067"/>
      <w:bookmarkStart w:id="4262" w:name="_Toc3306068"/>
      <w:bookmarkStart w:id="4263" w:name="_Toc3306069"/>
      <w:bookmarkStart w:id="4264" w:name="_Toc3306076"/>
      <w:bookmarkStart w:id="4265" w:name="_Toc3306146"/>
      <w:bookmarkStart w:id="4266" w:name="_Toc3306147"/>
      <w:bookmarkStart w:id="4267" w:name="_Toc3306148"/>
      <w:bookmarkStart w:id="4268" w:name="_Toc3306149"/>
      <w:bookmarkStart w:id="4269" w:name="_Toc3306150"/>
      <w:bookmarkStart w:id="4270" w:name="_Toc3306151"/>
      <w:bookmarkStart w:id="4271" w:name="_Toc3306152"/>
      <w:bookmarkStart w:id="4272" w:name="_Toc3306182"/>
      <w:bookmarkStart w:id="4273" w:name="_Toc3306183"/>
      <w:bookmarkStart w:id="4274" w:name="_Toc3306184"/>
      <w:bookmarkStart w:id="4275" w:name="_Toc3306185"/>
      <w:bookmarkStart w:id="4276" w:name="_Toc3306186"/>
      <w:bookmarkStart w:id="4277" w:name="_Toc3306187"/>
      <w:bookmarkStart w:id="4278" w:name="_Toc3306188"/>
      <w:bookmarkStart w:id="4279" w:name="_Toc3306189"/>
      <w:bookmarkStart w:id="4280" w:name="_Toc3306190"/>
      <w:bookmarkStart w:id="4281" w:name="_Toc3306191"/>
      <w:bookmarkStart w:id="4282" w:name="_Toc3306192"/>
      <w:bookmarkStart w:id="4283" w:name="_Toc3306193"/>
      <w:bookmarkStart w:id="4284" w:name="_Toc3306194"/>
      <w:bookmarkStart w:id="4285" w:name="_Toc3306195"/>
      <w:bookmarkStart w:id="4286" w:name="_Toc3306196"/>
      <w:bookmarkStart w:id="4287" w:name="_Toc3306197"/>
      <w:bookmarkStart w:id="4288" w:name="_Toc3306198"/>
      <w:bookmarkStart w:id="4289" w:name="_Toc3306199"/>
      <w:bookmarkStart w:id="4290" w:name="_Toc3306200"/>
      <w:bookmarkStart w:id="4291" w:name="_Toc3306201"/>
      <w:bookmarkStart w:id="4292" w:name="_Toc3306202"/>
      <w:bookmarkStart w:id="4293" w:name="_Toc3306203"/>
      <w:bookmarkStart w:id="4294" w:name="_Toc3306204"/>
      <w:bookmarkStart w:id="4295" w:name="_Toc3306205"/>
      <w:bookmarkStart w:id="4296" w:name="_Toc3306206"/>
      <w:bookmarkStart w:id="4297" w:name="_Toc3306207"/>
      <w:bookmarkStart w:id="4298" w:name="_Toc3306208"/>
      <w:bookmarkStart w:id="4299" w:name="_Toc3306209"/>
      <w:bookmarkStart w:id="4300" w:name="_Toc3306210"/>
      <w:bookmarkStart w:id="4301" w:name="_Toc3306211"/>
      <w:bookmarkStart w:id="4302" w:name="_Toc3306212"/>
      <w:bookmarkStart w:id="4303" w:name="_Toc3306213"/>
      <w:bookmarkStart w:id="4304" w:name="_Toc3306214"/>
      <w:bookmarkStart w:id="4305" w:name="_Toc3306215"/>
      <w:bookmarkStart w:id="4306" w:name="_Toc3306216"/>
      <w:bookmarkStart w:id="4307" w:name="_Toc3306217"/>
      <w:bookmarkStart w:id="4308" w:name="_Toc3306218"/>
      <w:bookmarkStart w:id="4309" w:name="_Toc3306219"/>
      <w:bookmarkStart w:id="4310" w:name="_Toc3306220"/>
      <w:bookmarkStart w:id="4311" w:name="_Toc3306221"/>
      <w:bookmarkStart w:id="4312" w:name="_Toc3306222"/>
      <w:bookmarkStart w:id="4313" w:name="_Toc3306223"/>
      <w:bookmarkStart w:id="4314" w:name="_Toc3306224"/>
      <w:bookmarkStart w:id="4315" w:name="_Toc3306225"/>
      <w:bookmarkStart w:id="4316" w:name="_Toc3306226"/>
      <w:bookmarkStart w:id="4317" w:name="_Toc3306227"/>
      <w:bookmarkStart w:id="4318" w:name="_Toc3306232"/>
      <w:bookmarkStart w:id="4319" w:name="_Toc3306280"/>
      <w:bookmarkStart w:id="4320" w:name="_Toc3306281"/>
      <w:bookmarkStart w:id="4321" w:name="_Toc3306282"/>
      <w:bookmarkStart w:id="4322" w:name="_Toc3306283"/>
      <w:bookmarkStart w:id="4323" w:name="_Toc3306284"/>
      <w:bookmarkStart w:id="4324" w:name="_Toc3306285"/>
      <w:bookmarkStart w:id="4325" w:name="_Toc3306286"/>
      <w:bookmarkStart w:id="4326" w:name="_Toc3306287"/>
      <w:bookmarkStart w:id="4327" w:name="_Toc3306288"/>
      <w:bookmarkStart w:id="4328" w:name="_Toc3306289"/>
      <w:bookmarkStart w:id="4329" w:name="_Toc3306290"/>
      <w:bookmarkStart w:id="4330" w:name="_Toc3306291"/>
      <w:bookmarkStart w:id="4331" w:name="_Toc3306292"/>
      <w:bookmarkStart w:id="4332" w:name="_Toc3306293"/>
      <w:bookmarkStart w:id="4333" w:name="_Toc3306294"/>
      <w:bookmarkStart w:id="4334" w:name="_Toc3306295"/>
      <w:bookmarkStart w:id="4335" w:name="_Toc3306296"/>
      <w:bookmarkStart w:id="4336" w:name="_Toc3306297"/>
      <w:bookmarkStart w:id="4337" w:name="_Toc3306298"/>
      <w:bookmarkStart w:id="4338" w:name="_Toc3306299"/>
      <w:bookmarkStart w:id="4339" w:name="_Toc3306300"/>
      <w:bookmarkStart w:id="4340" w:name="_Toc3306301"/>
      <w:bookmarkStart w:id="4341" w:name="_Toc3306302"/>
      <w:bookmarkStart w:id="4342" w:name="_Toc3306303"/>
      <w:bookmarkStart w:id="4343" w:name="_Toc3306304"/>
      <w:bookmarkStart w:id="4344" w:name="_Toc3306305"/>
      <w:bookmarkStart w:id="4345" w:name="_Toc3306306"/>
      <w:bookmarkStart w:id="4346" w:name="_Toc3306307"/>
      <w:bookmarkStart w:id="4347" w:name="_Toc3306308"/>
      <w:bookmarkStart w:id="4348" w:name="_Toc3306309"/>
      <w:bookmarkStart w:id="4349" w:name="_Toc3306310"/>
      <w:bookmarkStart w:id="4350" w:name="_Toc3306311"/>
      <w:bookmarkStart w:id="4351" w:name="_Toc3306312"/>
      <w:bookmarkStart w:id="4352" w:name="_Toc3306313"/>
      <w:bookmarkStart w:id="4353" w:name="_Toc3306314"/>
      <w:bookmarkStart w:id="4354" w:name="_Toc3306315"/>
      <w:bookmarkStart w:id="4355" w:name="_Toc3306318"/>
      <w:bookmarkStart w:id="4356" w:name="_Toc3306319"/>
      <w:bookmarkStart w:id="4357" w:name="_Toc3306320"/>
      <w:bookmarkStart w:id="4358" w:name="_Toc3306321"/>
      <w:bookmarkStart w:id="4359" w:name="_Toc3306328"/>
      <w:bookmarkStart w:id="4360" w:name="_Toc3306398"/>
      <w:bookmarkStart w:id="4361" w:name="_Toc3306399"/>
      <w:bookmarkStart w:id="4362" w:name="_Toc3306400"/>
      <w:bookmarkStart w:id="4363" w:name="_Toc3306401"/>
      <w:bookmarkStart w:id="4364" w:name="_Toc3306402"/>
      <w:bookmarkStart w:id="4365" w:name="_Toc3306403"/>
      <w:bookmarkStart w:id="4366" w:name="_Toc3306404"/>
      <w:bookmarkStart w:id="4367" w:name="_Toc3306434"/>
      <w:bookmarkStart w:id="4368" w:name="_Toc3306435"/>
      <w:bookmarkStart w:id="4369" w:name="_Toc3306436"/>
      <w:bookmarkStart w:id="4370" w:name="_Toc3306437"/>
      <w:bookmarkStart w:id="4371" w:name="_Toc3306438"/>
      <w:bookmarkStart w:id="4372" w:name="_Toc3306439"/>
      <w:bookmarkStart w:id="4373" w:name="_Toc3306440"/>
      <w:bookmarkStart w:id="4374" w:name="_Toc3306441"/>
      <w:bookmarkStart w:id="4375" w:name="_Toc3306442"/>
      <w:bookmarkStart w:id="4376" w:name="_Toc3306443"/>
      <w:bookmarkStart w:id="4377" w:name="_Toc3306444"/>
      <w:bookmarkStart w:id="4378" w:name="_Toc3306445"/>
      <w:bookmarkStart w:id="4379" w:name="_Toc3306446"/>
      <w:bookmarkStart w:id="4380" w:name="_Toc3306447"/>
      <w:bookmarkStart w:id="4381" w:name="_Toc3306448"/>
      <w:bookmarkStart w:id="4382" w:name="_Toc3306449"/>
      <w:bookmarkStart w:id="4383" w:name="_Toc3306450"/>
      <w:bookmarkStart w:id="4384" w:name="_Toc3306451"/>
      <w:bookmarkStart w:id="4385" w:name="_Toc3306452"/>
      <w:bookmarkStart w:id="4386" w:name="_Toc3306453"/>
      <w:bookmarkStart w:id="4387" w:name="_Toc3306454"/>
      <w:bookmarkStart w:id="4388" w:name="_Toc3306455"/>
      <w:bookmarkStart w:id="4389" w:name="_Toc3306456"/>
      <w:bookmarkStart w:id="4390" w:name="_Toc3306457"/>
      <w:bookmarkStart w:id="4391" w:name="_Toc3306458"/>
      <w:bookmarkStart w:id="4392" w:name="_Toc3306459"/>
      <w:bookmarkStart w:id="4393" w:name="_Toc3306460"/>
      <w:bookmarkStart w:id="4394" w:name="_Toc3306461"/>
      <w:bookmarkStart w:id="4395" w:name="_Toc3306462"/>
      <w:bookmarkStart w:id="4396" w:name="_Toc3306463"/>
      <w:bookmarkStart w:id="4397" w:name="_Toc3306464"/>
      <w:bookmarkStart w:id="4398" w:name="_Toc3306465"/>
      <w:bookmarkStart w:id="4399" w:name="_Toc3306466"/>
      <w:bookmarkStart w:id="4400" w:name="_Toc3306467"/>
      <w:bookmarkStart w:id="4401" w:name="_Toc3306468"/>
      <w:bookmarkStart w:id="4402" w:name="_Toc3306469"/>
      <w:bookmarkStart w:id="4403" w:name="_Toc3306470"/>
      <w:bookmarkStart w:id="4404" w:name="_Toc3306471"/>
      <w:bookmarkStart w:id="4405" w:name="_Toc3306472"/>
      <w:bookmarkStart w:id="4406" w:name="_Toc3306473"/>
      <w:bookmarkStart w:id="4407" w:name="_Toc3306474"/>
      <w:bookmarkStart w:id="4408" w:name="_Toc3306475"/>
      <w:bookmarkStart w:id="4409" w:name="_Toc3306476"/>
      <w:bookmarkStart w:id="4410" w:name="_Toc3306477"/>
      <w:bookmarkStart w:id="4411" w:name="_Toc3306478"/>
      <w:bookmarkStart w:id="4412" w:name="_Toc3306479"/>
      <w:bookmarkStart w:id="4413" w:name="_Toc3306480"/>
      <w:bookmarkStart w:id="4414" w:name="_Toc3306481"/>
      <w:bookmarkStart w:id="4415" w:name="_Toc3306482"/>
      <w:bookmarkStart w:id="4416" w:name="_Toc3306483"/>
      <w:bookmarkStart w:id="4417" w:name="_Toc3306484"/>
      <w:bookmarkStart w:id="4418" w:name="_Toc3306485"/>
      <w:bookmarkStart w:id="4419" w:name="_Toc3306486"/>
      <w:bookmarkStart w:id="4420" w:name="_Toc3306487"/>
      <w:bookmarkStart w:id="4421" w:name="_Toc3306488"/>
      <w:bookmarkStart w:id="4422" w:name="_Toc3306489"/>
      <w:bookmarkStart w:id="4423" w:name="_Toc3306490"/>
      <w:bookmarkStart w:id="4424" w:name="_Toc3306491"/>
      <w:bookmarkStart w:id="4425" w:name="_Toc3306492"/>
      <w:bookmarkStart w:id="4426" w:name="_Toc3306493"/>
      <w:bookmarkStart w:id="4427" w:name="_Toc3306494"/>
      <w:bookmarkStart w:id="4428" w:name="_Toc3306495"/>
      <w:bookmarkStart w:id="4429" w:name="_Toc3306496"/>
      <w:bookmarkStart w:id="4430" w:name="_Toc3306497"/>
      <w:bookmarkStart w:id="4431" w:name="_Toc3306498"/>
      <w:bookmarkStart w:id="4432" w:name="_Toc3306499"/>
      <w:bookmarkStart w:id="4433" w:name="_Toc3306500"/>
      <w:bookmarkStart w:id="4434" w:name="_Toc3306501"/>
      <w:bookmarkStart w:id="4435" w:name="_Toc3306502"/>
      <w:bookmarkStart w:id="4436" w:name="_Toc3306503"/>
      <w:bookmarkStart w:id="4437" w:name="_Toc3306504"/>
      <w:bookmarkStart w:id="4438" w:name="_Toc3306505"/>
      <w:bookmarkStart w:id="4439" w:name="_Toc3306506"/>
      <w:bookmarkStart w:id="4440" w:name="_Toc3306507"/>
      <w:bookmarkStart w:id="4441" w:name="_Toc3306508"/>
      <w:bookmarkStart w:id="4442" w:name="_Toc3306509"/>
      <w:bookmarkStart w:id="4443" w:name="_Toc3306510"/>
      <w:bookmarkStart w:id="4444" w:name="_Toc3306511"/>
      <w:bookmarkStart w:id="4445" w:name="_Toc3306512"/>
      <w:bookmarkStart w:id="4446" w:name="_Toc3306513"/>
      <w:bookmarkStart w:id="4447" w:name="_Toc3306514"/>
      <w:bookmarkStart w:id="4448" w:name="_Toc3306515"/>
      <w:bookmarkStart w:id="4449" w:name="_Toc3306516"/>
      <w:bookmarkStart w:id="4450" w:name="_Toc3306517"/>
      <w:bookmarkStart w:id="4451" w:name="_Toc3306518"/>
      <w:bookmarkStart w:id="4452" w:name="_Toc3306519"/>
      <w:bookmarkStart w:id="4453" w:name="_Toc3306520"/>
      <w:bookmarkStart w:id="4454" w:name="_Toc3306521"/>
      <w:bookmarkStart w:id="4455" w:name="_Toc3306522"/>
      <w:bookmarkStart w:id="4456" w:name="_Toc3306527"/>
      <w:bookmarkStart w:id="4457" w:name="_Toc3306575"/>
      <w:bookmarkStart w:id="4458" w:name="_Toc3306576"/>
      <w:bookmarkStart w:id="4459" w:name="_Toc3306577"/>
      <w:bookmarkStart w:id="4460" w:name="_Toc3306578"/>
      <w:bookmarkStart w:id="4461" w:name="_Toc3306579"/>
      <w:bookmarkStart w:id="4462" w:name="_Toc3306580"/>
      <w:bookmarkStart w:id="4463" w:name="_Toc3306581"/>
      <w:bookmarkStart w:id="4464" w:name="_Toc3306582"/>
      <w:bookmarkStart w:id="4465" w:name="_Toc3306583"/>
      <w:bookmarkStart w:id="4466" w:name="_Toc3306584"/>
      <w:bookmarkStart w:id="4467" w:name="_Toc3306585"/>
      <w:bookmarkStart w:id="4468" w:name="_Toc3306586"/>
      <w:bookmarkStart w:id="4469" w:name="_Toc3306587"/>
      <w:bookmarkStart w:id="4470" w:name="_Toc3306595"/>
      <w:bookmarkStart w:id="4471" w:name="_Toc3306710"/>
      <w:bookmarkStart w:id="4472" w:name="_Toc3306711"/>
      <w:bookmarkStart w:id="4473" w:name="_Toc3306712"/>
      <w:bookmarkStart w:id="4474" w:name="_Toc3306713"/>
      <w:bookmarkStart w:id="4475" w:name="_Toc3306714"/>
      <w:bookmarkStart w:id="4476" w:name="_Toc3306715"/>
      <w:bookmarkStart w:id="4477" w:name="_Toc3306716"/>
      <w:bookmarkStart w:id="4478" w:name="_Toc3306723"/>
      <w:bookmarkStart w:id="4479" w:name="_Toc3306724"/>
      <w:bookmarkStart w:id="4480" w:name="_Toc3306725"/>
      <w:bookmarkStart w:id="4481" w:name="_Toc3306726"/>
      <w:bookmarkStart w:id="4482" w:name="_Toc3306727"/>
      <w:bookmarkStart w:id="4483" w:name="_Toc3306728"/>
      <w:bookmarkStart w:id="4484" w:name="_Toc3306729"/>
      <w:bookmarkStart w:id="4485" w:name="_Toc3306730"/>
      <w:bookmarkStart w:id="4486" w:name="_Toc3306731"/>
      <w:bookmarkStart w:id="4487" w:name="_Toc3306732"/>
      <w:bookmarkStart w:id="4488" w:name="_Toc3306733"/>
      <w:bookmarkStart w:id="4489" w:name="_Toc3306736"/>
      <w:bookmarkStart w:id="4490" w:name="_Toc3306737"/>
      <w:bookmarkStart w:id="4491" w:name="_Toc3306738"/>
      <w:bookmarkStart w:id="4492" w:name="_Toc3306739"/>
      <w:bookmarkStart w:id="4493" w:name="_Toc3306746"/>
      <w:bookmarkStart w:id="4494" w:name="_Toc3306816"/>
      <w:bookmarkStart w:id="4495" w:name="_Toc3306817"/>
      <w:bookmarkStart w:id="4496" w:name="_Toc3306818"/>
      <w:bookmarkStart w:id="4497" w:name="_Toc3306819"/>
      <w:bookmarkStart w:id="4498" w:name="_Toc3306820"/>
      <w:bookmarkStart w:id="4499" w:name="_Toc3306821"/>
      <w:bookmarkStart w:id="4500" w:name="_Toc3306822"/>
      <w:bookmarkStart w:id="4501" w:name="_Toc3306852"/>
      <w:bookmarkStart w:id="4502" w:name="_Toc3306853"/>
      <w:bookmarkStart w:id="4503" w:name="_Toc3306854"/>
      <w:bookmarkStart w:id="4504" w:name="_Toc3306855"/>
      <w:bookmarkStart w:id="4505" w:name="_Toc3306856"/>
      <w:bookmarkStart w:id="4506" w:name="_Toc3306857"/>
      <w:bookmarkStart w:id="4507" w:name="_Toc3306858"/>
      <w:bookmarkStart w:id="4508" w:name="_Toc3306859"/>
      <w:bookmarkStart w:id="4509" w:name="_Toc3306860"/>
      <w:bookmarkStart w:id="4510" w:name="_Toc3306861"/>
      <w:bookmarkStart w:id="4511" w:name="_Toc3306862"/>
      <w:bookmarkStart w:id="4512" w:name="_Toc3306863"/>
      <w:bookmarkStart w:id="4513" w:name="_Toc3306864"/>
      <w:bookmarkStart w:id="4514" w:name="_Toc3306865"/>
      <w:bookmarkStart w:id="4515" w:name="_Toc3306866"/>
      <w:bookmarkStart w:id="4516" w:name="_Toc3306867"/>
      <w:bookmarkStart w:id="4517" w:name="_Toc3306868"/>
      <w:bookmarkStart w:id="4518" w:name="_Toc3306869"/>
      <w:bookmarkStart w:id="4519" w:name="_Toc3306870"/>
      <w:bookmarkStart w:id="4520" w:name="_Toc3306871"/>
      <w:bookmarkStart w:id="4521" w:name="_Toc3306872"/>
      <w:bookmarkStart w:id="4522" w:name="_Toc3306873"/>
      <w:bookmarkStart w:id="4523" w:name="_Toc3306874"/>
      <w:bookmarkStart w:id="4524" w:name="_Toc3306875"/>
      <w:bookmarkStart w:id="4525" w:name="_Toc3306876"/>
      <w:bookmarkStart w:id="4526" w:name="_Toc3306877"/>
      <w:bookmarkStart w:id="4527" w:name="_Toc3306878"/>
      <w:bookmarkStart w:id="4528" w:name="_Toc3306879"/>
      <w:bookmarkStart w:id="4529" w:name="_Toc3306880"/>
      <w:bookmarkStart w:id="4530" w:name="_Toc3306881"/>
      <w:bookmarkStart w:id="4531" w:name="_Toc3306882"/>
      <w:bookmarkStart w:id="4532" w:name="_Toc3306883"/>
      <w:bookmarkStart w:id="4533" w:name="_Toc3306884"/>
      <w:bookmarkStart w:id="4534" w:name="_Toc3306885"/>
      <w:bookmarkStart w:id="4535" w:name="_Toc3306886"/>
      <w:bookmarkStart w:id="4536" w:name="_Toc3306887"/>
      <w:bookmarkStart w:id="4537" w:name="_Toc3306888"/>
      <w:bookmarkStart w:id="4538" w:name="_Toc3306889"/>
      <w:bookmarkStart w:id="4539" w:name="_Toc3306890"/>
      <w:bookmarkStart w:id="4540" w:name="_Toc3306891"/>
      <w:bookmarkStart w:id="4541" w:name="_Toc3306892"/>
      <w:bookmarkStart w:id="4542" w:name="_Toc3306893"/>
      <w:bookmarkStart w:id="4543" w:name="_Toc3306894"/>
      <w:bookmarkStart w:id="4544" w:name="_Toc3306895"/>
      <w:bookmarkStart w:id="4545" w:name="_Toc3306896"/>
      <w:bookmarkStart w:id="4546" w:name="_Toc3306897"/>
      <w:bookmarkStart w:id="4547" w:name="_Toc3306898"/>
      <w:bookmarkStart w:id="4548" w:name="_Toc3306899"/>
      <w:bookmarkStart w:id="4549" w:name="_Toc3306900"/>
      <w:bookmarkStart w:id="4550" w:name="_Toc3306901"/>
      <w:bookmarkStart w:id="4551" w:name="_Toc3306902"/>
      <w:bookmarkStart w:id="4552" w:name="_Toc3306903"/>
      <w:bookmarkStart w:id="4553" w:name="_Toc3306904"/>
      <w:bookmarkStart w:id="4554" w:name="_Toc3306905"/>
      <w:bookmarkStart w:id="4555" w:name="_Toc3306906"/>
      <w:bookmarkStart w:id="4556" w:name="_Toc3306907"/>
      <w:bookmarkStart w:id="4557" w:name="_Toc3306908"/>
      <w:bookmarkStart w:id="4558" w:name="_Toc3306909"/>
      <w:bookmarkStart w:id="4559" w:name="_Toc3306910"/>
      <w:bookmarkStart w:id="4560" w:name="_Toc3306911"/>
      <w:bookmarkStart w:id="4561" w:name="_Toc3306912"/>
      <w:bookmarkStart w:id="4562" w:name="_Toc3306913"/>
      <w:bookmarkStart w:id="4563" w:name="_Toc3306914"/>
      <w:bookmarkStart w:id="4564" w:name="_Toc3306915"/>
      <w:bookmarkStart w:id="4565" w:name="_Toc3306916"/>
      <w:bookmarkStart w:id="4566" w:name="_Toc3306917"/>
      <w:bookmarkStart w:id="4567" w:name="_Toc3306918"/>
      <w:bookmarkStart w:id="4568" w:name="_Toc3306919"/>
      <w:bookmarkStart w:id="4569" w:name="_Toc3306920"/>
      <w:bookmarkStart w:id="4570" w:name="_Toc3306921"/>
      <w:bookmarkStart w:id="4571" w:name="_Toc3306922"/>
      <w:bookmarkStart w:id="4572" w:name="_Toc3306923"/>
      <w:bookmarkStart w:id="4573" w:name="_Toc3306924"/>
      <w:bookmarkStart w:id="4574" w:name="_Toc3306925"/>
      <w:bookmarkStart w:id="4575" w:name="_Toc3306926"/>
      <w:bookmarkStart w:id="4576" w:name="_Toc3306927"/>
      <w:bookmarkStart w:id="4577" w:name="_Toc3306928"/>
      <w:bookmarkStart w:id="4578" w:name="_Toc3306929"/>
      <w:bookmarkStart w:id="4579" w:name="_Toc3306930"/>
      <w:bookmarkStart w:id="4580" w:name="_Toc3306931"/>
      <w:bookmarkStart w:id="4581" w:name="_Toc3306932"/>
      <w:bookmarkStart w:id="4582" w:name="_Toc3306935"/>
      <w:bookmarkStart w:id="4583" w:name="_Toc3306936"/>
      <w:bookmarkStart w:id="4584" w:name="_Toc3306937"/>
      <w:bookmarkStart w:id="4585" w:name="_Toc3306938"/>
      <w:bookmarkStart w:id="4586" w:name="_Toc3306968"/>
      <w:bookmarkStart w:id="4587" w:name="_Toc3306969"/>
      <w:bookmarkStart w:id="4588" w:name="_Toc3306970"/>
      <w:bookmarkStart w:id="4589" w:name="_Toc3306971"/>
      <w:bookmarkStart w:id="4590" w:name="_Toc3306972"/>
      <w:bookmarkStart w:id="4591" w:name="_Toc3306973"/>
      <w:bookmarkStart w:id="4592" w:name="_Toc3306974"/>
      <w:bookmarkStart w:id="4593" w:name="_Toc3307010"/>
      <w:bookmarkStart w:id="4594" w:name="_Toc3307011"/>
      <w:bookmarkStart w:id="4595" w:name="_Toc3307012"/>
      <w:bookmarkStart w:id="4596" w:name="_Toc3307013"/>
      <w:bookmarkStart w:id="4597" w:name="_Toc3307014"/>
      <w:bookmarkStart w:id="4598" w:name="_Toc3307015"/>
      <w:bookmarkStart w:id="4599" w:name="_Toc3307016"/>
      <w:bookmarkStart w:id="4600" w:name="_Toc3307017"/>
      <w:bookmarkStart w:id="4601" w:name="_Toc3307018"/>
      <w:bookmarkStart w:id="4602" w:name="_Toc3307019"/>
      <w:bookmarkStart w:id="4603" w:name="_Toc3307020"/>
      <w:bookmarkStart w:id="4604" w:name="_Toc3307021"/>
      <w:bookmarkStart w:id="4605" w:name="_Toc3307022"/>
      <w:bookmarkStart w:id="4606" w:name="_Toc3307023"/>
      <w:bookmarkStart w:id="4607" w:name="_Toc3307024"/>
      <w:bookmarkStart w:id="4608" w:name="_Toc3307025"/>
      <w:bookmarkStart w:id="4609" w:name="_Toc3307026"/>
      <w:bookmarkStart w:id="4610" w:name="_Toc3307027"/>
      <w:bookmarkStart w:id="4611" w:name="_Toc3307028"/>
      <w:bookmarkStart w:id="4612" w:name="_Toc3307029"/>
      <w:bookmarkStart w:id="4613" w:name="_Toc3307030"/>
      <w:bookmarkStart w:id="4614" w:name="_Toc3307031"/>
      <w:bookmarkStart w:id="4615" w:name="_Toc3307032"/>
      <w:bookmarkStart w:id="4616" w:name="_Toc3307033"/>
      <w:bookmarkStart w:id="4617" w:name="_Toc3307034"/>
      <w:bookmarkStart w:id="4618" w:name="_Toc3307035"/>
      <w:bookmarkStart w:id="4619" w:name="_Toc3307036"/>
      <w:bookmarkStart w:id="4620" w:name="_Toc3307037"/>
      <w:bookmarkStart w:id="4621" w:name="_Toc3307038"/>
      <w:bookmarkStart w:id="4622" w:name="_Toc3307039"/>
      <w:bookmarkStart w:id="4623" w:name="_Toc3307040"/>
      <w:bookmarkStart w:id="4624" w:name="_Toc3307041"/>
      <w:bookmarkStart w:id="4625" w:name="_Toc3307042"/>
      <w:bookmarkStart w:id="4626" w:name="_Toc3307043"/>
      <w:bookmarkStart w:id="4627" w:name="_Toc3307044"/>
      <w:bookmarkStart w:id="4628" w:name="_Toc3307045"/>
      <w:bookmarkStart w:id="4629" w:name="_Toc3307046"/>
      <w:bookmarkStart w:id="4630" w:name="_Toc3307047"/>
      <w:bookmarkStart w:id="4631" w:name="_Toc3307048"/>
      <w:bookmarkStart w:id="4632" w:name="_Toc3307049"/>
      <w:bookmarkStart w:id="4633" w:name="_Toc3307050"/>
      <w:bookmarkStart w:id="4634" w:name="_Toc3307051"/>
      <w:bookmarkStart w:id="4635" w:name="_Toc3307052"/>
      <w:bookmarkStart w:id="4636" w:name="_Toc3307053"/>
      <w:bookmarkStart w:id="4637" w:name="_Toc3307054"/>
      <w:bookmarkStart w:id="4638" w:name="_Toc3307055"/>
      <w:bookmarkStart w:id="4639" w:name="_Toc3307056"/>
      <w:bookmarkStart w:id="4640" w:name="_Toc3307057"/>
      <w:bookmarkStart w:id="4641" w:name="_Toc3307058"/>
      <w:bookmarkStart w:id="4642" w:name="_Toc3307059"/>
      <w:bookmarkStart w:id="4643" w:name="_Toc3307060"/>
      <w:bookmarkStart w:id="4644" w:name="_Toc3307061"/>
      <w:bookmarkStart w:id="4645" w:name="_Toc3307062"/>
      <w:bookmarkStart w:id="4646" w:name="_Toc3307063"/>
      <w:bookmarkStart w:id="4647" w:name="_Toc3307064"/>
      <w:bookmarkStart w:id="4648" w:name="_Toc3307065"/>
      <w:bookmarkStart w:id="4649" w:name="_Toc3307066"/>
      <w:bookmarkStart w:id="4650" w:name="_Toc3307067"/>
      <w:bookmarkStart w:id="4651" w:name="_Toc3307068"/>
      <w:bookmarkStart w:id="4652" w:name="_Toc3307069"/>
      <w:bookmarkStart w:id="4653" w:name="_Toc3307070"/>
      <w:bookmarkStart w:id="4654" w:name="_Toc3307071"/>
      <w:bookmarkStart w:id="4655" w:name="_Toc3307072"/>
      <w:bookmarkStart w:id="4656" w:name="_Toc3307073"/>
      <w:bookmarkStart w:id="4657" w:name="_Toc3307074"/>
      <w:bookmarkStart w:id="4658" w:name="_Toc3307075"/>
      <w:bookmarkStart w:id="4659" w:name="_Toc3307076"/>
      <w:bookmarkStart w:id="4660" w:name="_Toc3307077"/>
      <w:bookmarkStart w:id="4661" w:name="_Toc3307078"/>
      <w:bookmarkStart w:id="4662" w:name="_Toc3307115"/>
      <w:bookmarkStart w:id="4663" w:name="_Toc3307116"/>
      <w:bookmarkStart w:id="4664" w:name="_Toc3307117"/>
      <w:bookmarkStart w:id="4665" w:name="_Toc3307118"/>
      <w:bookmarkStart w:id="4666" w:name="_Toc3307119"/>
      <w:bookmarkStart w:id="4667" w:name="_Toc3307120"/>
      <w:bookmarkStart w:id="4668" w:name="_Toc3307121"/>
      <w:bookmarkStart w:id="4669" w:name="_Toc3307122"/>
      <w:bookmarkStart w:id="4670" w:name="_Toc3307123"/>
      <w:bookmarkStart w:id="4671" w:name="_Toc3307171"/>
      <w:bookmarkStart w:id="4672" w:name="_Toc3307172"/>
      <w:bookmarkStart w:id="4673" w:name="_Toc3307173"/>
      <w:bookmarkStart w:id="4674" w:name="_Toc3307174"/>
      <w:bookmarkStart w:id="4675" w:name="_Toc3307175"/>
      <w:bookmarkStart w:id="4676" w:name="_Toc3307176"/>
      <w:bookmarkStart w:id="4677" w:name="_Toc3307183"/>
      <w:bookmarkStart w:id="4678" w:name="_Toc3307184"/>
      <w:bookmarkStart w:id="4679" w:name="_Toc3307185"/>
      <w:bookmarkStart w:id="4680" w:name="_Toc3307186"/>
      <w:bookmarkStart w:id="4681" w:name="_Toc3307187"/>
      <w:bookmarkStart w:id="4682" w:name="_Toc3307188"/>
      <w:bookmarkStart w:id="4683" w:name="_Toc3307189"/>
      <w:bookmarkStart w:id="4684" w:name="_Toc3307190"/>
      <w:bookmarkStart w:id="4685" w:name="_Toc3307191"/>
      <w:bookmarkStart w:id="4686" w:name="_Toc3307192"/>
      <w:bookmarkStart w:id="4687" w:name="_Toc3307193"/>
      <w:bookmarkStart w:id="4688" w:name="_Toc3307194"/>
      <w:bookmarkStart w:id="4689" w:name="_Toc3307195"/>
      <w:bookmarkStart w:id="4690" w:name="_Toc3307196"/>
      <w:bookmarkStart w:id="4691" w:name="_Toc3307199"/>
      <w:bookmarkStart w:id="4692" w:name="_Toc3307200"/>
      <w:bookmarkStart w:id="4693" w:name="_Toc3307201"/>
      <w:bookmarkStart w:id="4694" w:name="_Toc3307202"/>
      <w:bookmarkStart w:id="4695" w:name="_Toc3307232"/>
      <w:bookmarkStart w:id="4696" w:name="_Toc3307233"/>
      <w:bookmarkStart w:id="4697" w:name="_Toc3307234"/>
      <w:bookmarkStart w:id="4698" w:name="_Toc3307235"/>
      <w:bookmarkStart w:id="4699" w:name="_Toc3307236"/>
      <w:bookmarkStart w:id="4700" w:name="_Toc3307237"/>
      <w:bookmarkStart w:id="4701" w:name="_Toc3307273"/>
      <w:bookmarkStart w:id="4702" w:name="_Toc3307274"/>
      <w:bookmarkStart w:id="4703" w:name="_Toc3307275"/>
      <w:bookmarkStart w:id="4704" w:name="_Toc3307276"/>
      <w:bookmarkStart w:id="4705" w:name="_Toc3307277"/>
      <w:bookmarkStart w:id="4706" w:name="_Toc3307278"/>
      <w:bookmarkStart w:id="4707" w:name="_Toc3307279"/>
      <w:bookmarkStart w:id="4708" w:name="_Toc3307280"/>
      <w:bookmarkStart w:id="4709" w:name="_Toc3307281"/>
      <w:bookmarkStart w:id="4710" w:name="_Toc3307282"/>
      <w:bookmarkStart w:id="4711" w:name="_Toc3307283"/>
      <w:bookmarkStart w:id="4712" w:name="_Toc3307284"/>
      <w:bookmarkStart w:id="4713" w:name="_Toc3307285"/>
      <w:bookmarkStart w:id="4714" w:name="_Toc3307286"/>
      <w:bookmarkStart w:id="4715" w:name="_Toc3307287"/>
      <w:bookmarkStart w:id="4716" w:name="_Toc3307288"/>
      <w:bookmarkStart w:id="4717" w:name="_Toc3307289"/>
      <w:bookmarkStart w:id="4718" w:name="_Toc3307290"/>
      <w:bookmarkStart w:id="4719" w:name="_Toc3307291"/>
      <w:bookmarkStart w:id="4720" w:name="_Toc3307292"/>
      <w:bookmarkStart w:id="4721" w:name="_Toc3307293"/>
      <w:bookmarkStart w:id="4722" w:name="_Toc3307294"/>
      <w:bookmarkStart w:id="4723" w:name="_Toc3307295"/>
      <w:bookmarkStart w:id="4724" w:name="_Toc3307296"/>
      <w:bookmarkStart w:id="4725" w:name="_Toc3307297"/>
      <w:bookmarkStart w:id="4726" w:name="_Toc3307298"/>
      <w:bookmarkStart w:id="4727" w:name="_Toc3307299"/>
      <w:bookmarkStart w:id="4728" w:name="_Toc3307300"/>
      <w:bookmarkStart w:id="4729" w:name="_Toc3307301"/>
      <w:bookmarkStart w:id="4730" w:name="_Toc3307302"/>
      <w:bookmarkStart w:id="4731" w:name="_Toc3307303"/>
      <w:bookmarkStart w:id="4732" w:name="_Toc3307304"/>
      <w:bookmarkStart w:id="4733" w:name="_Toc3307305"/>
      <w:bookmarkStart w:id="4734" w:name="_Toc3307306"/>
      <w:bookmarkStart w:id="4735" w:name="_Toc3307307"/>
      <w:bookmarkStart w:id="4736" w:name="_Toc3307308"/>
      <w:bookmarkStart w:id="4737" w:name="_Toc3307309"/>
      <w:bookmarkStart w:id="4738" w:name="_Toc3307310"/>
      <w:bookmarkStart w:id="4739" w:name="_Toc3307311"/>
      <w:bookmarkStart w:id="4740" w:name="_Toc3307312"/>
      <w:bookmarkStart w:id="4741" w:name="_Toc3307313"/>
      <w:bookmarkStart w:id="4742" w:name="_Toc3307314"/>
      <w:bookmarkStart w:id="4743" w:name="_Toc3307315"/>
      <w:bookmarkStart w:id="4744" w:name="_Toc3307316"/>
      <w:bookmarkStart w:id="4745" w:name="_Toc3307317"/>
      <w:bookmarkStart w:id="4746" w:name="_Toc3307318"/>
      <w:bookmarkStart w:id="4747" w:name="_Toc3307319"/>
      <w:bookmarkStart w:id="4748" w:name="_Toc3307320"/>
      <w:bookmarkStart w:id="4749" w:name="_Toc3307321"/>
      <w:bookmarkStart w:id="4750" w:name="_Toc3307322"/>
      <w:bookmarkStart w:id="4751" w:name="_Toc3307323"/>
      <w:bookmarkStart w:id="4752" w:name="_Toc3307324"/>
      <w:bookmarkStart w:id="4753" w:name="_Toc3307361"/>
      <w:bookmarkStart w:id="4754" w:name="_Toc3307362"/>
      <w:bookmarkStart w:id="4755" w:name="_Toc3307363"/>
      <w:bookmarkStart w:id="4756" w:name="_Toc3307364"/>
      <w:bookmarkStart w:id="4757" w:name="_Toc3307365"/>
      <w:bookmarkStart w:id="4758" w:name="_Toc3307369"/>
      <w:bookmarkStart w:id="4759" w:name="_Toc3307370"/>
      <w:bookmarkStart w:id="4760" w:name="_Toc3307371"/>
      <w:bookmarkStart w:id="4761" w:name="_Toc3307372"/>
      <w:bookmarkStart w:id="4762" w:name="_Toc3307373"/>
      <w:bookmarkStart w:id="4763" w:name="_Toc3307374"/>
      <w:bookmarkStart w:id="4764" w:name="_Toc3307375"/>
      <w:bookmarkStart w:id="4765" w:name="_Toc3307376"/>
      <w:bookmarkStart w:id="4766" w:name="_Toc3307377"/>
      <w:bookmarkStart w:id="4767" w:name="_Toc3307378"/>
      <w:bookmarkStart w:id="4768" w:name="_Toc3307379"/>
      <w:bookmarkStart w:id="4769" w:name="_Toc3307382"/>
      <w:bookmarkStart w:id="4770" w:name="_Toc3307383"/>
      <w:bookmarkStart w:id="4771" w:name="_Toc3307384"/>
      <w:bookmarkStart w:id="4772" w:name="_Toc3307385"/>
      <w:bookmarkStart w:id="4773" w:name="_Toc3307415"/>
      <w:bookmarkStart w:id="4774" w:name="_Toc3307416"/>
      <w:bookmarkStart w:id="4775" w:name="_Toc3307417"/>
      <w:bookmarkStart w:id="4776" w:name="_Toc3307418"/>
      <w:bookmarkStart w:id="4777" w:name="_Toc3307419"/>
      <w:bookmarkStart w:id="4778" w:name="_Toc3307420"/>
      <w:bookmarkStart w:id="4779" w:name="_Toc3307456"/>
      <w:bookmarkStart w:id="4780" w:name="_Toc3307457"/>
      <w:bookmarkStart w:id="4781" w:name="_Toc3307458"/>
      <w:bookmarkStart w:id="4782" w:name="_Toc3307459"/>
      <w:bookmarkStart w:id="4783" w:name="_Toc3307460"/>
      <w:bookmarkStart w:id="4784" w:name="_Toc3307461"/>
      <w:bookmarkStart w:id="4785" w:name="_Toc3307462"/>
      <w:bookmarkStart w:id="4786" w:name="_Toc3307463"/>
      <w:bookmarkStart w:id="4787" w:name="_Toc3307464"/>
      <w:bookmarkStart w:id="4788" w:name="_Toc3307465"/>
      <w:bookmarkStart w:id="4789" w:name="_Toc3307466"/>
      <w:bookmarkStart w:id="4790" w:name="_Toc3307467"/>
      <w:bookmarkStart w:id="4791" w:name="_Toc3307468"/>
      <w:bookmarkStart w:id="4792" w:name="_Toc3307469"/>
      <w:bookmarkStart w:id="4793" w:name="_Toc3307470"/>
      <w:bookmarkStart w:id="4794" w:name="_Toc3307471"/>
      <w:bookmarkStart w:id="4795" w:name="_Toc3307472"/>
      <w:bookmarkStart w:id="4796" w:name="_Toc3307473"/>
      <w:bookmarkStart w:id="4797" w:name="_Toc3307474"/>
      <w:bookmarkStart w:id="4798" w:name="_Toc3307475"/>
      <w:bookmarkStart w:id="4799" w:name="_Toc3307476"/>
      <w:bookmarkStart w:id="4800" w:name="_Toc3307477"/>
      <w:bookmarkStart w:id="4801" w:name="_Toc3307478"/>
      <w:bookmarkStart w:id="4802" w:name="_Toc3307479"/>
      <w:bookmarkStart w:id="4803" w:name="_Toc3307480"/>
      <w:bookmarkStart w:id="4804" w:name="_Toc3307481"/>
      <w:bookmarkStart w:id="4805" w:name="_Toc3307482"/>
      <w:bookmarkStart w:id="4806" w:name="_Toc3307483"/>
      <w:bookmarkStart w:id="4807" w:name="_Toc3307484"/>
      <w:bookmarkStart w:id="4808" w:name="_Toc3307485"/>
      <w:bookmarkStart w:id="4809" w:name="_Toc3307486"/>
      <w:bookmarkStart w:id="4810" w:name="_Toc3307487"/>
      <w:bookmarkStart w:id="4811" w:name="_Toc3307488"/>
      <w:bookmarkStart w:id="4812" w:name="_Toc3307489"/>
      <w:bookmarkStart w:id="4813" w:name="_Toc3307490"/>
      <w:bookmarkStart w:id="4814" w:name="_Toc3307491"/>
      <w:bookmarkStart w:id="4815" w:name="_Toc3307492"/>
      <w:bookmarkStart w:id="4816" w:name="_Toc3307493"/>
      <w:bookmarkStart w:id="4817" w:name="_Toc3307494"/>
      <w:bookmarkStart w:id="4818" w:name="_Toc3307531"/>
      <w:bookmarkStart w:id="4819" w:name="_Toc3307532"/>
      <w:bookmarkStart w:id="4820" w:name="_Toc3307533"/>
      <w:bookmarkStart w:id="4821" w:name="_Toc3307534"/>
      <w:bookmarkStart w:id="4822" w:name="_Toc3307535"/>
      <w:bookmarkStart w:id="4823" w:name="_Toc3307536"/>
      <w:bookmarkStart w:id="4824" w:name="_Toc3307537"/>
      <w:bookmarkStart w:id="4825" w:name="_Toc3307538"/>
      <w:bookmarkStart w:id="4826" w:name="_Toc3307539"/>
      <w:bookmarkStart w:id="4827" w:name="_Toc3307581"/>
      <w:bookmarkStart w:id="4828" w:name="_Toc3307582"/>
      <w:bookmarkStart w:id="4829" w:name="_Toc3307583"/>
      <w:bookmarkStart w:id="4830" w:name="_Toc3307584"/>
      <w:bookmarkStart w:id="4831" w:name="_Toc3307585"/>
      <w:bookmarkStart w:id="4832" w:name="_Toc3307586"/>
      <w:bookmarkStart w:id="4833" w:name="_Toc3307593"/>
      <w:bookmarkStart w:id="4834" w:name="_Toc3307594"/>
      <w:bookmarkStart w:id="4835" w:name="_Toc3307595"/>
      <w:bookmarkStart w:id="4836" w:name="_Toc3307596"/>
      <w:bookmarkStart w:id="4837" w:name="_Toc3307597"/>
      <w:bookmarkStart w:id="4838" w:name="_Toc3307598"/>
      <w:bookmarkStart w:id="4839" w:name="_Toc3307599"/>
      <w:bookmarkStart w:id="4840" w:name="_Toc3307600"/>
      <w:bookmarkStart w:id="4841" w:name="_Toc3307601"/>
      <w:bookmarkStart w:id="4842" w:name="_Toc3307602"/>
      <w:bookmarkStart w:id="4843" w:name="_Toc3307603"/>
      <w:bookmarkStart w:id="4844" w:name="_Toc3307604"/>
      <w:bookmarkStart w:id="4845" w:name="_Toc3307605"/>
      <w:bookmarkStart w:id="4846" w:name="_Toc3307606"/>
      <w:bookmarkStart w:id="4847" w:name="_Toc3307607"/>
      <w:bookmarkStart w:id="4848" w:name="_Toc3307608"/>
      <w:bookmarkStart w:id="4849" w:name="_Toc3307609"/>
      <w:bookmarkStart w:id="4850" w:name="_Toc3307610"/>
      <w:bookmarkStart w:id="4851" w:name="_Toc3307611"/>
      <w:bookmarkStart w:id="4852" w:name="_Toc3307612"/>
      <w:bookmarkStart w:id="4853" w:name="_Toc3307613"/>
      <w:bookmarkStart w:id="4854" w:name="_Toc3307614"/>
      <w:bookmarkStart w:id="4855" w:name="_Toc3307615"/>
      <w:bookmarkStart w:id="4856" w:name="_Toc3307616"/>
      <w:bookmarkStart w:id="4857" w:name="_Toc3307617"/>
      <w:bookmarkStart w:id="4858" w:name="_Toc3307618"/>
      <w:bookmarkStart w:id="4859" w:name="_Toc3307619"/>
      <w:bookmarkStart w:id="4860" w:name="_Toc3307620"/>
      <w:bookmarkStart w:id="4861" w:name="_Toc3307621"/>
      <w:bookmarkStart w:id="4862" w:name="_Toc3307622"/>
      <w:bookmarkStart w:id="4863" w:name="_Toc3307623"/>
      <w:bookmarkStart w:id="4864" w:name="_Toc3307624"/>
      <w:bookmarkStart w:id="4865" w:name="_Toc3307625"/>
      <w:bookmarkStart w:id="4866" w:name="_Toc3307626"/>
      <w:bookmarkStart w:id="4867" w:name="_Toc3307627"/>
      <w:bookmarkStart w:id="4868" w:name="_Toc3307630"/>
      <w:bookmarkStart w:id="4869" w:name="_Toc3307631"/>
      <w:bookmarkStart w:id="4870" w:name="_Toc3307632"/>
      <w:bookmarkStart w:id="4871" w:name="_Toc3307633"/>
      <w:bookmarkStart w:id="4872" w:name="_Toc3307640"/>
      <w:bookmarkStart w:id="4873" w:name="_Toc3307710"/>
      <w:bookmarkStart w:id="4874" w:name="_Toc3307711"/>
      <w:bookmarkStart w:id="4875" w:name="_Toc3307712"/>
      <w:bookmarkStart w:id="4876" w:name="_Toc3307713"/>
      <w:bookmarkStart w:id="4877" w:name="_Toc3307714"/>
      <w:bookmarkStart w:id="4878" w:name="_Toc3307715"/>
      <w:bookmarkStart w:id="4879" w:name="_Toc3307716"/>
      <w:bookmarkStart w:id="4880" w:name="_Toc3307746"/>
      <w:bookmarkStart w:id="4881" w:name="_Toc3307747"/>
      <w:bookmarkStart w:id="4882" w:name="_Toc3307748"/>
      <w:bookmarkStart w:id="4883" w:name="_Toc3307749"/>
      <w:bookmarkStart w:id="4884" w:name="_Toc3307750"/>
      <w:bookmarkStart w:id="4885" w:name="_Toc3307751"/>
      <w:bookmarkStart w:id="4886" w:name="_Toc3307752"/>
      <w:bookmarkStart w:id="4887" w:name="_Toc3307753"/>
      <w:bookmarkStart w:id="4888" w:name="_Toc3307754"/>
      <w:bookmarkStart w:id="4889" w:name="_Toc3307755"/>
      <w:bookmarkStart w:id="4890" w:name="_Toc3307756"/>
      <w:bookmarkStart w:id="4891" w:name="_Toc3307757"/>
      <w:bookmarkStart w:id="4892" w:name="_Toc3307758"/>
      <w:bookmarkStart w:id="4893" w:name="_Toc3307759"/>
      <w:bookmarkStart w:id="4894" w:name="_Toc3307760"/>
      <w:bookmarkStart w:id="4895" w:name="_Toc3307761"/>
      <w:bookmarkStart w:id="4896" w:name="_Toc3307762"/>
      <w:bookmarkStart w:id="4897" w:name="_Toc3307763"/>
      <w:bookmarkStart w:id="4898" w:name="_Toc3307764"/>
      <w:bookmarkStart w:id="4899" w:name="_Toc3307765"/>
      <w:bookmarkStart w:id="4900" w:name="_Toc3307766"/>
      <w:bookmarkStart w:id="4901" w:name="_Toc3307767"/>
      <w:bookmarkStart w:id="4902" w:name="_Toc3307768"/>
      <w:bookmarkStart w:id="4903" w:name="_Toc3307769"/>
      <w:bookmarkStart w:id="4904" w:name="_Toc3307770"/>
      <w:bookmarkStart w:id="4905" w:name="_Toc3307771"/>
      <w:bookmarkStart w:id="4906" w:name="_Toc3307772"/>
      <w:bookmarkStart w:id="4907" w:name="_Toc3307773"/>
      <w:bookmarkStart w:id="4908" w:name="_Toc3307774"/>
      <w:bookmarkStart w:id="4909" w:name="_Toc3307775"/>
      <w:bookmarkStart w:id="4910" w:name="_Toc3307776"/>
      <w:bookmarkStart w:id="4911" w:name="_Toc3307777"/>
      <w:bookmarkStart w:id="4912" w:name="_Toc3307778"/>
      <w:bookmarkStart w:id="4913" w:name="_Toc3307779"/>
      <w:bookmarkStart w:id="4914" w:name="_Toc3307780"/>
      <w:bookmarkStart w:id="4915" w:name="_Toc3307781"/>
      <w:bookmarkStart w:id="4916" w:name="_Toc3307782"/>
      <w:bookmarkStart w:id="4917" w:name="_Toc3307783"/>
      <w:bookmarkStart w:id="4918" w:name="_Toc3307784"/>
      <w:bookmarkStart w:id="4919" w:name="_Toc3307785"/>
      <w:bookmarkStart w:id="4920" w:name="_Toc3307786"/>
      <w:bookmarkStart w:id="4921" w:name="_Toc3307787"/>
      <w:bookmarkStart w:id="4922" w:name="_Toc3307788"/>
      <w:bookmarkStart w:id="4923" w:name="_Toc3307789"/>
      <w:bookmarkStart w:id="4924" w:name="_Toc3307790"/>
      <w:bookmarkStart w:id="4925" w:name="_Toc3307791"/>
      <w:bookmarkStart w:id="4926" w:name="_Toc3307792"/>
      <w:bookmarkStart w:id="4927" w:name="_Toc3307793"/>
      <w:bookmarkStart w:id="4928" w:name="_Toc3307794"/>
      <w:bookmarkStart w:id="4929" w:name="_Toc3307795"/>
      <w:bookmarkStart w:id="4930" w:name="_Toc3307796"/>
      <w:bookmarkStart w:id="4931" w:name="_Toc3307797"/>
      <w:bookmarkStart w:id="4932" w:name="_Toc3307798"/>
      <w:bookmarkStart w:id="4933" w:name="_Toc3307799"/>
      <w:bookmarkStart w:id="4934" w:name="_Toc3307800"/>
      <w:bookmarkStart w:id="4935" w:name="_Toc3307801"/>
      <w:bookmarkStart w:id="4936" w:name="_Toc3307802"/>
      <w:bookmarkStart w:id="4937" w:name="_Toc3307803"/>
      <w:bookmarkStart w:id="4938" w:name="_Toc3307804"/>
      <w:bookmarkStart w:id="4939" w:name="_Toc3307809"/>
      <w:bookmarkStart w:id="4940" w:name="_Toc3307857"/>
      <w:bookmarkStart w:id="4941" w:name="_Toc3307858"/>
      <w:bookmarkStart w:id="4942" w:name="_Toc3307859"/>
      <w:bookmarkStart w:id="4943" w:name="_Toc3307860"/>
      <w:bookmarkStart w:id="4944" w:name="_Toc3307861"/>
      <w:bookmarkStart w:id="4945" w:name="_Toc3307862"/>
      <w:bookmarkStart w:id="4946" w:name="_Toc3307863"/>
      <w:bookmarkStart w:id="4947" w:name="_Toc3307864"/>
      <w:bookmarkStart w:id="4948" w:name="_Toc3307865"/>
      <w:bookmarkStart w:id="4949" w:name="_Toc3307866"/>
      <w:bookmarkStart w:id="4950" w:name="_Toc3307867"/>
      <w:bookmarkStart w:id="4951" w:name="_Toc3307868"/>
      <w:bookmarkStart w:id="4952" w:name="_Toc3307869"/>
      <w:bookmarkStart w:id="4953" w:name="_Toc3307877"/>
      <w:bookmarkStart w:id="4954" w:name="_Toc3307981"/>
      <w:bookmarkStart w:id="4955" w:name="_Toc3307982"/>
      <w:bookmarkStart w:id="4956" w:name="_Toc3307983"/>
      <w:bookmarkStart w:id="4957" w:name="_Toc3307984"/>
      <w:bookmarkStart w:id="4958" w:name="_Toc3307985"/>
      <w:bookmarkStart w:id="4959" w:name="_Toc3307986"/>
      <w:bookmarkStart w:id="4960" w:name="_Toc3307987"/>
      <w:bookmarkStart w:id="4961" w:name="_Toc3307994"/>
      <w:bookmarkStart w:id="4962" w:name="_Toc3307995"/>
      <w:bookmarkStart w:id="4963" w:name="_Toc3307996"/>
      <w:bookmarkStart w:id="4964" w:name="_Toc3307997"/>
      <w:bookmarkStart w:id="4965" w:name="_Toc3307998"/>
      <w:bookmarkStart w:id="4966" w:name="_Toc3307999"/>
      <w:bookmarkStart w:id="4967" w:name="_Toc3308000"/>
      <w:bookmarkStart w:id="4968" w:name="_Toc3308001"/>
      <w:bookmarkStart w:id="4969" w:name="_Toc3308002"/>
      <w:bookmarkStart w:id="4970" w:name="_Toc3308003"/>
      <w:bookmarkStart w:id="4971" w:name="_Toc3308004"/>
      <w:bookmarkStart w:id="4972" w:name="_Toc3308005"/>
      <w:bookmarkStart w:id="4973" w:name="_Toc3308006"/>
      <w:bookmarkStart w:id="4974" w:name="_Toc3308007"/>
      <w:bookmarkStart w:id="4975" w:name="_Toc3308009"/>
      <w:bookmarkStart w:id="4976" w:name="_Toc3308010"/>
      <w:bookmarkStart w:id="4977" w:name="_Toc3308011"/>
      <w:bookmarkStart w:id="4978" w:name="_Toc3308012"/>
      <w:bookmarkStart w:id="4979" w:name="_Toc3308013"/>
      <w:bookmarkStart w:id="4980" w:name="_Toc3308014"/>
      <w:bookmarkStart w:id="4981" w:name="_Toc3308015"/>
      <w:bookmarkStart w:id="4982" w:name="_Toc3308016"/>
      <w:bookmarkStart w:id="4983" w:name="_Toc3308017"/>
      <w:bookmarkStart w:id="4984" w:name="_Toc3308018"/>
      <w:bookmarkStart w:id="4985" w:name="_Toc3308019"/>
      <w:bookmarkStart w:id="4986" w:name="_Toc3308020"/>
      <w:bookmarkStart w:id="4987" w:name="_Toc3308021"/>
      <w:bookmarkStart w:id="4988" w:name="_Toc3308022"/>
      <w:bookmarkStart w:id="4989" w:name="_Toc3308023"/>
      <w:bookmarkStart w:id="4990" w:name="_Toc3308024"/>
      <w:bookmarkStart w:id="4991" w:name="_Toc3308025"/>
      <w:bookmarkStart w:id="4992" w:name="_Toc3308026"/>
      <w:bookmarkStart w:id="4993" w:name="_Toc3308029"/>
      <w:bookmarkStart w:id="4994" w:name="_Toc3308030"/>
      <w:bookmarkStart w:id="4995" w:name="_Toc3308031"/>
      <w:bookmarkStart w:id="4996" w:name="_Toc3308032"/>
      <w:bookmarkStart w:id="4997" w:name="_Toc3308062"/>
      <w:bookmarkStart w:id="4998" w:name="_Toc3308063"/>
      <w:bookmarkStart w:id="4999" w:name="_Toc3308064"/>
      <w:bookmarkStart w:id="5000" w:name="_Toc3308065"/>
      <w:bookmarkStart w:id="5001" w:name="_Toc3308066"/>
      <w:bookmarkStart w:id="5002" w:name="_Toc3308067"/>
      <w:bookmarkStart w:id="5003" w:name="_Toc3308103"/>
      <w:bookmarkStart w:id="5004" w:name="_Toc3308104"/>
      <w:bookmarkStart w:id="5005" w:name="_Toc3308105"/>
      <w:bookmarkStart w:id="5006" w:name="_Toc3308106"/>
      <w:bookmarkStart w:id="5007" w:name="_Toc3308107"/>
      <w:bookmarkStart w:id="5008" w:name="_Toc3308108"/>
      <w:bookmarkStart w:id="5009" w:name="_Toc3308109"/>
      <w:bookmarkStart w:id="5010" w:name="_Toc3308110"/>
      <w:bookmarkStart w:id="5011" w:name="_Toc3308111"/>
      <w:bookmarkStart w:id="5012" w:name="_Toc3308112"/>
      <w:bookmarkStart w:id="5013" w:name="_Toc3308113"/>
      <w:bookmarkStart w:id="5014" w:name="_Toc3308114"/>
      <w:bookmarkStart w:id="5015" w:name="_Toc3308115"/>
      <w:bookmarkStart w:id="5016" w:name="_Toc3308116"/>
      <w:bookmarkStart w:id="5017" w:name="_Toc3308117"/>
      <w:bookmarkStart w:id="5018" w:name="_Toc3308118"/>
      <w:bookmarkStart w:id="5019" w:name="_Toc3308119"/>
      <w:bookmarkStart w:id="5020" w:name="_Toc3308120"/>
      <w:bookmarkStart w:id="5021" w:name="_Toc3308121"/>
      <w:bookmarkStart w:id="5022" w:name="_Toc3308122"/>
      <w:bookmarkStart w:id="5023" w:name="_Toc3308123"/>
      <w:bookmarkStart w:id="5024" w:name="_Toc3308124"/>
      <w:bookmarkStart w:id="5025" w:name="_Toc3308125"/>
      <w:bookmarkStart w:id="5026" w:name="_Toc3308126"/>
      <w:bookmarkStart w:id="5027" w:name="_Toc3308127"/>
      <w:bookmarkStart w:id="5028" w:name="_Toc3308128"/>
      <w:bookmarkStart w:id="5029" w:name="_Toc3308129"/>
      <w:bookmarkStart w:id="5030" w:name="_Toc3308130"/>
      <w:bookmarkStart w:id="5031" w:name="_Toc3308131"/>
      <w:bookmarkStart w:id="5032" w:name="_Toc3308132"/>
      <w:bookmarkStart w:id="5033" w:name="_Toc3308133"/>
      <w:bookmarkStart w:id="5034" w:name="_Toc3308134"/>
      <w:bookmarkStart w:id="5035" w:name="_Toc3308135"/>
      <w:bookmarkStart w:id="5036" w:name="_Toc3308136"/>
      <w:bookmarkStart w:id="5037" w:name="_Toc3308137"/>
      <w:bookmarkStart w:id="5038" w:name="_Toc3308138"/>
      <w:bookmarkStart w:id="5039" w:name="_Toc3308139"/>
      <w:bookmarkStart w:id="5040" w:name="_Toc3308140"/>
      <w:bookmarkStart w:id="5041" w:name="_Toc3308141"/>
      <w:bookmarkStart w:id="5042" w:name="_Toc3308142"/>
      <w:bookmarkStart w:id="5043" w:name="_Toc3308143"/>
      <w:bookmarkStart w:id="5044" w:name="_Toc3308144"/>
      <w:bookmarkStart w:id="5045" w:name="_Toc3308145"/>
      <w:bookmarkStart w:id="5046" w:name="_Toc3308146"/>
      <w:bookmarkStart w:id="5047" w:name="_Toc3308147"/>
      <w:bookmarkStart w:id="5048" w:name="_Toc3308148"/>
      <w:bookmarkStart w:id="5049" w:name="_Toc3308149"/>
      <w:bookmarkStart w:id="5050" w:name="_Toc3308150"/>
      <w:bookmarkStart w:id="5051" w:name="_Toc3308187"/>
      <w:bookmarkStart w:id="5052" w:name="_Toc3308188"/>
      <w:bookmarkStart w:id="5053" w:name="_Toc3308189"/>
      <w:bookmarkStart w:id="5054" w:name="_Toc3308190"/>
      <w:bookmarkStart w:id="5055" w:name="_Toc3308191"/>
      <w:bookmarkStart w:id="5056" w:name="_Toc3308192"/>
      <w:bookmarkStart w:id="5057" w:name="_Toc3308193"/>
      <w:bookmarkStart w:id="5058" w:name="_Toc3308194"/>
      <w:bookmarkStart w:id="5059" w:name="_Toc3308195"/>
      <w:bookmarkStart w:id="5060" w:name="_Toc3308246"/>
      <w:bookmarkStart w:id="5061" w:name="_Toc3308247"/>
      <w:bookmarkStart w:id="5062" w:name="_Toc3308248"/>
      <w:bookmarkStart w:id="5063" w:name="_Toc3308249"/>
      <w:bookmarkStart w:id="5064" w:name="_Toc3308250"/>
      <w:bookmarkStart w:id="5065" w:name="_Toc3308251"/>
      <w:bookmarkStart w:id="5066" w:name="_Toc3308258"/>
      <w:bookmarkStart w:id="5067" w:name="_Toc3308259"/>
      <w:bookmarkStart w:id="5068" w:name="_Toc3308260"/>
      <w:bookmarkStart w:id="5069" w:name="_Toc3308261"/>
      <w:bookmarkStart w:id="5070" w:name="_Toc3308262"/>
      <w:bookmarkStart w:id="5071" w:name="_Toc3308263"/>
      <w:bookmarkStart w:id="5072" w:name="_Toc3308264"/>
      <w:bookmarkStart w:id="5073" w:name="_Toc3308265"/>
      <w:bookmarkStart w:id="5074" w:name="_Toc3308266"/>
      <w:bookmarkStart w:id="5075" w:name="_Toc3308267"/>
      <w:bookmarkStart w:id="5076" w:name="_Toc3308268"/>
      <w:bookmarkStart w:id="5077" w:name="_Toc3308269"/>
      <w:bookmarkStart w:id="5078" w:name="_Toc3308270"/>
      <w:bookmarkStart w:id="5079" w:name="_Toc3308271"/>
      <w:bookmarkStart w:id="5080" w:name="_Toc3308274"/>
      <w:bookmarkStart w:id="5081" w:name="_Toc3308275"/>
      <w:bookmarkStart w:id="5082" w:name="_Toc3308276"/>
      <w:bookmarkStart w:id="5083" w:name="_Toc3308277"/>
      <w:bookmarkStart w:id="5084" w:name="_Toc3308307"/>
      <w:bookmarkStart w:id="5085" w:name="_Toc3308308"/>
      <w:bookmarkStart w:id="5086" w:name="_Toc3308309"/>
      <w:bookmarkStart w:id="5087" w:name="_Toc3308310"/>
      <w:bookmarkStart w:id="5088" w:name="_Toc3308311"/>
      <w:bookmarkStart w:id="5089" w:name="_Toc3308312"/>
      <w:bookmarkStart w:id="5090" w:name="_Toc3308348"/>
      <w:bookmarkStart w:id="5091" w:name="_Toc3308349"/>
      <w:bookmarkStart w:id="5092" w:name="_Toc3308350"/>
      <w:bookmarkStart w:id="5093" w:name="_Toc3308351"/>
      <w:bookmarkStart w:id="5094" w:name="_Toc3308352"/>
      <w:bookmarkStart w:id="5095" w:name="_Toc3308353"/>
      <w:bookmarkStart w:id="5096" w:name="_Toc3308354"/>
      <w:bookmarkStart w:id="5097" w:name="_Toc3308355"/>
      <w:bookmarkStart w:id="5098" w:name="_Toc3308356"/>
      <w:bookmarkStart w:id="5099" w:name="_Toc3308357"/>
      <w:bookmarkStart w:id="5100" w:name="_Toc3308358"/>
      <w:bookmarkStart w:id="5101" w:name="_Toc3308359"/>
      <w:bookmarkStart w:id="5102" w:name="_Toc3308360"/>
      <w:bookmarkStart w:id="5103" w:name="_Toc3308361"/>
      <w:bookmarkStart w:id="5104" w:name="_Toc3308362"/>
      <w:bookmarkStart w:id="5105" w:name="_Toc3308363"/>
      <w:bookmarkStart w:id="5106" w:name="_Toc3308364"/>
      <w:bookmarkStart w:id="5107" w:name="_Toc3308365"/>
      <w:bookmarkStart w:id="5108" w:name="_Toc3308366"/>
      <w:bookmarkStart w:id="5109" w:name="_Toc3308367"/>
      <w:bookmarkStart w:id="5110" w:name="_Toc3308368"/>
      <w:bookmarkStart w:id="5111" w:name="_Toc3308369"/>
      <w:bookmarkStart w:id="5112" w:name="_Toc3308370"/>
      <w:bookmarkStart w:id="5113" w:name="_Toc3308371"/>
      <w:bookmarkStart w:id="5114" w:name="_Toc3308372"/>
      <w:bookmarkStart w:id="5115" w:name="_Toc3308373"/>
      <w:bookmarkStart w:id="5116" w:name="_Toc3308374"/>
      <w:bookmarkStart w:id="5117" w:name="_Toc3308375"/>
      <w:bookmarkStart w:id="5118" w:name="_Toc3308376"/>
      <w:bookmarkStart w:id="5119" w:name="_Toc3308377"/>
      <w:bookmarkStart w:id="5120" w:name="_Toc3308378"/>
      <w:bookmarkStart w:id="5121" w:name="_Toc3308379"/>
      <w:bookmarkStart w:id="5122" w:name="_Toc3308380"/>
      <w:bookmarkStart w:id="5123" w:name="_Toc3308381"/>
      <w:bookmarkStart w:id="5124" w:name="_Toc3308382"/>
      <w:bookmarkStart w:id="5125" w:name="_Toc3308383"/>
      <w:bookmarkStart w:id="5126" w:name="_Toc3308384"/>
      <w:bookmarkStart w:id="5127" w:name="_Toc3308385"/>
      <w:bookmarkStart w:id="5128" w:name="_Toc3308386"/>
      <w:bookmarkStart w:id="5129" w:name="_Toc3308387"/>
      <w:bookmarkStart w:id="5130" w:name="_Toc3308388"/>
      <w:bookmarkStart w:id="5131" w:name="_Toc3308389"/>
      <w:bookmarkStart w:id="5132" w:name="_Toc3308390"/>
      <w:bookmarkStart w:id="5133" w:name="_Toc3308391"/>
      <w:bookmarkStart w:id="5134" w:name="_Toc3308392"/>
      <w:bookmarkStart w:id="5135" w:name="_Toc3308393"/>
      <w:bookmarkStart w:id="5136" w:name="_Toc3308394"/>
      <w:bookmarkStart w:id="5137" w:name="_Toc3308395"/>
      <w:bookmarkStart w:id="5138" w:name="_Toc3308396"/>
      <w:bookmarkStart w:id="5139" w:name="_Toc3308397"/>
      <w:bookmarkStart w:id="5140" w:name="_Toc3308398"/>
      <w:bookmarkStart w:id="5141" w:name="_Toc3308399"/>
      <w:bookmarkStart w:id="5142" w:name="_Toc3308436"/>
      <w:bookmarkStart w:id="5143" w:name="_Toc3308437"/>
      <w:bookmarkStart w:id="5144" w:name="_Toc3308438"/>
      <w:bookmarkStart w:id="5145" w:name="_Toc3308439"/>
      <w:bookmarkStart w:id="5146" w:name="_Toc3308440"/>
      <w:bookmarkStart w:id="5147" w:name="_Toc3308441"/>
      <w:bookmarkStart w:id="5148" w:name="_Toc3308442"/>
      <w:bookmarkStart w:id="5149" w:name="_Toc3308443"/>
      <w:bookmarkStart w:id="5150" w:name="_Toc3308444"/>
      <w:bookmarkStart w:id="5151" w:name="_Toc3308445"/>
      <w:bookmarkStart w:id="5152" w:name="_Toc3308446"/>
      <w:bookmarkStart w:id="5153" w:name="_Toc3308447"/>
      <w:bookmarkStart w:id="5154" w:name="_Toc3308448"/>
      <w:bookmarkStart w:id="5155" w:name="_Toc3308449"/>
      <w:bookmarkStart w:id="5156" w:name="_Toc3308450"/>
      <w:bookmarkStart w:id="5157" w:name="_Toc3308451"/>
      <w:bookmarkStart w:id="5158" w:name="_Toc3308452"/>
      <w:bookmarkStart w:id="5159" w:name="_Toc3308453"/>
      <w:bookmarkStart w:id="5160" w:name="_Toc3308454"/>
      <w:bookmarkStart w:id="5161" w:name="_Toc3308455"/>
      <w:bookmarkStart w:id="5162" w:name="_Toc3308456"/>
      <w:bookmarkStart w:id="5163" w:name="_Toc3308457"/>
      <w:bookmarkStart w:id="5164" w:name="_Toc3308458"/>
      <w:bookmarkStart w:id="5165" w:name="_Toc3308459"/>
      <w:bookmarkStart w:id="5166" w:name="_Toc3308460"/>
      <w:bookmarkStart w:id="5167" w:name="_Toc3308461"/>
      <w:bookmarkStart w:id="5168" w:name="_Toc3308462"/>
      <w:bookmarkStart w:id="5169" w:name="_Toc3308463"/>
      <w:bookmarkStart w:id="5170" w:name="_Toc3308464"/>
      <w:bookmarkStart w:id="5171" w:name="_Toc3308471"/>
      <w:bookmarkStart w:id="5172" w:name="_Toc3308541"/>
      <w:bookmarkStart w:id="5173" w:name="_Toc3308542"/>
      <w:bookmarkStart w:id="5174" w:name="_Toc3308543"/>
      <w:bookmarkStart w:id="5175" w:name="_Toc3308544"/>
      <w:bookmarkStart w:id="5176" w:name="_Toc3308545"/>
      <w:bookmarkStart w:id="5177" w:name="_Toc3308546"/>
      <w:bookmarkStart w:id="5178" w:name="_Toc3308547"/>
      <w:bookmarkStart w:id="5179" w:name="_Toc3308577"/>
      <w:bookmarkStart w:id="5180" w:name="_Toc3308578"/>
      <w:bookmarkStart w:id="5181" w:name="_Toc3308579"/>
      <w:bookmarkStart w:id="5182" w:name="_Toc3308580"/>
      <w:bookmarkStart w:id="5183" w:name="_Toc3308581"/>
      <w:bookmarkStart w:id="5184" w:name="_Toc3308582"/>
      <w:bookmarkStart w:id="5185" w:name="_Toc3308583"/>
      <w:bookmarkStart w:id="5186" w:name="_Toc3308584"/>
      <w:bookmarkStart w:id="5187" w:name="_Toc3308585"/>
      <w:bookmarkStart w:id="5188" w:name="_Toc3308586"/>
      <w:bookmarkStart w:id="5189" w:name="_Toc3308587"/>
      <w:bookmarkStart w:id="5190" w:name="_Toc3308588"/>
      <w:bookmarkStart w:id="5191" w:name="_Toc3308589"/>
      <w:bookmarkStart w:id="5192" w:name="_Toc3308590"/>
      <w:bookmarkStart w:id="5193" w:name="_Toc3308591"/>
      <w:bookmarkStart w:id="5194" w:name="_Toc3308592"/>
      <w:bookmarkStart w:id="5195" w:name="_Toc3308593"/>
      <w:bookmarkStart w:id="5196" w:name="_Toc3308594"/>
      <w:bookmarkStart w:id="5197" w:name="_Toc3308595"/>
      <w:bookmarkStart w:id="5198" w:name="_Toc3308596"/>
      <w:bookmarkStart w:id="5199" w:name="_Toc3308597"/>
      <w:bookmarkStart w:id="5200" w:name="_Toc3308598"/>
      <w:bookmarkStart w:id="5201" w:name="_Toc3308599"/>
      <w:bookmarkStart w:id="5202" w:name="_Toc3308600"/>
      <w:bookmarkStart w:id="5203" w:name="_Toc3308601"/>
      <w:bookmarkStart w:id="5204" w:name="_Toc3308602"/>
      <w:bookmarkStart w:id="5205" w:name="_Toc3308603"/>
      <w:bookmarkStart w:id="5206" w:name="_Toc3308604"/>
      <w:bookmarkStart w:id="5207" w:name="_Toc3308605"/>
      <w:bookmarkStart w:id="5208" w:name="_Toc3308606"/>
      <w:bookmarkStart w:id="5209" w:name="_Toc3308607"/>
      <w:bookmarkStart w:id="5210" w:name="_Toc3308608"/>
      <w:bookmarkStart w:id="5211" w:name="_Toc3308609"/>
      <w:bookmarkStart w:id="5212" w:name="_Toc3308610"/>
      <w:bookmarkStart w:id="5213" w:name="_Toc3308611"/>
      <w:bookmarkStart w:id="5214" w:name="_Toc3308612"/>
      <w:bookmarkStart w:id="5215" w:name="_Toc3308613"/>
      <w:bookmarkStart w:id="5216" w:name="_Toc3308614"/>
      <w:bookmarkStart w:id="5217" w:name="_Toc3308615"/>
      <w:bookmarkStart w:id="5218" w:name="_Toc3308616"/>
      <w:bookmarkStart w:id="5219" w:name="_Toc3308617"/>
      <w:bookmarkStart w:id="5220" w:name="_Toc3308618"/>
      <w:bookmarkStart w:id="5221" w:name="_Toc3308619"/>
      <w:bookmarkStart w:id="5222" w:name="_Toc3308650"/>
      <w:bookmarkStart w:id="5223" w:name="_Toc3308651"/>
      <w:bookmarkStart w:id="5224" w:name="_Toc3308652"/>
      <w:bookmarkStart w:id="5225" w:name="_Toc3308653"/>
      <w:bookmarkStart w:id="5226" w:name="_Toc3308654"/>
      <w:bookmarkStart w:id="5227" w:name="_Toc3308655"/>
      <w:bookmarkStart w:id="5228" w:name="_Toc3308656"/>
      <w:bookmarkStart w:id="5229" w:name="_Toc3308657"/>
      <w:bookmarkStart w:id="5230" w:name="_Toc3308658"/>
      <w:bookmarkStart w:id="5231" w:name="_Toc3308659"/>
      <w:bookmarkStart w:id="5232" w:name="_Toc3308660"/>
      <w:bookmarkStart w:id="5233" w:name="_Toc3308661"/>
      <w:bookmarkStart w:id="5234" w:name="_Toc3308662"/>
      <w:bookmarkStart w:id="5235" w:name="_Toc3308663"/>
      <w:bookmarkStart w:id="5236" w:name="_Toc3308664"/>
      <w:bookmarkStart w:id="5237" w:name="_Toc3308665"/>
      <w:bookmarkStart w:id="5238" w:name="_Toc3308666"/>
      <w:bookmarkStart w:id="5239" w:name="_Toc3308667"/>
      <w:bookmarkStart w:id="5240" w:name="_Toc3308668"/>
      <w:bookmarkStart w:id="5241" w:name="_Toc3308669"/>
      <w:bookmarkStart w:id="5242" w:name="_Toc3308670"/>
      <w:bookmarkStart w:id="5243" w:name="_Toc3308671"/>
      <w:bookmarkStart w:id="5244" w:name="_Toc3308672"/>
      <w:bookmarkStart w:id="5245" w:name="_Toc3308673"/>
      <w:bookmarkStart w:id="5246" w:name="_Toc3308674"/>
      <w:bookmarkStart w:id="5247" w:name="_Toc3308675"/>
      <w:bookmarkStart w:id="5248" w:name="_Toc3308676"/>
      <w:bookmarkStart w:id="5249" w:name="_Toc3308677"/>
      <w:bookmarkStart w:id="5250" w:name="_Toc3308678"/>
      <w:bookmarkStart w:id="5251" w:name="_Toc3308679"/>
      <w:bookmarkStart w:id="5252" w:name="_Toc3308680"/>
      <w:bookmarkStart w:id="5253" w:name="_Toc3308681"/>
      <w:bookmarkStart w:id="5254" w:name="_Toc3308682"/>
      <w:bookmarkStart w:id="5255" w:name="_Toc3308683"/>
      <w:bookmarkStart w:id="5256" w:name="_Toc3308684"/>
      <w:bookmarkStart w:id="5257" w:name="_Toc3308730"/>
      <w:bookmarkStart w:id="5258" w:name="_Toc3308731"/>
      <w:bookmarkStart w:id="5259" w:name="_Toc3308732"/>
      <w:bookmarkStart w:id="5260" w:name="_Toc3308733"/>
      <w:bookmarkStart w:id="5261" w:name="_Toc3308734"/>
      <w:bookmarkStart w:id="5262" w:name="_Toc3308735"/>
      <w:bookmarkStart w:id="5263" w:name="_Toc3308736"/>
      <w:bookmarkStart w:id="5264" w:name="_Toc3308737"/>
      <w:bookmarkStart w:id="5265" w:name="_Toc3308738"/>
      <w:bookmarkStart w:id="5266" w:name="_Toc3308739"/>
      <w:bookmarkStart w:id="5267" w:name="_Toc3308740"/>
      <w:bookmarkStart w:id="5268" w:name="_Toc3308741"/>
      <w:bookmarkStart w:id="5269" w:name="_Toc3308742"/>
      <w:bookmarkStart w:id="5270" w:name="_Toc3308749"/>
      <w:bookmarkStart w:id="5271" w:name="_Toc3308819"/>
      <w:bookmarkStart w:id="5272" w:name="_Toc3308820"/>
      <w:bookmarkStart w:id="5273" w:name="_Toc3308821"/>
      <w:bookmarkStart w:id="5274" w:name="_Toc3308822"/>
      <w:bookmarkStart w:id="5275" w:name="_Toc3308823"/>
      <w:bookmarkStart w:id="5276" w:name="_Toc3308824"/>
      <w:bookmarkStart w:id="5277" w:name="_Toc3308825"/>
      <w:bookmarkStart w:id="5278" w:name="_Toc3308826"/>
      <w:bookmarkStart w:id="5279" w:name="_Toc3308827"/>
      <w:bookmarkStart w:id="5280" w:name="_Toc3308828"/>
      <w:bookmarkStart w:id="5281" w:name="_Toc3308829"/>
      <w:bookmarkStart w:id="5282" w:name="_Toc3308830"/>
      <w:bookmarkStart w:id="5283" w:name="_Toc3308831"/>
      <w:bookmarkStart w:id="5284" w:name="_Toc3308832"/>
      <w:bookmarkStart w:id="5285" w:name="_Toc3308833"/>
      <w:bookmarkStart w:id="5286" w:name="_Toc3308834"/>
      <w:bookmarkStart w:id="5287" w:name="_Toc3308835"/>
      <w:bookmarkStart w:id="5288" w:name="_Toc3308836"/>
      <w:bookmarkStart w:id="5289" w:name="_Toc3308837"/>
      <w:bookmarkStart w:id="5290" w:name="_Toc3308838"/>
      <w:bookmarkStart w:id="5291" w:name="_Toc3308839"/>
      <w:bookmarkStart w:id="5292" w:name="_Toc3308840"/>
      <w:bookmarkStart w:id="5293" w:name="_Toc3308841"/>
      <w:bookmarkStart w:id="5294" w:name="_Toc3308842"/>
      <w:bookmarkStart w:id="5295" w:name="_Toc3308843"/>
      <w:bookmarkStart w:id="5296" w:name="_Toc3308844"/>
      <w:bookmarkStart w:id="5297" w:name="_Toc3308845"/>
      <w:bookmarkStart w:id="5298" w:name="_Toc3308846"/>
      <w:bookmarkStart w:id="5299" w:name="_Toc3308847"/>
      <w:bookmarkStart w:id="5300" w:name="_Toc3308848"/>
      <w:bookmarkStart w:id="5301" w:name="_Toc3308849"/>
      <w:bookmarkStart w:id="5302" w:name="_Toc3308850"/>
      <w:bookmarkStart w:id="5303" w:name="_Toc3308851"/>
      <w:bookmarkStart w:id="5304" w:name="_Toc3308852"/>
      <w:bookmarkStart w:id="5305" w:name="_Toc3308853"/>
      <w:bookmarkStart w:id="5306" w:name="_Toc3308854"/>
      <w:bookmarkStart w:id="5307" w:name="_Toc3308855"/>
      <w:bookmarkStart w:id="5308" w:name="_Toc3308856"/>
      <w:bookmarkStart w:id="5309" w:name="_Toc3308857"/>
      <w:bookmarkStart w:id="5310" w:name="_Toc3308858"/>
      <w:bookmarkStart w:id="5311" w:name="_Toc3308859"/>
      <w:bookmarkStart w:id="5312" w:name="_Toc3308860"/>
      <w:bookmarkStart w:id="5313" w:name="_Toc3308861"/>
      <w:bookmarkStart w:id="5314" w:name="_Toc3308862"/>
      <w:bookmarkStart w:id="5315" w:name="_Toc3308863"/>
      <w:bookmarkStart w:id="5316" w:name="_Toc3308864"/>
      <w:bookmarkStart w:id="5317" w:name="_Toc3308865"/>
      <w:bookmarkStart w:id="5318" w:name="_Toc3308866"/>
      <w:bookmarkStart w:id="5319" w:name="_Toc3308867"/>
      <w:bookmarkStart w:id="5320" w:name="_Toc3308868"/>
      <w:bookmarkStart w:id="5321" w:name="_Toc3308869"/>
      <w:bookmarkStart w:id="5322" w:name="_Toc3308870"/>
      <w:bookmarkStart w:id="5323" w:name="_Toc3308871"/>
      <w:bookmarkStart w:id="5324" w:name="_Toc3308872"/>
      <w:bookmarkStart w:id="5325" w:name="_Toc3308873"/>
      <w:bookmarkStart w:id="5326" w:name="_Toc3308874"/>
      <w:bookmarkStart w:id="5327" w:name="_Toc3308875"/>
      <w:bookmarkStart w:id="5328" w:name="_Toc3308876"/>
      <w:bookmarkStart w:id="5329" w:name="_Toc3308877"/>
      <w:bookmarkStart w:id="5330" w:name="_Toc3308878"/>
      <w:bookmarkStart w:id="5331" w:name="_Toc3308879"/>
      <w:bookmarkStart w:id="5332" w:name="_Toc3308880"/>
      <w:bookmarkStart w:id="5333" w:name="_Toc3308881"/>
      <w:bookmarkStart w:id="5334" w:name="_Toc179276352"/>
      <w:bookmarkStart w:id="5335" w:name="_Toc451764693"/>
      <w:bookmarkStart w:id="5336" w:name="_Toc451778425"/>
      <w:bookmarkStart w:id="5337" w:name="_Toc486839569"/>
      <w:bookmarkStart w:id="5338" w:name="_Toc84256567"/>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r w:rsidRPr="008A60A3">
        <w:rPr>
          <w:rFonts w:asciiTheme="minorHAnsi" w:hAnsiTheme="minorHAnsi" w:cstheme="minorHAnsi"/>
        </w:rPr>
        <w:lastRenderedPageBreak/>
        <w:t xml:space="preserve">Chapter </w:t>
      </w:r>
      <w:r w:rsidR="00622D21">
        <w:rPr>
          <w:rFonts w:asciiTheme="minorHAnsi" w:hAnsiTheme="minorHAnsi" w:cstheme="minorHAnsi"/>
        </w:rPr>
        <w:t>3</w:t>
      </w:r>
      <w:r w:rsidRPr="008A60A3">
        <w:rPr>
          <w:rFonts w:asciiTheme="minorHAnsi" w:hAnsiTheme="minorHAnsi" w:cstheme="minorHAnsi"/>
        </w:rPr>
        <w:t>: Site-Specific Cancer</w:t>
      </w:r>
      <w:bookmarkEnd w:id="5334"/>
    </w:p>
    <w:p w14:paraId="517BC4B6" w14:textId="0221785B" w:rsidR="004612AA" w:rsidRDefault="004612AA" w:rsidP="00E01C9E">
      <w:pPr>
        <w:pStyle w:val="Heading2"/>
      </w:pPr>
      <w:r>
        <w:t>Incidence</w:t>
      </w:r>
    </w:p>
    <w:p w14:paraId="0029ACB7" w14:textId="7992247F" w:rsidR="00452C6E" w:rsidRPr="004913A2" w:rsidRDefault="00452C6E" w:rsidP="00452C6E">
      <w:pPr>
        <w:pStyle w:val="Caption"/>
        <w:spacing w:after="120" w:line="240" w:lineRule="auto"/>
        <w:jc w:val="center"/>
        <w:rPr>
          <w:rFonts w:asciiTheme="minorHAnsi" w:hAnsiTheme="minorHAnsi"/>
          <w:b/>
          <w:sz w:val="22"/>
        </w:rPr>
      </w:pPr>
      <w:r>
        <w:rPr>
          <w:rFonts w:asciiTheme="minorHAnsi" w:hAnsiTheme="minorHAnsi"/>
          <w:b/>
          <w:sz w:val="22"/>
        </w:rPr>
        <w:t>Figure</w:t>
      </w:r>
      <w:r w:rsidRPr="00FE5B9C">
        <w:rPr>
          <w:rFonts w:asciiTheme="minorHAnsi" w:hAnsiTheme="minorHAnsi"/>
          <w:b/>
          <w:sz w:val="22"/>
        </w:rPr>
        <w:t xml:space="preserve"> </w:t>
      </w:r>
      <w:r w:rsidR="00104DEB">
        <w:rPr>
          <w:rFonts w:asciiTheme="minorHAnsi" w:hAnsiTheme="minorHAnsi"/>
          <w:b/>
          <w:sz w:val="22"/>
        </w:rPr>
        <w:t>3</w:t>
      </w:r>
      <w:r w:rsidRPr="00FE5B9C">
        <w:rPr>
          <w:rFonts w:asciiTheme="minorHAnsi" w:hAnsiTheme="minorHAnsi"/>
          <w:b/>
          <w:sz w:val="22"/>
        </w:rPr>
        <w:noBreakHyphen/>
      </w:r>
      <w:r w:rsidRPr="00FE5B9C">
        <w:rPr>
          <w:rFonts w:asciiTheme="minorHAnsi" w:hAnsiTheme="minorHAnsi"/>
          <w:b/>
          <w:sz w:val="22"/>
        </w:rPr>
        <w:fldChar w:fldCharType="begin"/>
      </w:r>
      <w:r w:rsidRPr="00FE5B9C">
        <w:rPr>
          <w:rFonts w:asciiTheme="minorHAnsi" w:hAnsiTheme="minorHAnsi"/>
          <w:b/>
          <w:sz w:val="22"/>
        </w:rPr>
        <w:instrText xml:space="preserve"> SEQ Table \* ARABIC \s 1 </w:instrText>
      </w:r>
      <w:r w:rsidRPr="00FE5B9C">
        <w:rPr>
          <w:rFonts w:asciiTheme="minorHAnsi" w:hAnsiTheme="minorHAnsi"/>
          <w:b/>
          <w:sz w:val="22"/>
        </w:rPr>
        <w:fldChar w:fldCharType="separate"/>
      </w:r>
      <w:r w:rsidR="006C24CC">
        <w:rPr>
          <w:rFonts w:asciiTheme="minorHAnsi" w:hAnsiTheme="minorHAnsi"/>
          <w:b/>
          <w:noProof/>
          <w:sz w:val="22"/>
        </w:rPr>
        <w:t>1</w:t>
      </w:r>
      <w:r w:rsidRPr="00FE5B9C">
        <w:rPr>
          <w:rFonts w:asciiTheme="minorHAnsi" w:hAnsiTheme="minorHAnsi"/>
          <w:b/>
          <w:sz w:val="22"/>
        </w:rPr>
        <w:fldChar w:fldCharType="end"/>
      </w:r>
      <w:r w:rsidRPr="00FE5B9C">
        <w:rPr>
          <w:rFonts w:asciiTheme="minorHAnsi" w:hAnsiTheme="minorHAnsi"/>
          <w:b/>
          <w:sz w:val="22"/>
        </w:rPr>
        <w:t xml:space="preserve">: </w:t>
      </w:r>
      <w:r>
        <w:rPr>
          <w:rFonts w:asciiTheme="minorHAnsi" w:hAnsiTheme="minorHAnsi"/>
          <w:b/>
          <w:sz w:val="22"/>
        </w:rPr>
        <w:t>Percent distribution of cancer cases by cancer site,</w:t>
      </w:r>
      <w:r w:rsidRPr="00FE5B9C">
        <w:rPr>
          <w:rFonts w:asciiTheme="minorHAnsi" w:hAnsiTheme="minorHAnsi"/>
          <w:b/>
          <w:sz w:val="22"/>
        </w:rPr>
        <w:t xml:space="preserve"> Delaware, 201</w:t>
      </w:r>
      <w:r w:rsidR="00730B17">
        <w:rPr>
          <w:rFonts w:asciiTheme="minorHAnsi" w:hAnsiTheme="minorHAnsi"/>
          <w:b/>
          <w:sz w:val="22"/>
        </w:rPr>
        <w:t>7</w:t>
      </w:r>
      <w:r w:rsidRPr="00FE5B9C">
        <w:rPr>
          <w:rFonts w:asciiTheme="minorHAnsi" w:hAnsiTheme="minorHAnsi"/>
          <w:b/>
          <w:sz w:val="22"/>
        </w:rPr>
        <w:t>-20</w:t>
      </w:r>
      <w:r w:rsidR="0013467E">
        <w:rPr>
          <w:rFonts w:asciiTheme="minorHAnsi" w:hAnsiTheme="minorHAnsi"/>
          <w:b/>
          <w:sz w:val="22"/>
        </w:rPr>
        <w:t>2</w:t>
      </w:r>
      <w:r w:rsidR="00730B17">
        <w:rPr>
          <w:rFonts w:asciiTheme="minorHAnsi" w:hAnsiTheme="minorHAnsi"/>
          <w:b/>
          <w:sz w:val="22"/>
        </w:rPr>
        <w:t>1</w:t>
      </w:r>
    </w:p>
    <w:p w14:paraId="3FF5F5A1" w14:textId="3A5F663A" w:rsidR="00110D06" w:rsidRDefault="00D420F0" w:rsidP="00452C6E">
      <w:pPr>
        <w:pStyle w:val="Caption"/>
        <w:spacing w:after="0" w:line="240" w:lineRule="auto"/>
        <w:jc w:val="center"/>
        <w:rPr>
          <w:rFonts w:asciiTheme="minorHAnsi" w:hAnsiTheme="minorHAnsi"/>
          <w:b/>
          <w:sz w:val="22"/>
        </w:rPr>
      </w:pPr>
      <w:r>
        <w:rPr>
          <w:rFonts w:asciiTheme="minorHAnsi" w:hAnsiTheme="minorHAnsi"/>
          <w:b/>
          <w:noProof/>
          <w:sz w:val="22"/>
        </w:rPr>
        <w:drawing>
          <wp:inline distT="0" distB="0" distL="0" distR="0" wp14:anchorId="559CE769" wp14:editId="4CE98724">
            <wp:extent cx="6107430" cy="4433721"/>
            <wp:effectExtent l="0" t="0" r="7620" b="5080"/>
            <wp:docPr id="1254968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15974" cy="4439923"/>
                    </a:xfrm>
                    <a:prstGeom prst="rect">
                      <a:avLst/>
                    </a:prstGeom>
                    <a:noFill/>
                  </pic:spPr>
                </pic:pic>
              </a:graphicData>
            </a:graphic>
          </wp:inline>
        </w:drawing>
      </w:r>
    </w:p>
    <w:p w14:paraId="7A7EBBDD" w14:textId="1613AE1B" w:rsidR="00452C6E" w:rsidRPr="00C77E69" w:rsidRDefault="00452C6E" w:rsidP="006D51FB">
      <w:pPr>
        <w:spacing w:after="0" w:line="240" w:lineRule="auto"/>
        <w:ind w:firstLine="720"/>
        <w:jc w:val="both"/>
        <w:rPr>
          <w:rFonts w:asciiTheme="minorHAnsi" w:hAnsiTheme="minorHAnsi"/>
          <w:i/>
          <w:sz w:val="16"/>
          <w:szCs w:val="16"/>
        </w:rPr>
      </w:pPr>
      <w:r w:rsidRPr="00C77E69">
        <w:rPr>
          <w:rFonts w:asciiTheme="minorHAnsi" w:hAnsiTheme="minorHAnsi"/>
          <w:i/>
          <w:sz w:val="16"/>
          <w:szCs w:val="16"/>
        </w:rPr>
        <w:t>Source: Delaware Department of Social Services, Division of Public Health, Delaware Cancer Registry, 202</w:t>
      </w:r>
      <w:r w:rsidR="00F067C7">
        <w:rPr>
          <w:rFonts w:asciiTheme="minorHAnsi" w:hAnsiTheme="minorHAnsi"/>
          <w:i/>
          <w:sz w:val="16"/>
          <w:szCs w:val="16"/>
        </w:rPr>
        <w:t>4</w:t>
      </w:r>
    </w:p>
    <w:p w14:paraId="6B597395" w14:textId="4650C2A0" w:rsidR="00203B79" w:rsidRDefault="00203B79" w:rsidP="004913A2">
      <w:pPr>
        <w:pStyle w:val="Caption"/>
        <w:spacing w:after="120" w:line="240" w:lineRule="auto"/>
        <w:jc w:val="center"/>
        <w:rPr>
          <w:rFonts w:asciiTheme="minorHAnsi" w:hAnsiTheme="minorHAnsi"/>
          <w:b/>
          <w:sz w:val="22"/>
        </w:rPr>
      </w:pPr>
    </w:p>
    <w:p w14:paraId="14F6ED98" w14:textId="0D6FC117" w:rsidR="009B1D88" w:rsidRDefault="00862A83" w:rsidP="00B21C83">
      <w:pPr>
        <w:pStyle w:val="ListParagraph"/>
        <w:numPr>
          <w:ilvl w:val="0"/>
          <w:numId w:val="7"/>
        </w:numPr>
        <w:spacing w:after="120" w:line="240" w:lineRule="auto"/>
        <w:ind w:left="360"/>
        <w:contextualSpacing w:val="0"/>
        <w:rPr>
          <w:rFonts w:asciiTheme="minorHAnsi" w:hAnsiTheme="minorHAnsi"/>
        </w:rPr>
      </w:pPr>
      <w:r w:rsidRPr="001916B4">
        <w:rPr>
          <w:rFonts w:asciiTheme="minorHAnsi" w:hAnsiTheme="minorHAnsi"/>
        </w:rPr>
        <w:t>In 201</w:t>
      </w:r>
      <w:r w:rsidR="00A3381B">
        <w:rPr>
          <w:rFonts w:asciiTheme="minorHAnsi" w:hAnsiTheme="minorHAnsi"/>
        </w:rPr>
        <w:t>7</w:t>
      </w:r>
      <w:r w:rsidRPr="001916B4">
        <w:rPr>
          <w:rFonts w:asciiTheme="minorHAnsi" w:hAnsiTheme="minorHAnsi"/>
        </w:rPr>
        <w:t>-20</w:t>
      </w:r>
      <w:r w:rsidR="00693DCC">
        <w:rPr>
          <w:rFonts w:asciiTheme="minorHAnsi" w:hAnsiTheme="minorHAnsi"/>
        </w:rPr>
        <w:t>2</w:t>
      </w:r>
      <w:r w:rsidR="00A3381B">
        <w:rPr>
          <w:rFonts w:asciiTheme="minorHAnsi" w:hAnsiTheme="minorHAnsi"/>
        </w:rPr>
        <w:t>1</w:t>
      </w:r>
      <w:r w:rsidR="002B2387" w:rsidRPr="001916B4">
        <w:rPr>
          <w:rFonts w:asciiTheme="minorHAnsi" w:hAnsiTheme="minorHAnsi"/>
        </w:rPr>
        <w:t xml:space="preserve"> in Delaware</w:t>
      </w:r>
      <w:r w:rsidR="007D74D6">
        <w:rPr>
          <w:rFonts w:asciiTheme="minorHAnsi" w:hAnsiTheme="minorHAnsi"/>
        </w:rPr>
        <w:t>:</w:t>
      </w:r>
    </w:p>
    <w:p w14:paraId="5C322A92" w14:textId="0EEB6ED1" w:rsidR="00372740" w:rsidRPr="009B1D88" w:rsidRDefault="00372740" w:rsidP="00B21C83">
      <w:pPr>
        <w:pStyle w:val="ListParagraph"/>
        <w:numPr>
          <w:ilvl w:val="0"/>
          <w:numId w:val="28"/>
        </w:numPr>
        <w:spacing w:after="120" w:line="240" w:lineRule="auto"/>
        <w:contextualSpacing w:val="0"/>
        <w:rPr>
          <w:rFonts w:asciiTheme="minorHAnsi" w:hAnsiTheme="minorHAnsi"/>
        </w:rPr>
      </w:pPr>
      <w:r w:rsidRPr="009B1D88">
        <w:rPr>
          <w:rFonts w:asciiTheme="minorHAnsi" w:hAnsiTheme="minorHAnsi"/>
        </w:rPr>
        <w:t xml:space="preserve">There were </w:t>
      </w:r>
      <w:r w:rsidR="00CF53E8">
        <w:rPr>
          <w:rFonts w:asciiTheme="minorHAnsi" w:hAnsiTheme="minorHAnsi"/>
        </w:rPr>
        <w:t>30,849</w:t>
      </w:r>
      <w:r w:rsidRPr="009B1D88">
        <w:rPr>
          <w:rFonts w:asciiTheme="minorHAnsi" w:hAnsiTheme="minorHAnsi"/>
        </w:rPr>
        <w:t xml:space="preserve"> new all-site cancer cases diagnosed</w:t>
      </w:r>
      <w:r w:rsidR="00484B95">
        <w:rPr>
          <w:rFonts w:asciiTheme="minorHAnsi" w:hAnsiTheme="minorHAnsi"/>
        </w:rPr>
        <w:t>,</w:t>
      </w:r>
      <w:r w:rsidRPr="009B1D88">
        <w:rPr>
          <w:rFonts w:asciiTheme="minorHAnsi" w:hAnsiTheme="minorHAnsi"/>
        </w:rPr>
        <w:t xml:space="preserve"> an average of </w:t>
      </w:r>
      <w:r w:rsidR="007C5B3E">
        <w:rPr>
          <w:rFonts w:asciiTheme="minorHAnsi" w:hAnsiTheme="minorHAnsi"/>
        </w:rPr>
        <w:t>6,</w:t>
      </w:r>
      <w:r w:rsidR="00287B2C">
        <w:rPr>
          <w:rFonts w:asciiTheme="minorHAnsi" w:hAnsiTheme="minorHAnsi"/>
        </w:rPr>
        <w:t>1</w:t>
      </w:r>
      <w:r w:rsidR="00954941">
        <w:rPr>
          <w:rFonts w:asciiTheme="minorHAnsi" w:hAnsiTheme="minorHAnsi"/>
        </w:rPr>
        <w:t>69</w:t>
      </w:r>
      <w:r w:rsidR="00287B2C">
        <w:rPr>
          <w:rFonts w:asciiTheme="minorHAnsi" w:hAnsiTheme="minorHAnsi"/>
        </w:rPr>
        <w:t xml:space="preserve"> p</w:t>
      </w:r>
      <w:r w:rsidRPr="009B1D88">
        <w:rPr>
          <w:rFonts w:asciiTheme="minorHAnsi" w:hAnsiTheme="minorHAnsi"/>
        </w:rPr>
        <w:t>er year.</w:t>
      </w:r>
    </w:p>
    <w:p w14:paraId="35F05A24" w14:textId="599A43B8" w:rsidR="00862A83" w:rsidRDefault="00862A83" w:rsidP="00B21C83">
      <w:pPr>
        <w:pStyle w:val="ListParagraph"/>
        <w:numPr>
          <w:ilvl w:val="0"/>
          <w:numId w:val="28"/>
        </w:numPr>
        <w:spacing w:after="120" w:line="240" w:lineRule="auto"/>
        <w:contextualSpacing w:val="0"/>
        <w:rPr>
          <w:rFonts w:asciiTheme="minorHAnsi" w:hAnsiTheme="minorHAnsi"/>
        </w:rPr>
      </w:pPr>
      <w:r>
        <w:rPr>
          <w:rFonts w:asciiTheme="minorHAnsi" w:hAnsiTheme="minorHAnsi"/>
        </w:rPr>
        <w:t>Female breast cancer accounted for 1</w:t>
      </w:r>
      <w:r w:rsidR="00E12FF0">
        <w:rPr>
          <w:rFonts w:asciiTheme="minorHAnsi" w:hAnsiTheme="minorHAnsi"/>
        </w:rPr>
        <w:t>7</w:t>
      </w:r>
      <w:r>
        <w:rPr>
          <w:rFonts w:asciiTheme="minorHAnsi" w:hAnsiTheme="minorHAnsi"/>
        </w:rPr>
        <w:t>% of all new cancer cases.</w:t>
      </w:r>
    </w:p>
    <w:p w14:paraId="5B370395" w14:textId="37FA4E21" w:rsidR="009123B9" w:rsidRPr="009123B9" w:rsidRDefault="009123B9" w:rsidP="00B21C83">
      <w:pPr>
        <w:pStyle w:val="ListParagraph"/>
        <w:numPr>
          <w:ilvl w:val="0"/>
          <w:numId w:val="28"/>
        </w:numPr>
        <w:spacing w:after="120" w:line="240" w:lineRule="auto"/>
        <w:contextualSpacing w:val="0"/>
        <w:rPr>
          <w:rFonts w:asciiTheme="minorHAnsi" w:hAnsiTheme="minorHAnsi"/>
        </w:rPr>
      </w:pPr>
      <w:r>
        <w:rPr>
          <w:rFonts w:asciiTheme="minorHAnsi" w:hAnsiTheme="minorHAnsi"/>
        </w:rPr>
        <w:t>Lung and bronchus cancer accounted for 1</w:t>
      </w:r>
      <w:r w:rsidR="00E12FF0">
        <w:rPr>
          <w:rFonts w:asciiTheme="minorHAnsi" w:hAnsiTheme="minorHAnsi"/>
        </w:rPr>
        <w:t>4</w:t>
      </w:r>
      <w:r>
        <w:rPr>
          <w:rFonts w:asciiTheme="minorHAnsi" w:hAnsiTheme="minorHAnsi"/>
        </w:rPr>
        <w:t>% of all new cancer cases.</w:t>
      </w:r>
    </w:p>
    <w:p w14:paraId="67891A61" w14:textId="042507BD" w:rsidR="00862A83" w:rsidRDefault="00862A83" w:rsidP="00B21C83">
      <w:pPr>
        <w:pStyle w:val="ListParagraph"/>
        <w:numPr>
          <w:ilvl w:val="0"/>
          <w:numId w:val="28"/>
        </w:numPr>
        <w:spacing w:after="120" w:line="240" w:lineRule="auto"/>
        <w:contextualSpacing w:val="0"/>
        <w:rPr>
          <w:rFonts w:asciiTheme="minorHAnsi" w:hAnsiTheme="minorHAnsi"/>
        </w:rPr>
      </w:pPr>
      <w:r>
        <w:rPr>
          <w:rFonts w:asciiTheme="minorHAnsi" w:hAnsiTheme="minorHAnsi"/>
        </w:rPr>
        <w:t>Prostate cancer accounted for 1</w:t>
      </w:r>
      <w:r w:rsidR="00E12FF0">
        <w:rPr>
          <w:rFonts w:asciiTheme="minorHAnsi" w:hAnsiTheme="minorHAnsi"/>
        </w:rPr>
        <w:t>6</w:t>
      </w:r>
      <w:r>
        <w:rPr>
          <w:rFonts w:asciiTheme="minorHAnsi" w:hAnsiTheme="minorHAnsi"/>
        </w:rPr>
        <w:t xml:space="preserve">% of all new cancer cases. </w:t>
      </w:r>
    </w:p>
    <w:p w14:paraId="2FE3E152" w14:textId="720BB478" w:rsidR="00862A83" w:rsidRDefault="000C5A0E" w:rsidP="00B21C83">
      <w:pPr>
        <w:pStyle w:val="ListParagraph"/>
        <w:numPr>
          <w:ilvl w:val="0"/>
          <w:numId w:val="28"/>
        </w:numPr>
        <w:spacing w:after="120" w:line="240" w:lineRule="auto"/>
        <w:contextualSpacing w:val="0"/>
        <w:rPr>
          <w:rFonts w:asciiTheme="minorHAnsi" w:hAnsiTheme="minorHAnsi"/>
        </w:rPr>
      </w:pPr>
      <w:r>
        <w:rPr>
          <w:rFonts w:asciiTheme="minorHAnsi" w:hAnsiTheme="minorHAnsi"/>
        </w:rPr>
        <w:t xml:space="preserve">Colon and </w:t>
      </w:r>
      <w:r w:rsidR="002E1873">
        <w:rPr>
          <w:rFonts w:asciiTheme="minorHAnsi" w:hAnsiTheme="minorHAnsi"/>
        </w:rPr>
        <w:t>r</w:t>
      </w:r>
      <w:r>
        <w:rPr>
          <w:rFonts w:asciiTheme="minorHAnsi" w:hAnsiTheme="minorHAnsi"/>
        </w:rPr>
        <w:t>ectum (c</w:t>
      </w:r>
      <w:r w:rsidR="00862A83">
        <w:rPr>
          <w:rFonts w:asciiTheme="minorHAnsi" w:hAnsiTheme="minorHAnsi"/>
        </w:rPr>
        <w:t>olorectal</w:t>
      </w:r>
      <w:r>
        <w:rPr>
          <w:rFonts w:asciiTheme="minorHAnsi" w:hAnsiTheme="minorHAnsi"/>
        </w:rPr>
        <w:t>)</w:t>
      </w:r>
      <w:r w:rsidR="00862A83">
        <w:rPr>
          <w:rFonts w:asciiTheme="minorHAnsi" w:hAnsiTheme="minorHAnsi"/>
        </w:rPr>
        <w:t xml:space="preserve"> cancer accounted for </w:t>
      </w:r>
      <w:r w:rsidR="00E12FF0">
        <w:rPr>
          <w:rFonts w:asciiTheme="minorHAnsi" w:hAnsiTheme="minorHAnsi"/>
        </w:rPr>
        <w:t>8</w:t>
      </w:r>
      <w:r w:rsidR="00862A83">
        <w:rPr>
          <w:rFonts w:asciiTheme="minorHAnsi" w:hAnsiTheme="minorHAnsi"/>
        </w:rPr>
        <w:t>% of all new cancer cases.</w:t>
      </w:r>
    </w:p>
    <w:p w14:paraId="424B16C1" w14:textId="77777777" w:rsidR="003903FA" w:rsidRPr="003903FA" w:rsidRDefault="003903FA" w:rsidP="003903FA">
      <w:pPr>
        <w:spacing w:after="120" w:line="240" w:lineRule="auto"/>
        <w:ind w:left="360"/>
        <w:jc w:val="center"/>
        <w:rPr>
          <w:rFonts w:asciiTheme="minorHAnsi" w:hAnsiTheme="minorHAnsi"/>
          <w:b/>
        </w:rPr>
      </w:pPr>
    </w:p>
    <w:p w14:paraId="109DB289" w14:textId="77777777" w:rsidR="003903FA" w:rsidRPr="003903FA" w:rsidRDefault="003903FA" w:rsidP="003903FA"/>
    <w:p w14:paraId="2AC697D4" w14:textId="77777777" w:rsidR="003903FA" w:rsidRPr="003903FA" w:rsidRDefault="003903FA" w:rsidP="003903FA"/>
    <w:p w14:paraId="738F9723" w14:textId="77777777" w:rsidR="003903FA" w:rsidRPr="003903FA" w:rsidRDefault="003903FA" w:rsidP="003903FA"/>
    <w:p w14:paraId="0B4BD492" w14:textId="77777777" w:rsidR="003903FA" w:rsidRPr="003903FA" w:rsidRDefault="003903FA" w:rsidP="003903FA"/>
    <w:p w14:paraId="48EF7D10" w14:textId="009D344A" w:rsidR="00B75D38" w:rsidRPr="003903FA" w:rsidRDefault="00862A83" w:rsidP="003903FA">
      <w:pPr>
        <w:spacing w:after="120" w:line="240" w:lineRule="auto"/>
        <w:ind w:left="360"/>
        <w:jc w:val="center"/>
        <w:rPr>
          <w:rFonts w:asciiTheme="minorHAnsi" w:hAnsiTheme="minorHAnsi"/>
          <w:b/>
        </w:rPr>
      </w:pPr>
      <w:r w:rsidRPr="003903FA">
        <w:br w:type="page"/>
      </w:r>
      <w:r w:rsidR="006C24CC" w:rsidRPr="003903FA">
        <w:rPr>
          <w:rFonts w:asciiTheme="minorHAnsi" w:hAnsiTheme="minorHAnsi"/>
          <w:b/>
        </w:rPr>
        <w:lastRenderedPageBreak/>
        <w:t>TABLE 3</w:t>
      </w:r>
      <w:r w:rsidR="006C24CC" w:rsidRPr="003903FA">
        <w:rPr>
          <w:rFonts w:asciiTheme="minorHAnsi" w:hAnsiTheme="minorHAnsi"/>
          <w:b/>
        </w:rPr>
        <w:noBreakHyphen/>
        <w:t>1: FIVE-YEAR AVERAGE AGE-ADJUSTED CANCER INCIDENCE*</w:t>
      </w:r>
      <w:r w:rsidR="006C24CC">
        <w:rPr>
          <w:rFonts w:asciiTheme="minorHAnsi" w:hAnsiTheme="minorHAnsi"/>
          <w:b/>
        </w:rPr>
        <w:t xml:space="preserve"> </w:t>
      </w:r>
      <w:r w:rsidR="006C24CC" w:rsidRPr="003903FA">
        <w:rPr>
          <w:rFonts w:asciiTheme="minorHAnsi" w:hAnsiTheme="minorHAnsi"/>
          <w:b/>
        </w:rPr>
        <w:t>RATES BY SEX AND CANCER SITE WITH CONFIDENCE INTERVALS; DELAWARE, 2017-2021</w:t>
      </w:r>
    </w:p>
    <w:p w14:paraId="57F192FC" w14:textId="545123DC" w:rsidR="00B75D38" w:rsidRDefault="005963C3" w:rsidP="00AB7D60">
      <w:pPr>
        <w:tabs>
          <w:tab w:val="left" w:pos="1080"/>
        </w:tabs>
        <w:spacing w:after="0" w:line="240" w:lineRule="auto"/>
        <w:jc w:val="center"/>
      </w:pPr>
      <w:r w:rsidRPr="005963C3">
        <w:rPr>
          <w:noProof/>
        </w:rPr>
        <w:drawing>
          <wp:inline distT="0" distB="0" distL="0" distR="0" wp14:anchorId="2792C632" wp14:editId="12FECED3">
            <wp:extent cx="5349240" cy="7117080"/>
            <wp:effectExtent l="0" t="0" r="3810" b="7620"/>
            <wp:docPr id="16257325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349240" cy="7117080"/>
                    </a:xfrm>
                    <a:prstGeom prst="rect">
                      <a:avLst/>
                    </a:prstGeom>
                    <a:noFill/>
                    <a:ln>
                      <a:noFill/>
                    </a:ln>
                  </pic:spPr>
                </pic:pic>
              </a:graphicData>
            </a:graphic>
          </wp:inline>
        </w:drawing>
      </w:r>
    </w:p>
    <w:p w14:paraId="73A697BC" w14:textId="149F253F" w:rsidR="004F2332" w:rsidRPr="000C5A0E" w:rsidRDefault="0056163E" w:rsidP="000A34CC">
      <w:pPr>
        <w:spacing w:after="0" w:line="240" w:lineRule="auto"/>
        <w:ind w:left="720"/>
        <w:jc w:val="both"/>
        <w:rPr>
          <w:rFonts w:asciiTheme="minorHAnsi" w:hAnsiTheme="minorHAnsi" w:cstheme="minorHAnsi"/>
          <w:i/>
          <w:sz w:val="16"/>
          <w:szCs w:val="16"/>
        </w:rPr>
      </w:pPr>
      <w:r w:rsidRPr="000C5A0E">
        <w:rPr>
          <w:rFonts w:asciiTheme="minorHAnsi" w:hAnsiTheme="minorHAnsi" w:cstheme="minorHAnsi"/>
          <w:i/>
          <w:sz w:val="16"/>
          <w:szCs w:val="16"/>
        </w:rPr>
        <w:t>Source: Delaware Department of Social Services, Division of Public Health, Delaware Cancer Registry, 2024</w:t>
      </w:r>
    </w:p>
    <w:p w14:paraId="14DB6D12" w14:textId="0CDC337F" w:rsidR="004F2332" w:rsidRPr="000C5A0E" w:rsidRDefault="00AB7D60" w:rsidP="007A1884">
      <w:pPr>
        <w:spacing w:after="0" w:line="240" w:lineRule="auto"/>
        <w:ind w:left="720"/>
        <w:rPr>
          <w:rFonts w:asciiTheme="minorHAnsi" w:hAnsiTheme="minorHAnsi" w:cstheme="minorHAnsi"/>
          <w:sz w:val="16"/>
          <w:szCs w:val="16"/>
        </w:rPr>
      </w:pPr>
      <w:r w:rsidRPr="000C5A0E">
        <w:rPr>
          <w:rFonts w:asciiTheme="minorHAnsi" w:hAnsiTheme="minorHAnsi" w:cstheme="minorHAnsi"/>
          <w:sz w:val="16"/>
          <w:szCs w:val="16"/>
        </w:rPr>
        <w:t>Rates are per 100,000 population and are age-adjusted to the 2000 U.S. standard population (19 age groups – Census P25–1130) and are calculated</w:t>
      </w:r>
      <w:r w:rsidR="007A1884">
        <w:rPr>
          <w:rFonts w:asciiTheme="minorHAnsi" w:hAnsiTheme="minorHAnsi" w:cstheme="minorHAnsi"/>
          <w:sz w:val="16"/>
          <w:szCs w:val="16"/>
        </w:rPr>
        <w:t xml:space="preserve"> </w:t>
      </w:r>
      <w:r w:rsidRPr="000C5A0E">
        <w:rPr>
          <w:rFonts w:asciiTheme="minorHAnsi" w:hAnsiTheme="minorHAnsi" w:cstheme="minorHAnsi"/>
          <w:sz w:val="16"/>
          <w:szCs w:val="16"/>
        </w:rPr>
        <w:t>using modified U.S. Census populations available from NCI (</w:t>
      </w:r>
      <w:hyperlink r:id="rId57" w:history="1">
        <w:r w:rsidRPr="000C5A0E">
          <w:rPr>
            <w:rStyle w:val="Hyperlink"/>
            <w:rFonts w:asciiTheme="minorHAnsi" w:hAnsiTheme="minorHAnsi" w:cstheme="minorHAnsi"/>
            <w:sz w:val="16"/>
            <w:szCs w:val="16"/>
          </w:rPr>
          <w:t>https://seer.cancer.gov/popdata/</w:t>
        </w:r>
      </w:hyperlink>
      <w:r w:rsidRPr="000C5A0E">
        <w:rPr>
          <w:rFonts w:asciiTheme="minorHAnsi" w:hAnsiTheme="minorHAnsi" w:cstheme="minorHAnsi"/>
          <w:sz w:val="16"/>
          <w:szCs w:val="16"/>
        </w:rPr>
        <w:t xml:space="preserve">). </w:t>
      </w:r>
    </w:p>
    <w:p w14:paraId="64B480E2" w14:textId="64628269" w:rsidR="008C6BD3" w:rsidRPr="000C5A0E" w:rsidRDefault="002F54D6" w:rsidP="007A1884">
      <w:pPr>
        <w:spacing w:after="0" w:line="240" w:lineRule="auto"/>
        <w:ind w:left="720"/>
        <w:rPr>
          <w:rFonts w:asciiTheme="minorHAnsi" w:hAnsiTheme="minorHAnsi" w:cstheme="minorHAnsi"/>
          <w:sz w:val="16"/>
          <w:szCs w:val="16"/>
        </w:rPr>
      </w:pPr>
      <w:r w:rsidRPr="000C5A0E">
        <w:rPr>
          <w:rFonts w:asciiTheme="minorHAnsi" w:hAnsiTheme="minorHAnsi" w:cstheme="minorHAnsi"/>
          <w:sz w:val="16"/>
          <w:szCs w:val="16"/>
        </w:rPr>
        <w:t>*Statistically significantly</w:t>
      </w:r>
      <w:r w:rsidR="00771F3E" w:rsidRPr="000C5A0E">
        <w:rPr>
          <w:rFonts w:asciiTheme="minorHAnsi" w:hAnsiTheme="minorHAnsi" w:cstheme="minorHAnsi"/>
          <w:sz w:val="16"/>
          <w:szCs w:val="16"/>
        </w:rPr>
        <w:t xml:space="preserve"> different from the reference group “Male”</w:t>
      </w:r>
      <w:r w:rsidRPr="000C5A0E">
        <w:rPr>
          <w:rFonts w:asciiTheme="minorHAnsi" w:hAnsiTheme="minorHAnsi" w:cstheme="minorHAnsi"/>
          <w:sz w:val="16"/>
          <w:szCs w:val="16"/>
        </w:rPr>
        <w:t>.</w:t>
      </w:r>
      <w:r w:rsidR="004F2332" w:rsidRPr="000C5A0E">
        <w:rPr>
          <w:rFonts w:asciiTheme="minorHAnsi" w:hAnsiTheme="minorHAnsi" w:cstheme="minorHAnsi"/>
          <w:sz w:val="16"/>
          <w:szCs w:val="16"/>
        </w:rPr>
        <w:t xml:space="preserve"> </w:t>
      </w:r>
      <w:r w:rsidR="00771F3E" w:rsidRPr="000C5A0E">
        <w:rPr>
          <w:rFonts w:asciiTheme="minorHAnsi" w:hAnsiTheme="minorHAnsi" w:cstheme="minorHAnsi"/>
          <w:sz w:val="16"/>
          <w:szCs w:val="16"/>
        </w:rPr>
        <w:t xml:space="preserve">Rate Ratios with p-values were modeled using SEER*Stat 8.4.3 as confirmatory test. </w:t>
      </w:r>
      <w:r w:rsidR="00A43626" w:rsidRPr="000C5A0E">
        <w:rPr>
          <w:rFonts w:asciiTheme="minorHAnsi" w:hAnsiTheme="minorHAnsi" w:cstheme="minorHAnsi"/>
          <w:sz w:val="16"/>
          <w:szCs w:val="16"/>
        </w:rPr>
        <w:t>“CI” stands for Confidence Interval.</w:t>
      </w:r>
    </w:p>
    <w:p w14:paraId="614B000D" w14:textId="77777777" w:rsidR="00EF6E56" w:rsidRDefault="00EF6E56" w:rsidP="00DD7927">
      <w:pPr>
        <w:spacing w:after="0" w:line="240" w:lineRule="auto"/>
        <w:ind w:left="720"/>
        <w:rPr>
          <w:rFonts w:asciiTheme="minorHAnsi" w:hAnsiTheme="minorHAnsi" w:cstheme="minorHAnsi"/>
          <w:sz w:val="16"/>
          <w:szCs w:val="16"/>
        </w:rPr>
      </w:pPr>
    </w:p>
    <w:p w14:paraId="6836F93F" w14:textId="77777777" w:rsidR="00EF6E56" w:rsidRDefault="00EF6E56" w:rsidP="00DD7927">
      <w:pPr>
        <w:spacing w:after="0" w:line="240" w:lineRule="auto"/>
        <w:ind w:left="720"/>
        <w:rPr>
          <w:rFonts w:asciiTheme="minorHAnsi" w:hAnsiTheme="minorHAnsi" w:cstheme="minorHAnsi"/>
          <w:sz w:val="16"/>
          <w:szCs w:val="16"/>
        </w:rPr>
      </w:pPr>
    </w:p>
    <w:p w14:paraId="70C8EE60" w14:textId="061533F2" w:rsidR="006C24CC" w:rsidRDefault="006C24CC">
      <w:pPr>
        <w:rPr>
          <w:rFonts w:asciiTheme="minorHAnsi" w:hAnsiTheme="minorHAnsi" w:cstheme="minorHAnsi"/>
          <w:sz w:val="16"/>
          <w:szCs w:val="16"/>
        </w:rPr>
      </w:pPr>
      <w:r>
        <w:rPr>
          <w:rFonts w:asciiTheme="minorHAnsi" w:hAnsiTheme="minorHAnsi" w:cstheme="minorHAnsi"/>
          <w:sz w:val="16"/>
          <w:szCs w:val="16"/>
        </w:rPr>
        <w:br w:type="page"/>
      </w:r>
    </w:p>
    <w:p w14:paraId="7676849B" w14:textId="77777777" w:rsidR="008B41F0" w:rsidRDefault="008B41F0" w:rsidP="00DD7927">
      <w:pPr>
        <w:spacing w:after="0" w:line="240" w:lineRule="auto"/>
        <w:ind w:left="720"/>
        <w:rPr>
          <w:rFonts w:asciiTheme="minorHAnsi" w:hAnsiTheme="minorHAnsi" w:cstheme="minorHAnsi"/>
          <w:sz w:val="16"/>
          <w:szCs w:val="16"/>
        </w:rPr>
      </w:pPr>
    </w:p>
    <w:p w14:paraId="25B02121" w14:textId="3B9097FE" w:rsidR="0051757E" w:rsidRPr="006C24CC" w:rsidRDefault="006C24CC" w:rsidP="006C24CC">
      <w:pPr>
        <w:pStyle w:val="StyleNew1"/>
        <w:spacing w:before="0"/>
        <w:rPr>
          <w:rFonts w:asciiTheme="minorHAnsi" w:hAnsiTheme="minorHAnsi"/>
        </w:rPr>
      </w:pPr>
      <w:r>
        <w:rPr>
          <w:rFonts w:asciiTheme="minorHAnsi" w:hAnsiTheme="minorHAnsi"/>
        </w:rPr>
        <w:t>Statistical Differences - Sex</w:t>
      </w:r>
    </w:p>
    <w:p w14:paraId="72196A48" w14:textId="77777777" w:rsidR="00EF6E56" w:rsidRPr="00DD7927" w:rsidRDefault="00EF6E56" w:rsidP="00DD7927">
      <w:pPr>
        <w:spacing w:after="0" w:line="240" w:lineRule="auto"/>
        <w:ind w:left="720"/>
        <w:rPr>
          <w:rFonts w:asciiTheme="minorHAnsi" w:hAnsiTheme="minorHAnsi" w:cstheme="minorHAnsi"/>
          <w:sz w:val="16"/>
          <w:szCs w:val="16"/>
        </w:rPr>
      </w:pPr>
    </w:p>
    <w:p w14:paraId="11C9437E" w14:textId="38649D75" w:rsidR="0017045E" w:rsidRPr="007B2387" w:rsidRDefault="0017045E" w:rsidP="00B21C83">
      <w:pPr>
        <w:pStyle w:val="ListParagraph"/>
        <w:numPr>
          <w:ilvl w:val="0"/>
          <w:numId w:val="23"/>
        </w:numPr>
        <w:spacing w:after="120" w:line="240" w:lineRule="auto"/>
        <w:ind w:left="360"/>
        <w:contextualSpacing w:val="0"/>
        <w:rPr>
          <w:rFonts w:asciiTheme="minorHAnsi" w:hAnsiTheme="minorHAnsi"/>
        </w:rPr>
      </w:pPr>
      <w:r w:rsidRPr="007B2387">
        <w:rPr>
          <w:rFonts w:asciiTheme="minorHAnsi" w:hAnsiTheme="minorHAnsi"/>
        </w:rPr>
        <w:t>Comparing</w:t>
      </w:r>
      <w:r w:rsidR="00913BFD">
        <w:rPr>
          <w:rFonts w:asciiTheme="minorHAnsi" w:hAnsiTheme="minorHAnsi"/>
        </w:rPr>
        <w:t xml:space="preserve"> Delaware females to Delaware males </w:t>
      </w:r>
      <w:r w:rsidRPr="007B2387">
        <w:rPr>
          <w:rFonts w:asciiTheme="minorHAnsi" w:hAnsiTheme="minorHAnsi"/>
        </w:rPr>
        <w:t>from 201</w:t>
      </w:r>
      <w:r w:rsidR="00636643">
        <w:rPr>
          <w:rFonts w:asciiTheme="minorHAnsi" w:hAnsiTheme="minorHAnsi"/>
        </w:rPr>
        <w:t>7</w:t>
      </w:r>
      <w:r w:rsidR="005001C8">
        <w:rPr>
          <w:rFonts w:asciiTheme="minorHAnsi" w:hAnsiTheme="minorHAnsi"/>
        </w:rPr>
        <w:t xml:space="preserve"> to </w:t>
      </w:r>
      <w:r w:rsidRPr="007B2387">
        <w:rPr>
          <w:rFonts w:asciiTheme="minorHAnsi" w:hAnsiTheme="minorHAnsi"/>
        </w:rPr>
        <w:t>20</w:t>
      </w:r>
      <w:r w:rsidR="007A49DA" w:rsidRPr="007B2387">
        <w:rPr>
          <w:rFonts w:asciiTheme="minorHAnsi" w:hAnsiTheme="minorHAnsi"/>
        </w:rPr>
        <w:t>2</w:t>
      </w:r>
      <w:r w:rsidR="00636643">
        <w:rPr>
          <w:rFonts w:asciiTheme="minorHAnsi" w:hAnsiTheme="minorHAnsi"/>
        </w:rPr>
        <w:t>1</w:t>
      </w:r>
      <w:r w:rsidR="00E24F2C">
        <w:rPr>
          <w:rFonts w:asciiTheme="minorHAnsi" w:hAnsiTheme="minorHAnsi"/>
        </w:rPr>
        <w:t xml:space="preserve"> in Table 3-1</w:t>
      </w:r>
      <w:r w:rsidRPr="007B2387">
        <w:rPr>
          <w:rFonts w:asciiTheme="minorHAnsi" w:hAnsiTheme="minorHAnsi"/>
        </w:rPr>
        <w:t>:</w:t>
      </w:r>
    </w:p>
    <w:p w14:paraId="4E504F6F" w14:textId="79D9FDBA" w:rsidR="00CC66B3" w:rsidRDefault="00DC1CB8" w:rsidP="00DC1CB8">
      <w:pPr>
        <w:pStyle w:val="ListParagraph"/>
        <w:numPr>
          <w:ilvl w:val="0"/>
          <w:numId w:val="41"/>
        </w:numPr>
        <w:spacing w:after="120" w:line="240" w:lineRule="auto"/>
        <w:contextualSpacing w:val="0"/>
        <w:rPr>
          <w:rFonts w:asciiTheme="minorHAnsi" w:hAnsiTheme="minorHAnsi"/>
        </w:rPr>
      </w:pPr>
      <w:r>
        <w:rPr>
          <w:rFonts w:asciiTheme="minorHAnsi" w:hAnsiTheme="minorHAnsi"/>
        </w:rPr>
        <w:t xml:space="preserve">The </w:t>
      </w:r>
      <w:r w:rsidRPr="002B6AB2">
        <w:rPr>
          <w:rFonts w:asciiTheme="minorHAnsi" w:hAnsiTheme="minorHAnsi"/>
        </w:rPr>
        <w:t xml:space="preserve">age-adjusted </w:t>
      </w:r>
      <w:r w:rsidR="00B05664">
        <w:rPr>
          <w:rFonts w:asciiTheme="minorHAnsi" w:hAnsiTheme="minorHAnsi"/>
        </w:rPr>
        <w:t xml:space="preserve">cancer </w:t>
      </w:r>
      <w:r w:rsidRPr="002B6AB2">
        <w:rPr>
          <w:rFonts w:asciiTheme="minorHAnsi" w:hAnsiTheme="minorHAnsi"/>
        </w:rPr>
        <w:t>incidence rate for</w:t>
      </w:r>
      <w:r>
        <w:rPr>
          <w:rFonts w:asciiTheme="minorHAnsi" w:hAnsiTheme="minorHAnsi"/>
        </w:rPr>
        <w:t xml:space="preserve"> thyroid cancer among </w:t>
      </w:r>
      <w:r w:rsidRPr="002B6AB2">
        <w:rPr>
          <w:rFonts w:asciiTheme="minorHAnsi" w:hAnsiTheme="minorHAnsi"/>
        </w:rPr>
        <w:t xml:space="preserve">Delaware </w:t>
      </w:r>
      <w:r>
        <w:rPr>
          <w:rFonts w:asciiTheme="minorHAnsi" w:hAnsiTheme="minorHAnsi"/>
        </w:rPr>
        <w:t>females</w:t>
      </w:r>
      <w:r w:rsidRPr="002B6AB2">
        <w:rPr>
          <w:rFonts w:asciiTheme="minorHAnsi" w:hAnsiTheme="minorHAnsi"/>
        </w:rPr>
        <w:t xml:space="preserve"> (</w:t>
      </w:r>
      <w:r>
        <w:rPr>
          <w:rFonts w:asciiTheme="minorHAnsi" w:hAnsiTheme="minorHAnsi"/>
        </w:rPr>
        <w:t>22.8</w:t>
      </w:r>
      <w:r w:rsidRPr="002B6AB2">
        <w:rPr>
          <w:rFonts w:asciiTheme="minorHAnsi" w:hAnsiTheme="minorHAnsi"/>
        </w:rPr>
        <w:t xml:space="preserve"> cases per 100,000 population) was </w:t>
      </w:r>
      <w:r w:rsidR="00B24206">
        <w:rPr>
          <w:rFonts w:asciiTheme="minorHAnsi" w:hAnsiTheme="minorHAnsi"/>
        </w:rPr>
        <w:t xml:space="preserve">statistically </w:t>
      </w:r>
      <w:r w:rsidRPr="002B6AB2">
        <w:rPr>
          <w:rFonts w:asciiTheme="minorHAnsi" w:hAnsiTheme="minorHAnsi"/>
        </w:rPr>
        <w:t>significantly</w:t>
      </w:r>
      <w:r w:rsidRPr="006D51FB">
        <w:rPr>
          <w:rFonts w:asciiTheme="minorHAnsi" w:hAnsiTheme="minorHAnsi"/>
        </w:rPr>
        <w:t xml:space="preserve"> </w:t>
      </w:r>
      <w:r w:rsidRPr="002F7BCC">
        <w:rPr>
          <w:rFonts w:asciiTheme="minorHAnsi" w:hAnsiTheme="minorHAnsi"/>
          <w:u w:val="single"/>
        </w:rPr>
        <w:t>higher</w:t>
      </w:r>
      <w:r w:rsidRPr="002B6AB2">
        <w:rPr>
          <w:rFonts w:asciiTheme="minorHAnsi" w:hAnsiTheme="minorHAnsi"/>
        </w:rPr>
        <w:t xml:space="preserve"> compared to </w:t>
      </w:r>
      <w:r>
        <w:rPr>
          <w:rFonts w:asciiTheme="minorHAnsi" w:hAnsiTheme="minorHAnsi"/>
        </w:rPr>
        <w:t>Delaware</w:t>
      </w:r>
      <w:r w:rsidRPr="002B6AB2">
        <w:rPr>
          <w:rFonts w:asciiTheme="minorHAnsi" w:hAnsiTheme="minorHAnsi"/>
        </w:rPr>
        <w:t xml:space="preserve"> males (</w:t>
      </w:r>
      <w:r>
        <w:rPr>
          <w:rFonts w:asciiTheme="minorHAnsi" w:hAnsiTheme="minorHAnsi"/>
        </w:rPr>
        <w:t>7.8</w:t>
      </w:r>
      <w:r w:rsidRPr="002B6AB2">
        <w:rPr>
          <w:rFonts w:asciiTheme="minorHAnsi" w:hAnsiTheme="minorHAnsi"/>
        </w:rPr>
        <w:t xml:space="preserve"> cases per 100,000 population). </w:t>
      </w:r>
      <w:r>
        <w:rPr>
          <w:rFonts w:asciiTheme="minorHAnsi" w:hAnsiTheme="minorHAnsi"/>
        </w:rPr>
        <w:t xml:space="preserve"> </w:t>
      </w:r>
    </w:p>
    <w:p w14:paraId="10F36901" w14:textId="78411728" w:rsidR="00CC66B3" w:rsidRDefault="00B24206" w:rsidP="00DC1CB8">
      <w:pPr>
        <w:pStyle w:val="ListParagraph"/>
        <w:numPr>
          <w:ilvl w:val="0"/>
          <w:numId w:val="41"/>
        </w:numPr>
        <w:spacing w:after="120" w:line="240" w:lineRule="auto"/>
        <w:contextualSpacing w:val="0"/>
        <w:rPr>
          <w:rFonts w:asciiTheme="minorHAnsi" w:hAnsiTheme="minorHAnsi"/>
        </w:rPr>
      </w:pPr>
      <w:r>
        <w:rPr>
          <w:rFonts w:asciiTheme="minorHAnsi" w:hAnsiTheme="minorHAnsi"/>
        </w:rPr>
        <w:t xml:space="preserve">Delaware females had a statistically significantly </w:t>
      </w:r>
      <w:r w:rsidRPr="002F7BCC">
        <w:rPr>
          <w:rFonts w:asciiTheme="minorHAnsi" w:hAnsiTheme="minorHAnsi"/>
          <w:u w:val="single"/>
        </w:rPr>
        <w:t>lower</w:t>
      </w:r>
      <w:r>
        <w:rPr>
          <w:rFonts w:asciiTheme="minorHAnsi" w:hAnsiTheme="minorHAnsi"/>
        </w:rPr>
        <w:t xml:space="preserve"> age-adjusted incidence rate compared to Delaware males for the following cancers: </w:t>
      </w:r>
      <w:r w:rsidR="00C02C6C">
        <w:rPr>
          <w:rFonts w:asciiTheme="minorHAnsi" w:hAnsiTheme="minorHAnsi"/>
        </w:rPr>
        <w:t xml:space="preserve"> </w:t>
      </w:r>
      <w:r>
        <w:rPr>
          <w:rFonts w:asciiTheme="minorHAnsi" w:hAnsiTheme="minorHAnsi"/>
        </w:rPr>
        <w:t xml:space="preserve">all-sites, </w:t>
      </w:r>
      <w:r w:rsidR="00977C7A">
        <w:rPr>
          <w:rFonts w:asciiTheme="minorHAnsi" w:hAnsiTheme="minorHAnsi"/>
        </w:rPr>
        <w:t>colon and rectum (</w:t>
      </w:r>
      <w:r w:rsidR="00661549" w:rsidRPr="00661549">
        <w:rPr>
          <w:rFonts w:asciiTheme="minorHAnsi" w:hAnsiTheme="minorHAnsi"/>
        </w:rPr>
        <w:t>colorectal</w:t>
      </w:r>
      <w:r w:rsidR="00977C7A">
        <w:rPr>
          <w:rFonts w:asciiTheme="minorHAnsi" w:hAnsiTheme="minorHAnsi"/>
        </w:rPr>
        <w:t>)</w:t>
      </w:r>
      <w:r w:rsidR="00661549" w:rsidRPr="00661549">
        <w:rPr>
          <w:rFonts w:asciiTheme="minorHAnsi" w:hAnsiTheme="minorHAnsi"/>
        </w:rPr>
        <w:t>, esophagus,</w:t>
      </w:r>
      <w:r w:rsidR="00330936">
        <w:rPr>
          <w:rFonts w:asciiTheme="minorHAnsi" w:hAnsiTheme="minorHAnsi"/>
        </w:rPr>
        <w:t xml:space="preserve"> </w:t>
      </w:r>
      <w:r w:rsidR="00661549" w:rsidRPr="00661549">
        <w:rPr>
          <w:rFonts w:asciiTheme="minorHAnsi" w:hAnsiTheme="minorHAnsi"/>
        </w:rPr>
        <w:t>kidney and renal pelvis, larynx, leukemia, liver and intrahepatic bile duct, lung and bronchus, melanoma, myeloma, non-Hodgkin lymphoma,</w:t>
      </w:r>
      <w:r w:rsidR="00330936">
        <w:rPr>
          <w:rFonts w:asciiTheme="minorHAnsi" w:hAnsiTheme="minorHAnsi"/>
        </w:rPr>
        <w:t xml:space="preserve"> </w:t>
      </w:r>
      <w:r w:rsidR="00661549" w:rsidRPr="00661549">
        <w:rPr>
          <w:rFonts w:asciiTheme="minorHAnsi" w:hAnsiTheme="minorHAnsi"/>
        </w:rPr>
        <w:t>oral cavity and pharynx, pancreas,</w:t>
      </w:r>
      <w:r w:rsidR="00330936">
        <w:rPr>
          <w:rFonts w:asciiTheme="minorHAnsi" w:hAnsiTheme="minorHAnsi"/>
        </w:rPr>
        <w:t xml:space="preserve"> </w:t>
      </w:r>
      <w:r w:rsidR="00661549" w:rsidRPr="00661549">
        <w:rPr>
          <w:rFonts w:asciiTheme="minorHAnsi" w:hAnsiTheme="minorHAnsi"/>
        </w:rPr>
        <w:t>stomach,</w:t>
      </w:r>
      <w:r w:rsidR="00330936">
        <w:rPr>
          <w:rFonts w:asciiTheme="minorHAnsi" w:hAnsiTheme="minorHAnsi"/>
        </w:rPr>
        <w:t xml:space="preserve"> </w:t>
      </w:r>
      <w:r w:rsidR="00661549" w:rsidRPr="00661549">
        <w:rPr>
          <w:rFonts w:asciiTheme="minorHAnsi" w:hAnsiTheme="minorHAnsi"/>
        </w:rPr>
        <w:t xml:space="preserve">and urinary bladder.  </w:t>
      </w:r>
    </w:p>
    <w:p w14:paraId="71920C2E" w14:textId="3A0CBE90" w:rsidR="00723EE3" w:rsidRPr="00723EE3" w:rsidRDefault="00723EE3" w:rsidP="00723EE3">
      <w:pPr>
        <w:pStyle w:val="ListParagraph"/>
        <w:numPr>
          <w:ilvl w:val="1"/>
          <w:numId w:val="41"/>
        </w:numPr>
        <w:spacing w:after="120" w:line="240" w:lineRule="auto"/>
        <w:contextualSpacing w:val="0"/>
        <w:rPr>
          <w:rFonts w:asciiTheme="minorHAnsi" w:hAnsiTheme="minorHAnsi"/>
        </w:rPr>
      </w:pPr>
      <w:r>
        <w:rPr>
          <w:rFonts w:asciiTheme="minorHAnsi" w:hAnsiTheme="minorHAnsi"/>
        </w:rPr>
        <w:t>Example statement</w:t>
      </w:r>
      <w:r w:rsidR="00065AA9">
        <w:rPr>
          <w:rFonts w:asciiTheme="minorHAnsi" w:hAnsiTheme="minorHAnsi"/>
        </w:rPr>
        <w:t xml:space="preserve">:  </w:t>
      </w:r>
      <w:r w:rsidR="00EF2CC7" w:rsidRPr="00EF2CC7">
        <w:rPr>
          <w:rFonts w:asciiTheme="minorHAnsi" w:hAnsiTheme="minorHAnsi"/>
          <w:i/>
          <w:iCs/>
        </w:rPr>
        <w:t>From 2017-2021,</w:t>
      </w:r>
      <w:r w:rsidR="00EF2CC7">
        <w:rPr>
          <w:rFonts w:asciiTheme="minorHAnsi" w:hAnsiTheme="minorHAnsi"/>
        </w:rPr>
        <w:t xml:space="preserve"> </w:t>
      </w:r>
      <w:r w:rsidR="00EF2CC7">
        <w:rPr>
          <w:rFonts w:asciiTheme="minorHAnsi" w:hAnsiTheme="minorHAnsi"/>
          <w:i/>
          <w:iCs/>
        </w:rPr>
        <w:t>t</w:t>
      </w:r>
      <w:r w:rsidRPr="00B71502">
        <w:rPr>
          <w:rFonts w:asciiTheme="minorHAnsi" w:hAnsiTheme="minorHAnsi"/>
          <w:i/>
          <w:iCs/>
        </w:rPr>
        <w:t>he age-adjuste</w:t>
      </w:r>
      <w:r w:rsidR="002C3B55">
        <w:rPr>
          <w:rFonts w:asciiTheme="minorHAnsi" w:hAnsiTheme="minorHAnsi"/>
          <w:i/>
          <w:iCs/>
        </w:rPr>
        <w:t>d incidence</w:t>
      </w:r>
      <w:r w:rsidRPr="00B71502">
        <w:rPr>
          <w:rFonts w:asciiTheme="minorHAnsi" w:hAnsiTheme="minorHAnsi"/>
          <w:i/>
          <w:iCs/>
        </w:rPr>
        <w:t xml:space="preserve"> rate for</w:t>
      </w:r>
      <w:r w:rsidR="005E07D0">
        <w:rPr>
          <w:rFonts w:asciiTheme="minorHAnsi" w:hAnsiTheme="minorHAnsi"/>
          <w:i/>
          <w:iCs/>
        </w:rPr>
        <w:t xml:space="preserve"> stomach </w:t>
      </w:r>
      <w:r w:rsidRPr="00B71502">
        <w:rPr>
          <w:rFonts w:asciiTheme="minorHAnsi" w:hAnsiTheme="minorHAnsi"/>
          <w:i/>
          <w:iCs/>
        </w:rPr>
        <w:t>cancer among Delaware females (</w:t>
      </w:r>
      <w:r w:rsidR="005E07D0">
        <w:rPr>
          <w:rFonts w:asciiTheme="minorHAnsi" w:hAnsiTheme="minorHAnsi"/>
          <w:i/>
          <w:iCs/>
        </w:rPr>
        <w:t>4.2 cases</w:t>
      </w:r>
      <w:r w:rsidRPr="00B71502">
        <w:rPr>
          <w:rFonts w:asciiTheme="minorHAnsi" w:hAnsiTheme="minorHAnsi"/>
          <w:i/>
          <w:iCs/>
        </w:rPr>
        <w:t xml:space="preserve"> per 100,000 population) was statistically significantly</w:t>
      </w:r>
      <w:r>
        <w:rPr>
          <w:rFonts w:asciiTheme="minorHAnsi" w:hAnsiTheme="minorHAnsi"/>
          <w:i/>
          <w:iCs/>
        </w:rPr>
        <w:t xml:space="preserve"> lower </w:t>
      </w:r>
      <w:r w:rsidRPr="00B71502">
        <w:rPr>
          <w:rFonts w:asciiTheme="minorHAnsi" w:hAnsiTheme="minorHAnsi"/>
          <w:i/>
          <w:iCs/>
        </w:rPr>
        <w:t>compared to Delaware males (</w:t>
      </w:r>
      <w:r w:rsidR="005E07D0">
        <w:rPr>
          <w:rFonts w:asciiTheme="minorHAnsi" w:hAnsiTheme="minorHAnsi"/>
          <w:i/>
          <w:iCs/>
        </w:rPr>
        <w:t xml:space="preserve">8.5 cases </w:t>
      </w:r>
      <w:r w:rsidRPr="00B71502">
        <w:rPr>
          <w:rFonts w:asciiTheme="minorHAnsi" w:hAnsiTheme="minorHAnsi"/>
          <w:i/>
          <w:iCs/>
        </w:rPr>
        <w:t>per 100,000 population).</w:t>
      </w:r>
      <w:r w:rsidRPr="002B6AB2">
        <w:rPr>
          <w:rFonts w:asciiTheme="minorHAnsi" w:hAnsiTheme="minorHAnsi"/>
        </w:rPr>
        <w:t xml:space="preserve"> </w:t>
      </w:r>
      <w:r>
        <w:rPr>
          <w:rFonts w:asciiTheme="minorHAnsi" w:hAnsiTheme="minorHAnsi"/>
        </w:rPr>
        <w:t xml:space="preserve"> </w:t>
      </w:r>
    </w:p>
    <w:p w14:paraId="381A8F25" w14:textId="19D66119" w:rsidR="002F7BCC" w:rsidRDefault="00844133" w:rsidP="00DC1CB8">
      <w:pPr>
        <w:pStyle w:val="ListParagraph"/>
        <w:numPr>
          <w:ilvl w:val="0"/>
          <w:numId w:val="41"/>
        </w:numPr>
        <w:spacing w:after="120" w:line="240" w:lineRule="auto"/>
        <w:contextualSpacing w:val="0"/>
        <w:rPr>
          <w:rFonts w:asciiTheme="minorHAnsi" w:hAnsiTheme="minorHAnsi"/>
        </w:rPr>
      </w:pPr>
      <w:r>
        <w:rPr>
          <w:rFonts w:asciiTheme="minorHAnsi" w:hAnsiTheme="minorHAnsi"/>
        </w:rPr>
        <w:t>The</w:t>
      </w:r>
      <w:r w:rsidR="00262EFC">
        <w:rPr>
          <w:rFonts w:asciiTheme="minorHAnsi" w:hAnsiTheme="minorHAnsi"/>
        </w:rPr>
        <w:t>re</w:t>
      </w:r>
      <w:r>
        <w:rPr>
          <w:rFonts w:asciiTheme="minorHAnsi" w:hAnsiTheme="minorHAnsi"/>
        </w:rPr>
        <w:t xml:space="preserve"> was statistically </w:t>
      </w:r>
      <w:r w:rsidRPr="00844133">
        <w:rPr>
          <w:rFonts w:asciiTheme="minorHAnsi" w:hAnsiTheme="minorHAnsi"/>
          <w:u w:val="single"/>
        </w:rPr>
        <w:t>no difference</w:t>
      </w:r>
      <w:r w:rsidRPr="006D51FB">
        <w:rPr>
          <w:rFonts w:asciiTheme="minorHAnsi" w:hAnsiTheme="minorHAnsi"/>
        </w:rPr>
        <w:t xml:space="preserve"> </w:t>
      </w:r>
      <w:r>
        <w:rPr>
          <w:rFonts w:asciiTheme="minorHAnsi" w:hAnsiTheme="minorHAnsi"/>
        </w:rPr>
        <w:t>in the age-adjusted incidence ra</w:t>
      </w:r>
      <w:r w:rsidR="00451CB4">
        <w:rPr>
          <w:rFonts w:asciiTheme="minorHAnsi" w:hAnsiTheme="minorHAnsi"/>
        </w:rPr>
        <w:t>te among Delaware females compared to Delaware males</w:t>
      </w:r>
      <w:r w:rsidR="003145E1">
        <w:rPr>
          <w:rFonts w:asciiTheme="minorHAnsi" w:hAnsiTheme="minorHAnsi"/>
        </w:rPr>
        <w:t xml:space="preserve"> for </w:t>
      </w:r>
      <w:r w:rsidR="003D0976" w:rsidRPr="00661549">
        <w:rPr>
          <w:rFonts w:asciiTheme="minorHAnsi" w:hAnsiTheme="minorHAnsi"/>
        </w:rPr>
        <w:t>brain and other nervous system</w:t>
      </w:r>
      <w:r w:rsidR="003D0976">
        <w:rPr>
          <w:rFonts w:asciiTheme="minorHAnsi" w:hAnsiTheme="minorHAnsi"/>
        </w:rPr>
        <w:t xml:space="preserve"> and </w:t>
      </w:r>
      <w:r w:rsidR="003D0976" w:rsidRPr="00661549">
        <w:rPr>
          <w:rFonts w:asciiTheme="minorHAnsi" w:hAnsiTheme="minorHAnsi"/>
        </w:rPr>
        <w:t>Hodgkin lymphoma</w:t>
      </w:r>
      <w:r w:rsidR="003145E1">
        <w:rPr>
          <w:rFonts w:asciiTheme="minorHAnsi" w:hAnsiTheme="minorHAnsi"/>
        </w:rPr>
        <w:t xml:space="preserve"> cancers.</w:t>
      </w:r>
    </w:p>
    <w:p w14:paraId="34E2143A" w14:textId="647B20FD" w:rsidR="00723EE3" w:rsidRPr="00A24A07" w:rsidRDefault="00723EE3" w:rsidP="00723EE3">
      <w:pPr>
        <w:pStyle w:val="ListParagraph"/>
        <w:numPr>
          <w:ilvl w:val="1"/>
          <w:numId w:val="41"/>
        </w:numPr>
        <w:spacing w:after="120" w:line="240" w:lineRule="auto"/>
        <w:contextualSpacing w:val="0"/>
        <w:rPr>
          <w:rFonts w:asciiTheme="minorHAnsi" w:hAnsiTheme="minorHAnsi"/>
        </w:rPr>
      </w:pPr>
      <w:r>
        <w:rPr>
          <w:rFonts w:asciiTheme="minorHAnsi" w:hAnsiTheme="minorHAnsi"/>
        </w:rPr>
        <w:t>Example statement</w:t>
      </w:r>
      <w:r w:rsidR="00691DFE">
        <w:rPr>
          <w:rFonts w:asciiTheme="minorHAnsi" w:hAnsiTheme="minorHAnsi"/>
        </w:rPr>
        <w:t xml:space="preserve">:  </w:t>
      </w:r>
      <w:r w:rsidR="00EF2CC7" w:rsidRPr="00EF2CC7">
        <w:rPr>
          <w:rFonts w:asciiTheme="minorHAnsi" w:hAnsiTheme="minorHAnsi"/>
          <w:i/>
          <w:iCs/>
        </w:rPr>
        <w:t>From 2017-2021</w:t>
      </w:r>
      <w:r w:rsidR="00EF2CC7">
        <w:rPr>
          <w:rFonts w:asciiTheme="minorHAnsi" w:hAnsiTheme="minorHAnsi"/>
          <w:i/>
          <w:iCs/>
        </w:rPr>
        <w:t>, t</w:t>
      </w:r>
      <w:r w:rsidR="005C46B8" w:rsidRPr="005C46B8">
        <w:rPr>
          <w:rFonts w:asciiTheme="minorHAnsi" w:hAnsiTheme="minorHAnsi"/>
          <w:i/>
          <w:iCs/>
        </w:rPr>
        <w:t>here was no statistical difference in t</w:t>
      </w:r>
      <w:r w:rsidRPr="005C46B8">
        <w:rPr>
          <w:rFonts w:asciiTheme="minorHAnsi" w:hAnsiTheme="minorHAnsi"/>
          <w:i/>
          <w:iCs/>
        </w:rPr>
        <w:t>he</w:t>
      </w:r>
      <w:r w:rsidRPr="00B71502">
        <w:rPr>
          <w:rFonts w:asciiTheme="minorHAnsi" w:hAnsiTheme="minorHAnsi"/>
          <w:i/>
          <w:iCs/>
        </w:rPr>
        <w:t xml:space="preserve"> age-adjusted</w:t>
      </w:r>
      <w:r w:rsidR="002C3B55">
        <w:rPr>
          <w:rFonts w:asciiTheme="minorHAnsi" w:hAnsiTheme="minorHAnsi"/>
          <w:i/>
          <w:iCs/>
        </w:rPr>
        <w:t xml:space="preserve"> cancer incidence</w:t>
      </w:r>
      <w:r w:rsidRPr="00B71502">
        <w:rPr>
          <w:rFonts w:asciiTheme="minorHAnsi" w:hAnsiTheme="minorHAnsi"/>
          <w:i/>
          <w:iCs/>
        </w:rPr>
        <w:t xml:space="preserve"> rate</w:t>
      </w:r>
      <w:r w:rsidR="002C3B55">
        <w:rPr>
          <w:rFonts w:asciiTheme="minorHAnsi" w:hAnsiTheme="minorHAnsi"/>
          <w:i/>
          <w:iCs/>
        </w:rPr>
        <w:t>s</w:t>
      </w:r>
      <w:r w:rsidRPr="00B71502">
        <w:rPr>
          <w:rFonts w:asciiTheme="minorHAnsi" w:hAnsiTheme="minorHAnsi"/>
          <w:i/>
          <w:iCs/>
        </w:rPr>
        <w:t xml:space="preserve"> for</w:t>
      </w:r>
      <w:r w:rsidR="005C46B8">
        <w:rPr>
          <w:rFonts w:asciiTheme="minorHAnsi" w:hAnsiTheme="minorHAnsi"/>
          <w:i/>
          <w:iCs/>
        </w:rPr>
        <w:t xml:space="preserve"> Hodgkin lymphoma</w:t>
      </w:r>
      <w:r w:rsidRPr="00B71502">
        <w:rPr>
          <w:rFonts w:asciiTheme="minorHAnsi" w:hAnsiTheme="minorHAnsi"/>
          <w:i/>
          <w:iCs/>
        </w:rPr>
        <w:t xml:space="preserve"> among Delaware females (</w:t>
      </w:r>
      <w:r w:rsidR="005C46B8">
        <w:rPr>
          <w:rFonts w:asciiTheme="minorHAnsi" w:hAnsiTheme="minorHAnsi"/>
          <w:i/>
          <w:iCs/>
        </w:rPr>
        <w:t>2.3</w:t>
      </w:r>
      <w:r w:rsidRPr="00B71502">
        <w:rPr>
          <w:rFonts w:asciiTheme="minorHAnsi" w:hAnsiTheme="minorHAnsi"/>
          <w:i/>
          <w:iCs/>
        </w:rPr>
        <w:t xml:space="preserve"> </w:t>
      </w:r>
      <w:r w:rsidR="005C46B8">
        <w:rPr>
          <w:rFonts w:asciiTheme="minorHAnsi" w:hAnsiTheme="minorHAnsi"/>
          <w:i/>
          <w:iCs/>
        </w:rPr>
        <w:t>cases</w:t>
      </w:r>
      <w:r w:rsidRPr="00B71502">
        <w:rPr>
          <w:rFonts w:asciiTheme="minorHAnsi" w:hAnsiTheme="minorHAnsi"/>
          <w:i/>
          <w:iCs/>
        </w:rPr>
        <w:t xml:space="preserve"> per 100,000 population)</w:t>
      </w:r>
      <w:r w:rsidR="005C46B8">
        <w:rPr>
          <w:rFonts w:asciiTheme="minorHAnsi" w:hAnsiTheme="minorHAnsi"/>
          <w:i/>
          <w:iCs/>
        </w:rPr>
        <w:t xml:space="preserve"> and</w:t>
      </w:r>
      <w:r w:rsidRPr="00B71502">
        <w:rPr>
          <w:rFonts w:asciiTheme="minorHAnsi" w:hAnsiTheme="minorHAnsi"/>
          <w:i/>
          <w:iCs/>
        </w:rPr>
        <w:t xml:space="preserve"> Delaware males (</w:t>
      </w:r>
      <w:r w:rsidR="005C46B8">
        <w:rPr>
          <w:rFonts w:asciiTheme="minorHAnsi" w:hAnsiTheme="minorHAnsi"/>
          <w:i/>
          <w:iCs/>
        </w:rPr>
        <w:t>2.6</w:t>
      </w:r>
      <w:r w:rsidRPr="00B71502">
        <w:rPr>
          <w:rFonts w:asciiTheme="minorHAnsi" w:hAnsiTheme="minorHAnsi"/>
          <w:i/>
          <w:iCs/>
        </w:rPr>
        <w:t xml:space="preserve"> </w:t>
      </w:r>
      <w:r w:rsidR="005C46B8">
        <w:rPr>
          <w:rFonts w:asciiTheme="minorHAnsi" w:hAnsiTheme="minorHAnsi"/>
          <w:i/>
          <w:iCs/>
        </w:rPr>
        <w:t>cases</w:t>
      </w:r>
      <w:r w:rsidRPr="00B71502">
        <w:rPr>
          <w:rFonts w:asciiTheme="minorHAnsi" w:hAnsiTheme="minorHAnsi"/>
          <w:i/>
          <w:iCs/>
        </w:rPr>
        <w:t xml:space="preserve"> per 100,000 population)</w:t>
      </w:r>
      <w:r w:rsidR="00B75B74">
        <w:rPr>
          <w:rFonts w:asciiTheme="minorHAnsi" w:hAnsiTheme="minorHAnsi"/>
          <w:i/>
          <w:iCs/>
        </w:rPr>
        <w:t>.</w:t>
      </w:r>
      <w:r w:rsidR="005C46B8">
        <w:rPr>
          <w:rFonts w:asciiTheme="minorHAnsi" w:hAnsiTheme="minorHAnsi"/>
          <w:i/>
          <w:iCs/>
        </w:rPr>
        <w:t xml:space="preserve"> </w:t>
      </w:r>
    </w:p>
    <w:p w14:paraId="139777F8" w14:textId="77777777" w:rsidR="00723EE3" w:rsidRDefault="00723EE3" w:rsidP="00723EE3">
      <w:pPr>
        <w:pStyle w:val="ListParagraph"/>
        <w:spacing w:after="120" w:line="240" w:lineRule="auto"/>
        <w:ind w:left="1440"/>
        <w:contextualSpacing w:val="0"/>
        <w:rPr>
          <w:rFonts w:asciiTheme="minorHAnsi" w:hAnsiTheme="minorHAnsi"/>
        </w:rPr>
      </w:pPr>
    </w:p>
    <w:p w14:paraId="0A0743C1" w14:textId="5C6998E8" w:rsidR="00B24206" w:rsidRPr="007253C3" w:rsidRDefault="00B24206" w:rsidP="00B24206">
      <w:pPr>
        <w:pStyle w:val="ListParagraph"/>
        <w:spacing w:after="120" w:line="240" w:lineRule="auto"/>
        <w:ind w:left="1440"/>
        <w:contextualSpacing w:val="0"/>
        <w:rPr>
          <w:rFonts w:asciiTheme="minorHAnsi" w:hAnsiTheme="minorHAnsi"/>
        </w:rPr>
      </w:pPr>
    </w:p>
    <w:p w14:paraId="75163041" w14:textId="77777777" w:rsidR="006A4037" w:rsidRPr="002F5676" w:rsidRDefault="006A4037" w:rsidP="00DC1CB8">
      <w:pPr>
        <w:pStyle w:val="ListParagraph"/>
        <w:spacing w:after="120" w:line="240" w:lineRule="auto"/>
        <w:ind w:left="1440"/>
        <w:contextualSpacing w:val="0"/>
        <w:rPr>
          <w:rFonts w:asciiTheme="minorHAnsi" w:hAnsiTheme="minorHAnsi"/>
          <w:b/>
        </w:rPr>
      </w:pPr>
    </w:p>
    <w:p w14:paraId="6BBB4FD1" w14:textId="551E0736" w:rsidR="005B2DC3" w:rsidRPr="007B2387" w:rsidRDefault="005B2DC3" w:rsidP="00B21C83">
      <w:pPr>
        <w:pStyle w:val="ListParagraph"/>
        <w:numPr>
          <w:ilvl w:val="1"/>
          <w:numId w:val="2"/>
        </w:numPr>
        <w:spacing w:after="120" w:line="240" w:lineRule="auto"/>
        <w:contextualSpacing w:val="0"/>
        <w:rPr>
          <w:rFonts w:asciiTheme="minorHAnsi" w:hAnsiTheme="minorHAnsi"/>
          <w:b/>
          <w:caps/>
          <w:spacing w:val="10"/>
          <w:szCs w:val="18"/>
        </w:rPr>
      </w:pPr>
      <w:r w:rsidRPr="007B2387">
        <w:rPr>
          <w:rFonts w:asciiTheme="minorHAnsi" w:hAnsiTheme="minorHAnsi"/>
          <w:b/>
        </w:rPr>
        <w:br w:type="page"/>
      </w:r>
    </w:p>
    <w:p w14:paraId="3325455B" w14:textId="31A8A8FB" w:rsidR="008132A7" w:rsidRDefault="008132A7" w:rsidP="005735BF">
      <w:pPr>
        <w:pStyle w:val="Caption"/>
        <w:spacing w:after="120" w:line="240" w:lineRule="auto"/>
        <w:jc w:val="center"/>
        <w:rPr>
          <w:rFonts w:asciiTheme="minorHAnsi" w:hAnsiTheme="minorHAnsi"/>
          <w:b/>
          <w:sz w:val="22"/>
          <w:szCs w:val="22"/>
        </w:rPr>
      </w:pPr>
      <w:r w:rsidRPr="00B03D99">
        <w:rPr>
          <w:rFonts w:asciiTheme="minorHAnsi" w:hAnsiTheme="minorHAnsi"/>
          <w:b/>
          <w:sz w:val="22"/>
        </w:rPr>
        <w:lastRenderedPageBreak/>
        <w:t xml:space="preserve">Table </w:t>
      </w:r>
      <w:r w:rsidR="009A3AE4">
        <w:rPr>
          <w:rFonts w:asciiTheme="minorHAnsi" w:hAnsiTheme="minorHAnsi"/>
          <w:b/>
          <w:sz w:val="22"/>
        </w:rPr>
        <w:t>3-2</w:t>
      </w:r>
      <w:r w:rsidRPr="00B03D99">
        <w:rPr>
          <w:rFonts w:asciiTheme="minorHAnsi" w:hAnsiTheme="minorHAnsi"/>
          <w:b/>
          <w:sz w:val="22"/>
        </w:rPr>
        <w:t>:</w:t>
      </w:r>
      <w:r w:rsidR="00AA687F" w:rsidRPr="00AA687F">
        <w:rPr>
          <w:rFonts w:asciiTheme="minorHAnsi" w:hAnsiTheme="minorHAnsi"/>
          <w:b/>
          <w:sz w:val="22"/>
        </w:rPr>
        <w:t xml:space="preserve"> </w:t>
      </w:r>
      <w:r w:rsidR="00AA687F" w:rsidRPr="007B066E">
        <w:rPr>
          <w:rFonts w:asciiTheme="minorHAnsi" w:hAnsiTheme="minorHAnsi"/>
          <w:b/>
          <w:sz w:val="22"/>
        </w:rPr>
        <w:t>FIVE-YEAR Average</w:t>
      </w:r>
      <w:r w:rsidRPr="00B03D99">
        <w:rPr>
          <w:rFonts w:asciiTheme="minorHAnsi" w:hAnsiTheme="minorHAnsi"/>
          <w:b/>
          <w:sz w:val="22"/>
        </w:rPr>
        <w:t xml:space="preserve"> </w:t>
      </w:r>
      <w:r w:rsidR="00F900BE" w:rsidRPr="00A66133">
        <w:rPr>
          <w:rFonts w:asciiTheme="minorHAnsi" w:hAnsiTheme="minorHAnsi"/>
          <w:b/>
          <w:sz w:val="22"/>
          <w:szCs w:val="22"/>
        </w:rPr>
        <w:t>Age-Adjusted cancer Incidence</w:t>
      </w:r>
      <w:r w:rsidR="006C24CC">
        <w:rPr>
          <w:rFonts w:asciiTheme="minorHAnsi" w:hAnsiTheme="minorHAnsi"/>
          <w:b/>
          <w:sz w:val="22"/>
          <w:szCs w:val="22"/>
        </w:rPr>
        <w:t xml:space="preserve"> </w:t>
      </w:r>
      <w:r w:rsidR="00F900BE" w:rsidRPr="00A66133">
        <w:rPr>
          <w:rFonts w:asciiTheme="minorHAnsi" w:hAnsiTheme="minorHAnsi"/>
          <w:b/>
          <w:sz w:val="22"/>
          <w:szCs w:val="22"/>
        </w:rPr>
        <w:t xml:space="preserve">Rates by </w:t>
      </w:r>
      <w:r w:rsidR="00FC3028">
        <w:rPr>
          <w:rFonts w:asciiTheme="minorHAnsi" w:hAnsiTheme="minorHAnsi"/>
          <w:b/>
          <w:sz w:val="22"/>
          <w:szCs w:val="22"/>
        </w:rPr>
        <w:t>Race/Et</w:t>
      </w:r>
      <w:r w:rsidR="00652F98">
        <w:rPr>
          <w:rFonts w:asciiTheme="minorHAnsi" w:hAnsiTheme="minorHAnsi"/>
          <w:b/>
          <w:sz w:val="22"/>
          <w:szCs w:val="22"/>
        </w:rPr>
        <w:t>hni</w:t>
      </w:r>
      <w:r w:rsidR="00FC3028">
        <w:rPr>
          <w:rFonts w:asciiTheme="minorHAnsi" w:hAnsiTheme="minorHAnsi"/>
          <w:b/>
          <w:sz w:val="22"/>
          <w:szCs w:val="22"/>
        </w:rPr>
        <w:t>city</w:t>
      </w:r>
      <w:r w:rsidR="00F900BE" w:rsidRPr="00A66133">
        <w:rPr>
          <w:rFonts w:asciiTheme="minorHAnsi" w:hAnsiTheme="minorHAnsi"/>
          <w:b/>
          <w:sz w:val="22"/>
          <w:szCs w:val="22"/>
        </w:rPr>
        <w:t xml:space="preserve"> and Cancer Site with Confidence INTERVALS; Delaware, 2017-2021</w:t>
      </w:r>
    </w:p>
    <w:p w14:paraId="67F43FC6" w14:textId="2A678EF9" w:rsidR="008B1E6C" w:rsidRDefault="00C01023" w:rsidP="00397B5F">
      <w:pPr>
        <w:spacing w:after="0" w:line="240" w:lineRule="auto"/>
        <w:ind w:firstLine="450"/>
        <w:jc w:val="both"/>
        <w:rPr>
          <w:rFonts w:asciiTheme="minorHAnsi" w:hAnsiTheme="minorHAnsi"/>
          <w:i/>
          <w:sz w:val="16"/>
          <w:szCs w:val="16"/>
        </w:rPr>
      </w:pPr>
      <w:r w:rsidRPr="00C01023">
        <w:rPr>
          <w:noProof/>
        </w:rPr>
        <w:drawing>
          <wp:inline distT="0" distB="0" distL="0" distR="0" wp14:anchorId="0103FA89" wp14:editId="3A535819">
            <wp:extent cx="5600700" cy="7117080"/>
            <wp:effectExtent l="0" t="0" r="0" b="7620"/>
            <wp:docPr id="1539884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600700" cy="7117080"/>
                    </a:xfrm>
                    <a:prstGeom prst="rect">
                      <a:avLst/>
                    </a:prstGeom>
                    <a:noFill/>
                    <a:ln>
                      <a:noFill/>
                    </a:ln>
                  </pic:spPr>
                </pic:pic>
              </a:graphicData>
            </a:graphic>
          </wp:inline>
        </w:drawing>
      </w:r>
    </w:p>
    <w:p w14:paraId="0D23EA79" w14:textId="7EBE7010" w:rsidR="00F1436B" w:rsidRPr="009A61EF" w:rsidRDefault="00E016AA" w:rsidP="009A61EF">
      <w:pPr>
        <w:spacing w:after="0" w:line="240" w:lineRule="auto"/>
        <w:ind w:firstLine="450"/>
        <w:jc w:val="both"/>
        <w:rPr>
          <w:rFonts w:asciiTheme="minorHAnsi" w:hAnsiTheme="minorHAnsi"/>
          <w:i/>
          <w:sz w:val="16"/>
          <w:szCs w:val="16"/>
        </w:rPr>
      </w:pPr>
      <w:r w:rsidRPr="009A61EF">
        <w:rPr>
          <w:rFonts w:asciiTheme="minorHAnsi" w:hAnsiTheme="minorHAnsi"/>
          <w:i/>
          <w:sz w:val="16"/>
          <w:szCs w:val="16"/>
        </w:rPr>
        <w:t>Source: Delaware Department of Social Services, Division of Public Health, Delaware Cancer Registry, 2024</w:t>
      </w:r>
    </w:p>
    <w:p w14:paraId="602072FB" w14:textId="7F305E8D" w:rsidR="0067538C" w:rsidRPr="009A61EF" w:rsidRDefault="00E016AA" w:rsidP="009A61EF">
      <w:pPr>
        <w:spacing w:after="0" w:line="240" w:lineRule="auto"/>
        <w:ind w:left="446"/>
        <w:rPr>
          <w:rFonts w:asciiTheme="minorHAnsi" w:hAnsiTheme="minorHAnsi" w:cstheme="minorHAnsi"/>
          <w:sz w:val="16"/>
          <w:szCs w:val="16"/>
        </w:rPr>
      </w:pPr>
      <w:r w:rsidRPr="009A61EF">
        <w:rPr>
          <w:rFonts w:asciiTheme="minorHAnsi" w:hAnsiTheme="minorHAnsi" w:cstheme="minorHAnsi"/>
          <w:sz w:val="16"/>
          <w:szCs w:val="16"/>
        </w:rPr>
        <w:t>Rates are per 100,000 population and are age-adjusted to the 2000 U.S. standard population (19 age groups – Census P25–1130) and are calculate using modified U.S. Census populations available from NCI (</w:t>
      </w:r>
      <w:hyperlink r:id="rId59" w:history="1">
        <w:r w:rsidRPr="009A61EF">
          <w:rPr>
            <w:rStyle w:val="Hyperlink"/>
            <w:rFonts w:asciiTheme="minorHAnsi" w:hAnsiTheme="minorHAnsi" w:cstheme="minorHAnsi"/>
            <w:sz w:val="16"/>
            <w:szCs w:val="16"/>
          </w:rPr>
          <w:t>https://seer.cancer.gov/popdata/</w:t>
        </w:r>
      </w:hyperlink>
      <w:r w:rsidRPr="009A61EF">
        <w:rPr>
          <w:rFonts w:asciiTheme="minorHAnsi" w:hAnsiTheme="minorHAnsi" w:cstheme="minorHAnsi"/>
          <w:sz w:val="16"/>
          <w:szCs w:val="16"/>
        </w:rPr>
        <w:t xml:space="preserve">). </w:t>
      </w:r>
    </w:p>
    <w:p w14:paraId="32B455D7" w14:textId="17E3B10B" w:rsidR="008F6FD1" w:rsidRPr="009A61EF" w:rsidRDefault="0067538C" w:rsidP="009A61EF">
      <w:pPr>
        <w:spacing w:after="0" w:line="240" w:lineRule="auto"/>
        <w:ind w:left="446"/>
        <w:rPr>
          <w:rFonts w:asciiTheme="minorHAnsi" w:hAnsiTheme="minorHAnsi" w:cstheme="minorHAnsi"/>
          <w:sz w:val="16"/>
          <w:szCs w:val="16"/>
        </w:rPr>
      </w:pPr>
      <w:r w:rsidRPr="009A61EF">
        <w:rPr>
          <w:rFonts w:asciiTheme="minorHAnsi" w:hAnsiTheme="minorHAnsi" w:cstheme="minorHAnsi"/>
          <w:sz w:val="16"/>
          <w:szCs w:val="16"/>
        </w:rPr>
        <w:t>*Statistically significantly different from the reference group “</w:t>
      </w:r>
      <w:r w:rsidR="00AC71E3" w:rsidRPr="009A61EF">
        <w:rPr>
          <w:rFonts w:asciiTheme="minorHAnsi" w:hAnsiTheme="minorHAnsi" w:cstheme="minorHAnsi"/>
          <w:sz w:val="16"/>
          <w:szCs w:val="16"/>
        </w:rPr>
        <w:t>non</w:t>
      </w:r>
      <w:r w:rsidR="004B5228" w:rsidRPr="009A61EF">
        <w:rPr>
          <w:rFonts w:asciiTheme="minorHAnsi" w:hAnsiTheme="minorHAnsi" w:cstheme="minorHAnsi"/>
          <w:sz w:val="16"/>
          <w:szCs w:val="16"/>
        </w:rPr>
        <w:t>-Hispanic White</w:t>
      </w:r>
      <w:r w:rsidRPr="009A61EF">
        <w:rPr>
          <w:rFonts w:asciiTheme="minorHAnsi" w:hAnsiTheme="minorHAnsi" w:cstheme="minorHAnsi"/>
          <w:sz w:val="16"/>
          <w:szCs w:val="16"/>
        </w:rPr>
        <w:t>”. Rate Ratios with p-values were modeled using SEER*Stat 8.4.3 as confirmatory test. “CI” stands for Confidence Interval.</w:t>
      </w:r>
      <w:r w:rsidR="00ED427B" w:rsidRPr="009A61EF">
        <w:rPr>
          <w:rFonts w:asciiTheme="minorHAnsi" w:hAnsiTheme="minorHAnsi" w:cstheme="minorHAnsi"/>
          <w:sz w:val="16"/>
          <w:szCs w:val="16"/>
        </w:rPr>
        <w:t xml:space="preserve"> </w:t>
      </w:r>
    </w:p>
    <w:p w14:paraId="35FB2B23" w14:textId="2B67A363" w:rsidR="00ED427B" w:rsidRPr="009A61EF" w:rsidRDefault="00ED427B" w:rsidP="00444355">
      <w:pPr>
        <w:spacing w:after="120" w:line="240" w:lineRule="auto"/>
        <w:ind w:firstLine="446"/>
        <w:rPr>
          <w:rFonts w:asciiTheme="minorHAnsi" w:hAnsiTheme="minorHAnsi"/>
          <w:sz w:val="16"/>
          <w:szCs w:val="16"/>
        </w:rPr>
      </w:pPr>
      <w:r w:rsidRPr="009A61EF">
        <w:rPr>
          <w:rFonts w:asciiTheme="minorHAnsi" w:hAnsiTheme="minorHAnsi"/>
          <w:sz w:val="16"/>
          <w:szCs w:val="16"/>
        </w:rPr>
        <w:t>---Rates based on fewer than 16</w:t>
      </w:r>
      <w:r w:rsidR="0085798E" w:rsidRPr="009A61EF">
        <w:rPr>
          <w:rFonts w:asciiTheme="minorHAnsi" w:hAnsiTheme="minorHAnsi"/>
          <w:sz w:val="16"/>
          <w:szCs w:val="16"/>
        </w:rPr>
        <w:t xml:space="preserve"> cases</w:t>
      </w:r>
      <w:r w:rsidRPr="009A61EF">
        <w:rPr>
          <w:rFonts w:asciiTheme="minorHAnsi" w:hAnsiTheme="minorHAnsi"/>
          <w:sz w:val="16"/>
          <w:szCs w:val="16"/>
        </w:rPr>
        <w:t xml:space="preserve"> are not individually calculated. </w:t>
      </w:r>
    </w:p>
    <w:p w14:paraId="607C41C1" w14:textId="77777777" w:rsidR="00B92BF0" w:rsidRPr="00444355" w:rsidRDefault="00B92BF0" w:rsidP="00444355">
      <w:pPr>
        <w:spacing w:after="120" w:line="240" w:lineRule="auto"/>
        <w:ind w:firstLine="446"/>
        <w:rPr>
          <w:rFonts w:asciiTheme="minorHAnsi" w:hAnsiTheme="minorHAnsi"/>
          <w:sz w:val="16"/>
          <w:szCs w:val="16"/>
        </w:rPr>
      </w:pPr>
    </w:p>
    <w:p w14:paraId="5685C048" w14:textId="77777777" w:rsidR="003E7350" w:rsidRPr="00DD7927" w:rsidRDefault="003E7350" w:rsidP="0067538C">
      <w:pPr>
        <w:spacing w:after="0" w:line="240" w:lineRule="auto"/>
        <w:ind w:left="446"/>
        <w:rPr>
          <w:rFonts w:asciiTheme="minorHAnsi" w:hAnsiTheme="minorHAnsi" w:cstheme="minorHAnsi"/>
          <w:sz w:val="16"/>
          <w:szCs w:val="16"/>
        </w:rPr>
      </w:pPr>
    </w:p>
    <w:p w14:paraId="700B52BF" w14:textId="48EF8FF1" w:rsidR="0037630C" w:rsidRPr="00B97B1E" w:rsidRDefault="0037630C" w:rsidP="00B97B1E">
      <w:pPr>
        <w:pStyle w:val="Caption"/>
        <w:spacing w:after="120" w:line="240" w:lineRule="auto"/>
        <w:jc w:val="center"/>
        <w:rPr>
          <w:rFonts w:asciiTheme="minorHAnsi" w:hAnsiTheme="minorHAnsi"/>
          <w:b/>
          <w:sz w:val="22"/>
        </w:rPr>
      </w:pPr>
      <w:r w:rsidRPr="00B03D99">
        <w:rPr>
          <w:rFonts w:asciiTheme="minorHAnsi" w:hAnsiTheme="minorHAnsi"/>
          <w:b/>
          <w:sz w:val="22"/>
        </w:rPr>
        <w:lastRenderedPageBreak/>
        <w:t xml:space="preserve">Table </w:t>
      </w:r>
      <w:r>
        <w:rPr>
          <w:rFonts w:asciiTheme="minorHAnsi" w:hAnsiTheme="minorHAnsi"/>
          <w:b/>
          <w:sz w:val="22"/>
        </w:rPr>
        <w:t>3-2</w:t>
      </w:r>
      <w:r w:rsidRPr="00B03D99">
        <w:rPr>
          <w:rFonts w:asciiTheme="minorHAnsi" w:hAnsiTheme="minorHAnsi"/>
          <w:b/>
          <w:sz w:val="22"/>
        </w:rPr>
        <w:t xml:space="preserve">: </w:t>
      </w:r>
      <w:r w:rsidR="00F77CA3" w:rsidRPr="007B066E">
        <w:rPr>
          <w:rFonts w:asciiTheme="minorHAnsi" w:hAnsiTheme="minorHAnsi"/>
          <w:b/>
          <w:sz w:val="22"/>
        </w:rPr>
        <w:t xml:space="preserve">FIVE-YEAR Average </w:t>
      </w:r>
      <w:r w:rsidRPr="00B97B1E">
        <w:rPr>
          <w:rFonts w:asciiTheme="minorHAnsi" w:hAnsiTheme="minorHAnsi"/>
          <w:b/>
          <w:sz w:val="22"/>
        </w:rPr>
        <w:t>Age-Adjusted cancer Incidenc</w:t>
      </w:r>
      <w:r w:rsidR="00B92BF0">
        <w:rPr>
          <w:rFonts w:asciiTheme="minorHAnsi" w:hAnsiTheme="minorHAnsi"/>
          <w:b/>
          <w:sz w:val="22"/>
        </w:rPr>
        <w:t>E</w:t>
      </w:r>
      <w:r w:rsidRPr="00B97B1E">
        <w:rPr>
          <w:rFonts w:asciiTheme="minorHAnsi" w:hAnsiTheme="minorHAnsi"/>
          <w:b/>
          <w:sz w:val="22"/>
        </w:rPr>
        <w:t xml:space="preserve"> Rates by Race/E</w:t>
      </w:r>
      <w:r w:rsidR="00F873C5">
        <w:rPr>
          <w:rFonts w:asciiTheme="minorHAnsi" w:hAnsiTheme="minorHAnsi"/>
          <w:b/>
          <w:sz w:val="22"/>
        </w:rPr>
        <w:t>thni</w:t>
      </w:r>
      <w:r w:rsidRPr="00B97B1E">
        <w:rPr>
          <w:rFonts w:asciiTheme="minorHAnsi" w:hAnsiTheme="minorHAnsi"/>
          <w:b/>
          <w:sz w:val="22"/>
        </w:rPr>
        <w:t>city and Cancer Site with Confidence INTERVALS; Delaware, 2017-2021 (C</w:t>
      </w:r>
      <w:r w:rsidR="00B97B1E">
        <w:rPr>
          <w:rFonts w:asciiTheme="minorHAnsi" w:hAnsiTheme="minorHAnsi"/>
          <w:b/>
          <w:sz w:val="22"/>
        </w:rPr>
        <w:t>ONTINUED</w:t>
      </w:r>
      <w:r w:rsidRPr="00B97B1E">
        <w:rPr>
          <w:rFonts w:asciiTheme="minorHAnsi" w:hAnsiTheme="minorHAnsi"/>
          <w:b/>
          <w:sz w:val="22"/>
        </w:rPr>
        <w:t>)</w:t>
      </w:r>
    </w:p>
    <w:p w14:paraId="42C4B029" w14:textId="69E91425" w:rsidR="00564446" w:rsidRDefault="00FE6CC6" w:rsidP="00564446">
      <w:pPr>
        <w:pStyle w:val="NoSpacing"/>
        <w:jc w:val="center"/>
        <w:rPr>
          <w:rFonts w:asciiTheme="minorHAnsi" w:hAnsiTheme="minorHAnsi"/>
          <w:sz w:val="14"/>
        </w:rPr>
      </w:pPr>
      <w:r w:rsidRPr="00FE6CC6">
        <w:rPr>
          <w:noProof/>
        </w:rPr>
        <w:drawing>
          <wp:inline distT="0" distB="0" distL="0" distR="0" wp14:anchorId="3A95B0C8" wp14:editId="671895C8">
            <wp:extent cx="5539740" cy="6987540"/>
            <wp:effectExtent l="0" t="0" r="3810" b="3810"/>
            <wp:docPr id="5922129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539740" cy="6987540"/>
                    </a:xfrm>
                    <a:prstGeom prst="rect">
                      <a:avLst/>
                    </a:prstGeom>
                    <a:noFill/>
                    <a:ln>
                      <a:noFill/>
                    </a:ln>
                  </pic:spPr>
                </pic:pic>
              </a:graphicData>
            </a:graphic>
          </wp:inline>
        </w:drawing>
      </w:r>
    </w:p>
    <w:p w14:paraId="457F2EAD" w14:textId="39C3D3DC" w:rsidR="00C1527E" w:rsidRPr="009A61EF" w:rsidRDefault="00577B6E" w:rsidP="009A61EF">
      <w:pPr>
        <w:spacing w:after="0" w:line="240" w:lineRule="auto"/>
        <w:ind w:left="180" w:firstLine="446"/>
        <w:jc w:val="both"/>
        <w:rPr>
          <w:rFonts w:asciiTheme="minorHAnsi" w:hAnsiTheme="minorHAnsi"/>
          <w:i/>
          <w:sz w:val="16"/>
          <w:szCs w:val="16"/>
        </w:rPr>
      </w:pPr>
      <w:r w:rsidRPr="009A61EF">
        <w:rPr>
          <w:rFonts w:asciiTheme="minorHAnsi" w:hAnsiTheme="minorHAnsi"/>
          <w:i/>
          <w:sz w:val="16"/>
          <w:szCs w:val="16"/>
        </w:rPr>
        <w:t>Source: Delaware Department of Social Services, Division of Public Health, Delaware Cancer Registry, 2024</w:t>
      </w:r>
    </w:p>
    <w:p w14:paraId="6290BC75" w14:textId="2192E385" w:rsidR="00C1527E" w:rsidRPr="009A61EF" w:rsidRDefault="00577B6E" w:rsidP="009A61EF">
      <w:pPr>
        <w:spacing w:after="0" w:line="240" w:lineRule="auto"/>
        <w:ind w:left="626"/>
        <w:jc w:val="both"/>
        <w:rPr>
          <w:rFonts w:asciiTheme="minorHAnsi" w:hAnsiTheme="minorHAnsi"/>
          <w:i/>
          <w:sz w:val="16"/>
          <w:szCs w:val="16"/>
        </w:rPr>
      </w:pPr>
      <w:r w:rsidRPr="009A61EF">
        <w:rPr>
          <w:rFonts w:asciiTheme="minorHAnsi" w:hAnsiTheme="minorHAnsi" w:cstheme="minorHAnsi"/>
          <w:sz w:val="16"/>
          <w:szCs w:val="16"/>
        </w:rPr>
        <w:t>Rates are per 100,000 population and are age-adjusted to the 2000 U.S. standard population (19 age groups – Census P25–1130) and are calculate using modified U.S. Census populations available from NCI (</w:t>
      </w:r>
      <w:hyperlink r:id="rId61" w:history="1">
        <w:r w:rsidRPr="009A61EF">
          <w:rPr>
            <w:rStyle w:val="Hyperlink"/>
            <w:rFonts w:asciiTheme="minorHAnsi" w:hAnsiTheme="minorHAnsi" w:cstheme="minorHAnsi"/>
            <w:sz w:val="16"/>
            <w:szCs w:val="16"/>
          </w:rPr>
          <w:t>https://seer.cancer.gov/popdata/</w:t>
        </w:r>
      </w:hyperlink>
      <w:r w:rsidRPr="009A61EF">
        <w:rPr>
          <w:rFonts w:asciiTheme="minorHAnsi" w:hAnsiTheme="minorHAnsi" w:cstheme="minorHAnsi"/>
          <w:sz w:val="16"/>
          <w:szCs w:val="16"/>
        </w:rPr>
        <w:t xml:space="preserve">). </w:t>
      </w:r>
    </w:p>
    <w:p w14:paraId="7D305403" w14:textId="661B3AFA" w:rsidR="00066D58" w:rsidRPr="009A61EF" w:rsidRDefault="00807704" w:rsidP="009A61EF">
      <w:pPr>
        <w:spacing w:after="0" w:line="240" w:lineRule="auto"/>
        <w:ind w:left="626"/>
        <w:rPr>
          <w:rFonts w:asciiTheme="minorHAnsi" w:hAnsiTheme="minorHAnsi" w:cstheme="minorHAnsi"/>
          <w:sz w:val="16"/>
          <w:szCs w:val="16"/>
        </w:rPr>
      </w:pPr>
      <w:r w:rsidRPr="009A61EF">
        <w:rPr>
          <w:rFonts w:asciiTheme="minorHAnsi" w:hAnsiTheme="minorHAnsi" w:cstheme="minorHAnsi"/>
          <w:sz w:val="16"/>
          <w:szCs w:val="16"/>
        </w:rPr>
        <w:t>*Statistically significantly different from the reference group “</w:t>
      </w:r>
      <w:r w:rsidR="00AC71E3" w:rsidRPr="009A61EF">
        <w:rPr>
          <w:rFonts w:asciiTheme="minorHAnsi" w:hAnsiTheme="minorHAnsi" w:cstheme="minorHAnsi"/>
          <w:sz w:val="16"/>
          <w:szCs w:val="16"/>
        </w:rPr>
        <w:t>non</w:t>
      </w:r>
      <w:r w:rsidR="009D02B0" w:rsidRPr="009A61EF">
        <w:rPr>
          <w:rFonts w:asciiTheme="minorHAnsi" w:hAnsiTheme="minorHAnsi" w:cstheme="minorHAnsi"/>
          <w:sz w:val="16"/>
          <w:szCs w:val="16"/>
        </w:rPr>
        <w:t>-Hispanic White.</w:t>
      </w:r>
      <w:r w:rsidRPr="009A61EF">
        <w:rPr>
          <w:rFonts w:asciiTheme="minorHAnsi" w:hAnsiTheme="minorHAnsi" w:cstheme="minorHAnsi"/>
          <w:sz w:val="16"/>
          <w:szCs w:val="16"/>
        </w:rPr>
        <w:t>”</w:t>
      </w:r>
      <w:r w:rsidR="009D02B0" w:rsidRPr="009A61EF">
        <w:rPr>
          <w:rFonts w:asciiTheme="minorHAnsi" w:hAnsiTheme="minorHAnsi" w:cstheme="minorHAnsi"/>
          <w:sz w:val="16"/>
          <w:szCs w:val="16"/>
        </w:rPr>
        <w:t xml:space="preserve"> </w:t>
      </w:r>
      <w:r w:rsidRPr="009A61EF">
        <w:rPr>
          <w:rFonts w:asciiTheme="minorHAnsi" w:hAnsiTheme="minorHAnsi" w:cstheme="minorHAnsi"/>
          <w:sz w:val="16"/>
          <w:szCs w:val="16"/>
        </w:rPr>
        <w:t>Rate Ratios with p-values were modeled using SEER*Stat 8.4.3 as confirmatory test. “CI” stands for Confidence Interval.</w:t>
      </w:r>
    </w:p>
    <w:p w14:paraId="676BBE12" w14:textId="566BB5F5" w:rsidR="00444355" w:rsidRPr="009A61EF" w:rsidRDefault="00444355" w:rsidP="00066D58">
      <w:pPr>
        <w:spacing w:after="0" w:line="240" w:lineRule="auto"/>
        <w:ind w:left="626"/>
        <w:rPr>
          <w:rFonts w:asciiTheme="minorHAnsi" w:hAnsiTheme="minorHAnsi" w:cstheme="minorHAnsi"/>
          <w:sz w:val="16"/>
          <w:szCs w:val="16"/>
        </w:rPr>
      </w:pPr>
      <w:r w:rsidRPr="009A61EF">
        <w:rPr>
          <w:rFonts w:asciiTheme="minorHAnsi" w:hAnsiTheme="minorHAnsi"/>
          <w:sz w:val="16"/>
          <w:szCs w:val="16"/>
        </w:rPr>
        <w:t xml:space="preserve">---Rates based on fewer than 16 cases are not individually calculated. </w:t>
      </w:r>
    </w:p>
    <w:p w14:paraId="000CB330" w14:textId="77777777" w:rsidR="006C24CC" w:rsidRDefault="006C24CC">
      <w:pPr>
        <w:rPr>
          <w:rFonts w:asciiTheme="minorHAnsi" w:hAnsiTheme="minorHAnsi"/>
          <w:b/>
          <w:caps/>
          <w:color w:val="1A4070" w:themeColor="accent2" w:themeShade="7F"/>
          <w:sz w:val="24"/>
          <w:szCs w:val="24"/>
        </w:rPr>
      </w:pPr>
      <w:r>
        <w:rPr>
          <w:rFonts w:asciiTheme="minorHAnsi" w:hAnsiTheme="minorHAnsi"/>
        </w:rPr>
        <w:br w:type="page"/>
      </w:r>
    </w:p>
    <w:p w14:paraId="73716F0F" w14:textId="51BBACE5" w:rsidR="00444355" w:rsidRPr="006C24CC" w:rsidRDefault="006C24CC" w:rsidP="006C24CC">
      <w:pPr>
        <w:pStyle w:val="StyleNew1"/>
        <w:spacing w:before="0"/>
        <w:rPr>
          <w:rFonts w:asciiTheme="minorHAnsi" w:hAnsiTheme="minorHAnsi"/>
        </w:rPr>
      </w:pPr>
      <w:r>
        <w:rPr>
          <w:rFonts w:asciiTheme="minorHAnsi" w:hAnsiTheme="minorHAnsi"/>
        </w:rPr>
        <w:lastRenderedPageBreak/>
        <w:t>Statistical Differences – Race/Ethnicity</w:t>
      </w:r>
    </w:p>
    <w:p w14:paraId="72664E25" w14:textId="77777777" w:rsidR="00212CF4" w:rsidRDefault="00212CF4" w:rsidP="00C1527E">
      <w:pPr>
        <w:spacing w:after="0" w:line="240" w:lineRule="auto"/>
        <w:ind w:left="626"/>
        <w:rPr>
          <w:rFonts w:asciiTheme="minorHAnsi" w:hAnsiTheme="minorHAnsi" w:cstheme="minorHAnsi"/>
          <w:sz w:val="16"/>
          <w:szCs w:val="16"/>
        </w:rPr>
      </w:pPr>
    </w:p>
    <w:p w14:paraId="1E836F63" w14:textId="3C925A3A" w:rsidR="00FC561F" w:rsidRPr="004913A2" w:rsidRDefault="00FC561F" w:rsidP="00FC561F">
      <w:pPr>
        <w:pStyle w:val="ListParagraph"/>
        <w:numPr>
          <w:ilvl w:val="0"/>
          <w:numId w:val="21"/>
        </w:numPr>
        <w:tabs>
          <w:tab w:val="left" w:pos="720"/>
        </w:tabs>
        <w:spacing w:after="120" w:line="240" w:lineRule="auto"/>
        <w:ind w:left="360"/>
        <w:contextualSpacing w:val="0"/>
        <w:rPr>
          <w:rFonts w:asciiTheme="minorHAnsi" w:hAnsiTheme="minorHAnsi" w:cstheme="minorHAnsi"/>
        </w:rPr>
      </w:pPr>
      <w:r>
        <w:rPr>
          <w:rFonts w:asciiTheme="minorHAnsi" w:hAnsiTheme="minorHAnsi" w:cstheme="minorHAnsi"/>
        </w:rPr>
        <w:t xml:space="preserve">Comparing </w:t>
      </w:r>
      <w:r w:rsidR="00AC71E3">
        <w:rPr>
          <w:rFonts w:asciiTheme="minorHAnsi" w:hAnsiTheme="minorHAnsi" w:cstheme="minorHAnsi"/>
        </w:rPr>
        <w:t>non</w:t>
      </w:r>
      <w:r>
        <w:rPr>
          <w:rFonts w:asciiTheme="minorHAnsi" w:hAnsiTheme="minorHAnsi" w:cstheme="minorHAnsi"/>
        </w:rPr>
        <w:t xml:space="preserve">-Hispanic Black Delawareans to </w:t>
      </w:r>
      <w:r w:rsidR="00AC71E3">
        <w:rPr>
          <w:rFonts w:asciiTheme="minorHAnsi" w:hAnsiTheme="minorHAnsi" w:cstheme="minorHAnsi"/>
        </w:rPr>
        <w:t>non</w:t>
      </w:r>
      <w:r>
        <w:rPr>
          <w:rFonts w:asciiTheme="minorHAnsi" w:hAnsiTheme="minorHAnsi" w:cstheme="minorHAnsi"/>
        </w:rPr>
        <w:t xml:space="preserve">-Hispanic White Delawareans </w:t>
      </w:r>
      <w:r w:rsidRPr="004913A2">
        <w:rPr>
          <w:rFonts w:asciiTheme="minorHAnsi" w:hAnsiTheme="minorHAnsi" w:cstheme="minorHAnsi"/>
        </w:rPr>
        <w:t>from 201</w:t>
      </w:r>
      <w:r>
        <w:rPr>
          <w:rFonts w:asciiTheme="minorHAnsi" w:hAnsiTheme="minorHAnsi" w:cstheme="minorHAnsi"/>
        </w:rPr>
        <w:t>7</w:t>
      </w:r>
      <w:r w:rsidRPr="004913A2">
        <w:rPr>
          <w:rFonts w:asciiTheme="minorHAnsi" w:hAnsiTheme="minorHAnsi" w:cstheme="minorHAnsi"/>
        </w:rPr>
        <w:t>-20</w:t>
      </w:r>
      <w:r>
        <w:rPr>
          <w:rFonts w:asciiTheme="minorHAnsi" w:hAnsiTheme="minorHAnsi" w:cstheme="minorHAnsi"/>
        </w:rPr>
        <w:t>21</w:t>
      </w:r>
      <w:r w:rsidRPr="004913A2">
        <w:rPr>
          <w:rFonts w:asciiTheme="minorHAnsi" w:hAnsiTheme="minorHAnsi" w:cstheme="minorHAnsi"/>
        </w:rPr>
        <w:t>:</w:t>
      </w:r>
    </w:p>
    <w:p w14:paraId="3354F924" w14:textId="10206960" w:rsidR="00FC561F" w:rsidRDefault="00FC561F" w:rsidP="00FC561F">
      <w:pPr>
        <w:pStyle w:val="ListParagraph"/>
        <w:numPr>
          <w:ilvl w:val="0"/>
          <w:numId w:val="42"/>
        </w:numPr>
        <w:spacing w:after="120" w:line="240" w:lineRule="auto"/>
        <w:contextualSpacing w:val="0"/>
        <w:rPr>
          <w:rFonts w:asciiTheme="minorHAnsi" w:hAnsiTheme="minorHAnsi"/>
        </w:rPr>
      </w:pPr>
      <w:r>
        <w:rPr>
          <w:rFonts w:asciiTheme="minorHAnsi" w:hAnsiTheme="minorHAnsi"/>
        </w:rPr>
        <w:t xml:space="preserve">Non-Hispanic Black Delawareans had a statistically significantly </w:t>
      </w:r>
      <w:r>
        <w:rPr>
          <w:rFonts w:asciiTheme="minorHAnsi" w:hAnsiTheme="minorHAnsi"/>
          <w:u w:val="single"/>
        </w:rPr>
        <w:t>higher</w:t>
      </w:r>
      <w:r w:rsidRPr="006D51FB">
        <w:rPr>
          <w:rFonts w:asciiTheme="minorHAnsi" w:hAnsiTheme="minorHAnsi"/>
        </w:rPr>
        <w:t xml:space="preserve"> </w:t>
      </w:r>
      <w:r>
        <w:rPr>
          <w:rFonts w:asciiTheme="minorHAnsi" w:hAnsiTheme="minorHAnsi"/>
        </w:rPr>
        <w:t>age-adjuste</w:t>
      </w:r>
      <w:r w:rsidR="00A914F3">
        <w:rPr>
          <w:rFonts w:asciiTheme="minorHAnsi" w:hAnsiTheme="minorHAnsi"/>
        </w:rPr>
        <w:t xml:space="preserve">d incidence </w:t>
      </w:r>
      <w:r>
        <w:rPr>
          <w:rFonts w:asciiTheme="minorHAnsi" w:hAnsiTheme="minorHAnsi"/>
        </w:rPr>
        <w:t xml:space="preserve">rate compared to </w:t>
      </w:r>
      <w:r w:rsidR="00AC71E3">
        <w:rPr>
          <w:rFonts w:asciiTheme="minorHAnsi" w:hAnsiTheme="minorHAnsi"/>
        </w:rPr>
        <w:t>non</w:t>
      </w:r>
      <w:r>
        <w:rPr>
          <w:rFonts w:asciiTheme="minorHAnsi" w:hAnsiTheme="minorHAnsi"/>
        </w:rPr>
        <w:t xml:space="preserve">-Hispanic White Delawareans for the following cancers: </w:t>
      </w:r>
      <w:r w:rsidR="006042A4">
        <w:rPr>
          <w:rFonts w:asciiTheme="minorHAnsi" w:hAnsiTheme="minorHAnsi"/>
        </w:rPr>
        <w:t xml:space="preserve"> </w:t>
      </w:r>
      <w:r>
        <w:rPr>
          <w:rFonts w:asciiTheme="minorHAnsi" w:hAnsiTheme="minorHAnsi"/>
        </w:rPr>
        <w:t xml:space="preserve">stomach, </w:t>
      </w:r>
      <w:r w:rsidRPr="00661549">
        <w:rPr>
          <w:rFonts w:asciiTheme="minorHAnsi" w:hAnsiTheme="minorHAnsi"/>
        </w:rPr>
        <w:t>liver and intrahepatic bile duct</w:t>
      </w:r>
      <w:r>
        <w:rPr>
          <w:rFonts w:asciiTheme="minorHAnsi" w:hAnsiTheme="minorHAnsi"/>
        </w:rPr>
        <w:t xml:space="preserve">, </w:t>
      </w:r>
      <w:r w:rsidRPr="00661549">
        <w:rPr>
          <w:rFonts w:asciiTheme="minorHAnsi" w:hAnsiTheme="minorHAnsi"/>
        </w:rPr>
        <w:t>pancreas</w:t>
      </w:r>
      <w:r>
        <w:rPr>
          <w:rFonts w:asciiTheme="minorHAnsi" w:hAnsiTheme="minorHAnsi"/>
        </w:rPr>
        <w:t>, myeloma,</w:t>
      </w:r>
      <w:r w:rsidR="00734057">
        <w:rPr>
          <w:rFonts w:asciiTheme="minorHAnsi" w:hAnsiTheme="minorHAnsi"/>
        </w:rPr>
        <w:t xml:space="preserve"> and </w:t>
      </w:r>
      <w:r>
        <w:rPr>
          <w:rFonts w:asciiTheme="minorHAnsi" w:hAnsiTheme="minorHAnsi"/>
        </w:rPr>
        <w:t>prostate</w:t>
      </w:r>
      <w:r w:rsidR="00734057">
        <w:rPr>
          <w:rFonts w:asciiTheme="minorHAnsi" w:hAnsiTheme="minorHAnsi"/>
        </w:rPr>
        <w:t xml:space="preserve"> </w:t>
      </w:r>
      <w:r>
        <w:rPr>
          <w:rFonts w:asciiTheme="minorHAnsi" w:hAnsiTheme="minorHAnsi"/>
        </w:rPr>
        <w:t xml:space="preserve">cancers. </w:t>
      </w:r>
    </w:p>
    <w:p w14:paraId="5DE69B30" w14:textId="2B4D7CF9" w:rsidR="00FC561F" w:rsidRDefault="00FC561F" w:rsidP="00FC561F">
      <w:pPr>
        <w:pStyle w:val="ListParagraph"/>
        <w:numPr>
          <w:ilvl w:val="0"/>
          <w:numId w:val="42"/>
        </w:numPr>
        <w:spacing w:after="120" w:line="240" w:lineRule="auto"/>
        <w:ind w:left="1440"/>
        <w:rPr>
          <w:rFonts w:asciiTheme="minorHAnsi" w:hAnsiTheme="minorHAnsi"/>
        </w:rPr>
      </w:pPr>
      <w:r w:rsidRPr="00374DF6">
        <w:rPr>
          <w:rFonts w:asciiTheme="minorHAnsi" w:hAnsiTheme="minorHAnsi"/>
        </w:rPr>
        <w:t>Example statement</w:t>
      </w:r>
      <w:r w:rsidR="00B07512">
        <w:rPr>
          <w:rFonts w:asciiTheme="minorHAnsi" w:hAnsiTheme="minorHAnsi"/>
        </w:rPr>
        <w:t xml:space="preserve">: </w:t>
      </w:r>
      <w:r w:rsidR="006042A4">
        <w:rPr>
          <w:rFonts w:asciiTheme="minorHAnsi" w:hAnsiTheme="minorHAnsi"/>
        </w:rPr>
        <w:t xml:space="preserve"> </w:t>
      </w:r>
      <w:r w:rsidR="0076467F" w:rsidRPr="00EF2CC7">
        <w:rPr>
          <w:rFonts w:asciiTheme="minorHAnsi" w:hAnsiTheme="minorHAnsi"/>
          <w:i/>
          <w:iCs/>
        </w:rPr>
        <w:t>From 2017-2021</w:t>
      </w:r>
      <w:r w:rsidR="0076467F">
        <w:rPr>
          <w:rFonts w:asciiTheme="minorHAnsi" w:hAnsiTheme="minorHAnsi"/>
          <w:i/>
          <w:iCs/>
        </w:rPr>
        <w:t>, t</w:t>
      </w:r>
      <w:r w:rsidRPr="00374DF6">
        <w:rPr>
          <w:rFonts w:asciiTheme="minorHAnsi" w:hAnsiTheme="minorHAnsi"/>
          <w:i/>
          <w:iCs/>
        </w:rPr>
        <w:t xml:space="preserve">he age-adjusted </w:t>
      </w:r>
      <w:r w:rsidR="00CB63E7">
        <w:rPr>
          <w:rFonts w:asciiTheme="minorHAnsi" w:hAnsiTheme="minorHAnsi"/>
          <w:i/>
          <w:iCs/>
        </w:rPr>
        <w:t>incidence</w:t>
      </w:r>
      <w:r w:rsidRPr="00374DF6">
        <w:rPr>
          <w:rFonts w:asciiTheme="minorHAnsi" w:hAnsiTheme="minorHAnsi"/>
          <w:i/>
          <w:iCs/>
        </w:rPr>
        <w:t xml:space="preserve"> rate for</w:t>
      </w:r>
      <w:r>
        <w:rPr>
          <w:rFonts w:asciiTheme="minorHAnsi" w:hAnsiTheme="minorHAnsi"/>
          <w:i/>
          <w:iCs/>
        </w:rPr>
        <w:t xml:space="preserve"> p</w:t>
      </w:r>
      <w:r w:rsidR="00CB63E7">
        <w:rPr>
          <w:rFonts w:asciiTheme="minorHAnsi" w:hAnsiTheme="minorHAnsi"/>
          <w:i/>
          <w:iCs/>
        </w:rPr>
        <w:t>ancreatic</w:t>
      </w:r>
      <w:r>
        <w:rPr>
          <w:rFonts w:asciiTheme="minorHAnsi" w:hAnsiTheme="minorHAnsi"/>
          <w:i/>
          <w:iCs/>
        </w:rPr>
        <w:t xml:space="preserve"> cancer</w:t>
      </w:r>
      <w:r w:rsidRPr="00374DF6">
        <w:rPr>
          <w:rFonts w:asciiTheme="minorHAnsi" w:hAnsiTheme="minorHAnsi"/>
          <w:i/>
          <w:iCs/>
        </w:rPr>
        <w:t xml:space="preserve"> among</w:t>
      </w:r>
      <w:r>
        <w:rPr>
          <w:rFonts w:asciiTheme="minorHAnsi" w:hAnsiTheme="minorHAnsi"/>
          <w:i/>
          <w:iCs/>
        </w:rPr>
        <w:t xml:space="preserve"> </w:t>
      </w:r>
      <w:r w:rsidR="00AC71E3">
        <w:rPr>
          <w:rFonts w:asciiTheme="minorHAnsi" w:hAnsiTheme="minorHAnsi"/>
          <w:i/>
          <w:iCs/>
        </w:rPr>
        <w:t>non</w:t>
      </w:r>
      <w:r>
        <w:rPr>
          <w:rFonts w:asciiTheme="minorHAnsi" w:hAnsiTheme="minorHAnsi"/>
          <w:i/>
          <w:iCs/>
        </w:rPr>
        <w:t>-Hispanic Black Delawareans</w:t>
      </w:r>
      <w:r w:rsidRPr="00374DF6">
        <w:rPr>
          <w:rFonts w:asciiTheme="minorHAnsi" w:hAnsiTheme="minorHAnsi"/>
          <w:i/>
          <w:iCs/>
        </w:rPr>
        <w:t xml:space="preserve"> (</w:t>
      </w:r>
      <w:r w:rsidR="007C684F">
        <w:rPr>
          <w:rFonts w:asciiTheme="minorHAnsi" w:hAnsiTheme="minorHAnsi"/>
          <w:i/>
          <w:iCs/>
        </w:rPr>
        <w:t>17</w:t>
      </w:r>
      <w:r>
        <w:rPr>
          <w:rFonts w:asciiTheme="minorHAnsi" w:hAnsiTheme="minorHAnsi"/>
          <w:i/>
          <w:iCs/>
        </w:rPr>
        <w:t>.</w:t>
      </w:r>
      <w:r w:rsidR="007C684F">
        <w:rPr>
          <w:rFonts w:asciiTheme="minorHAnsi" w:hAnsiTheme="minorHAnsi"/>
          <w:i/>
          <w:iCs/>
        </w:rPr>
        <w:t>5</w:t>
      </w:r>
      <w:r w:rsidRPr="00374DF6">
        <w:rPr>
          <w:rFonts w:asciiTheme="minorHAnsi" w:hAnsiTheme="minorHAnsi"/>
          <w:i/>
          <w:iCs/>
        </w:rPr>
        <w:t xml:space="preserve"> </w:t>
      </w:r>
      <w:r w:rsidR="00DC7147">
        <w:rPr>
          <w:rFonts w:asciiTheme="minorHAnsi" w:hAnsiTheme="minorHAnsi"/>
          <w:i/>
          <w:iCs/>
        </w:rPr>
        <w:t>cases</w:t>
      </w:r>
      <w:r w:rsidRPr="00374DF6">
        <w:rPr>
          <w:rFonts w:asciiTheme="minorHAnsi" w:hAnsiTheme="minorHAnsi"/>
          <w:i/>
          <w:iCs/>
        </w:rPr>
        <w:t xml:space="preserve"> per 100,000 population) was statistically significantly </w:t>
      </w:r>
      <w:r>
        <w:rPr>
          <w:rFonts w:asciiTheme="minorHAnsi" w:hAnsiTheme="minorHAnsi"/>
          <w:i/>
          <w:iCs/>
        </w:rPr>
        <w:t xml:space="preserve">higher </w:t>
      </w:r>
      <w:r w:rsidRPr="00374DF6">
        <w:rPr>
          <w:rFonts w:asciiTheme="minorHAnsi" w:hAnsiTheme="minorHAnsi"/>
          <w:i/>
          <w:iCs/>
        </w:rPr>
        <w:t>compared to</w:t>
      </w:r>
      <w:r>
        <w:rPr>
          <w:rFonts w:asciiTheme="minorHAnsi" w:hAnsiTheme="minorHAnsi"/>
          <w:i/>
          <w:iCs/>
        </w:rPr>
        <w:t xml:space="preserve"> </w:t>
      </w:r>
      <w:r w:rsidR="00AC71E3">
        <w:rPr>
          <w:rFonts w:asciiTheme="minorHAnsi" w:hAnsiTheme="minorHAnsi"/>
          <w:i/>
          <w:iCs/>
        </w:rPr>
        <w:t>non</w:t>
      </w:r>
      <w:r>
        <w:rPr>
          <w:rFonts w:asciiTheme="minorHAnsi" w:hAnsiTheme="minorHAnsi"/>
          <w:i/>
          <w:iCs/>
        </w:rPr>
        <w:t>-Hispanic White Delawareans</w:t>
      </w:r>
      <w:r w:rsidRPr="00374DF6">
        <w:rPr>
          <w:rFonts w:asciiTheme="minorHAnsi" w:hAnsiTheme="minorHAnsi"/>
          <w:i/>
          <w:iCs/>
        </w:rPr>
        <w:t xml:space="preserve"> (</w:t>
      </w:r>
      <w:r>
        <w:rPr>
          <w:rFonts w:asciiTheme="minorHAnsi" w:hAnsiTheme="minorHAnsi"/>
          <w:i/>
          <w:iCs/>
        </w:rPr>
        <w:t>1</w:t>
      </w:r>
      <w:r w:rsidR="007C684F">
        <w:rPr>
          <w:rFonts w:asciiTheme="minorHAnsi" w:hAnsiTheme="minorHAnsi"/>
          <w:i/>
          <w:iCs/>
        </w:rPr>
        <w:t>3</w:t>
      </w:r>
      <w:r>
        <w:rPr>
          <w:rFonts w:asciiTheme="minorHAnsi" w:hAnsiTheme="minorHAnsi"/>
          <w:i/>
          <w:iCs/>
        </w:rPr>
        <w:t>.</w:t>
      </w:r>
      <w:r w:rsidR="007C684F">
        <w:rPr>
          <w:rFonts w:asciiTheme="minorHAnsi" w:hAnsiTheme="minorHAnsi"/>
          <w:i/>
          <w:iCs/>
        </w:rPr>
        <w:t>8</w:t>
      </w:r>
      <w:r w:rsidRPr="00374DF6">
        <w:rPr>
          <w:rFonts w:asciiTheme="minorHAnsi" w:hAnsiTheme="minorHAnsi"/>
          <w:i/>
          <w:iCs/>
        </w:rPr>
        <w:t xml:space="preserve"> </w:t>
      </w:r>
      <w:r w:rsidR="00DC7147">
        <w:rPr>
          <w:rFonts w:asciiTheme="minorHAnsi" w:hAnsiTheme="minorHAnsi"/>
          <w:i/>
          <w:iCs/>
        </w:rPr>
        <w:t>cases</w:t>
      </w:r>
      <w:r w:rsidRPr="00374DF6">
        <w:rPr>
          <w:rFonts w:asciiTheme="minorHAnsi" w:hAnsiTheme="minorHAnsi"/>
          <w:i/>
          <w:iCs/>
        </w:rPr>
        <w:t xml:space="preserve"> per 100,000 population).</w:t>
      </w:r>
      <w:r w:rsidRPr="00374DF6">
        <w:rPr>
          <w:rFonts w:asciiTheme="minorHAnsi" w:hAnsiTheme="minorHAnsi"/>
        </w:rPr>
        <w:t xml:space="preserve">  </w:t>
      </w:r>
    </w:p>
    <w:p w14:paraId="72DC7AB8" w14:textId="77777777" w:rsidR="00FC561F" w:rsidRPr="00B8648B" w:rsidRDefault="00FC561F" w:rsidP="00FC561F">
      <w:pPr>
        <w:pStyle w:val="ListParagraph"/>
        <w:spacing w:after="120" w:line="240" w:lineRule="auto"/>
        <w:ind w:left="1440"/>
        <w:rPr>
          <w:rFonts w:asciiTheme="minorHAnsi" w:hAnsiTheme="minorHAnsi"/>
        </w:rPr>
      </w:pPr>
    </w:p>
    <w:p w14:paraId="0F5CCF78" w14:textId="11E6ABFF" w:rsidR="00FC561F" w:rsidRDefault="00FC561F" w:rsidP="00FC561F">
      <w:pPr>
        <w:pStyle w:val="ListParagraph"/>
        <w:numPr>
          <w:ilvl w:val="0"/>
          <w:numId w:val="42"/>
        </w:numPr>
        <w:spacing w:after="120" w:line="240" w:lineRule="auto"/>
        <w:contextualSpacing w:val="0"/>
        <w:rPr>
          <w:rFonts w:asciiTheme="minorHAnsi" w:hAnsiTheme="minorHAnsi"/>
        </w:rPr>
      </w:pPr>
      <w:r>
        <w:rPr>
          <w:rFonts w:asciiTheme="minorHAnsi" w:hAnsiTheme="minorHAnsi"/>
        </w:rPr>
        <w:t xml:space="preserve">Non-Hispanic Black Delawareans had a statistically significantly </w:t>
      </w:r>
      <w:r>
        <w:rPr>
          <w:rFonts w:asciiTheme="minorHAnsi" w:hAnsiTheme="minorHAnsi"/>
          <w:u w:val="single"/>
        </w:rPr>
        <w:t>lower</w:t>
      </w:r>
      <w:r w:rsidRPr="006D51FB">
        <w:rPr>
          <w:rFonts w:asciiTheme="minorHAnsi" w:hAnsiTheme="minorHAnsi"/>
        </w:rPr>
        <w:t xml:space="preserve"> </w:t>
      </w:r>
      <w:r>
        <w:rPr>
          <w:rFonts w:asciiTheme="minorHAnsi" w:hAnsiTheme="minorHAnsi"/>
        </w:rPr>
        <w:t xml:space="preserve">age-adjusted </w:t>
      </w:r>
      <w:r w:rsidR="00481CDC">
        <w:rPr>
          <w:rFonts w:asciiTheme="minorHAnsi" w:hAnsiTheme="minorHAnsi"/>
        </w:rPr>
        <w:t>incidence</w:t>
      </w:r>
      <w:r>
        <w:rPr>
          <w:rFonts w:asciiTheme="minorHAnsi" w:hAnsiTheme="minorHAnsi"/>
        </w:rPr>
        <w:t xml:space="preserve"> rate compared to </w:t>
      </w:r>
      <w:r w:rsidR="00AC71E3">
        <w:rPr>
          <w:rFonts w:asciiTheme="minorHAnsi" w:hAnsiTheme="minorHAnsi"/>
        </w:rPr>
        <w:t>non</w:t>
      </w:r>
      <w:r>
        <w:rPr>
          <w:rFonts w:asciiTheme="minorHAnsi" w:hAnsiTheme="minorHAnsi"/>
        </w:rPr>
        <w:t>-Hispanic White Delawareans</w:t>
      </w:r>
      <w:r w:rsidR="008F7DC6">
        <w:rPr>
          <w:rFonts w:asciiTheme="minorHAnsi" w:hAnsiTheme="minorHAnsi"/>
        </w:rPr>
        <w:t xml:space="preserve"> for</w:t>
      </w:r>
      <w:r w:rsidR="00D568AE">
        <w:rPr>
          <w:rFonts w:asciiTheme="minorHAnsi" w:hAnsiTheme="minorHAnsi"/>
        </w:rPr>
        <w:t xml:space="preserve"> </w:t>
      </w:r>
      <w:r w:rsidR="006E09F4">
        <w:rPr>
          <w:rFonts w:asciiTheme="minorHAnsi" w:hAnsiTheme="minorHAnsi"/>
        </w:rPr>
        <w:t xml:space="preserve">oral cavity and pharynx, </w:t>
      </w:r>
      <w:r w:rsidR="00BE1D05">
        <w:rPr>
          <w:rFonts w:asciiTheme="minorHAnsi" w:hAnsiTheme="minorHAnsi"/>
        </w:rPr>
        <w:t>esophagus, lung and bronchus,</w:t>
      </w:r>
      <w:r w:rsidR="00B61ACF">
        <w:rPr>
          <w:rFonts w:asciiTheme="minorHAnsi" w:hAnsiTheme="minorHAnsi"/>
        </w:rPr>
        <w:t xml:space="preserve"> urinary bladder,</w:t>
      </w:r>
      <w:r w:rsidR="00BE1D05">
        <w:rPr>
          <w:rFonts w:asciiTheme="minorHAnsi" w:hAnsiTheme="minorHAnsi"/>
        </w:rPr>
        <w:t xml:space="preserve"> brain</w:t>
      </w:r>
      <w:r>
        <w:rPr>
          <w:rFonts w:asciiTheme="minorHAnsi" w:hAnsiTheme="minorHAnsi"/>
        </w:rPr>
        <w:t xml:space="preserve"> and other nervous system</w:t>
      </w:r>
      <w:r w:rsidR="00B61ACF">
        <w:rPr>
          <w:rFonts w:asciiTheme="minorHAnsi" w:hAnsiTheme="minorHAnsi"/>
        </w:rPr>
        <w:t>, thyroid, non-Hodgkin lymphoma, leukemia</w:t>
      </w:r>
      <w:r w:rsidR="00B07512">
        <w:rPr>
          <w:rFonts w:asciiTheme="minorHAnsi" w:hAnsiTheme="minorHAnsi"/>
        </w:rPr>
        <w:t>,</w:t>
      </w:r>
      <w:r w:rsidR="00B61ACF">
        <w:rPr>
          <w:rFonts w:asciiTheme="minorHAnsi" w:hAnsiTheme="minorHAnsi"/>
        </w:rPr>
        <w:t xml:space="preserve"> and ovarian cancers.</w:t>
      </w:r>
    </w:p>
    <w:p w14:paraId="768FF459" w14:textId="5FE4C0BF" w:rsidR="00FC561F" w:rsidRPr="000509A6" w:rsidRDefault="00FC561F" w:rsidP="00FC561F">
      <w:pPr>
        <w:pStyle w:val="ListParagraph"/>
        <w:numPr>
          <w:ilvl w:val="0"/>
          <w:numId w:val="42"/>
        </w:numPr>
        <w:spacing w:after="120" w:line="240" w:lineRule="auto"/>
        <w:ind w:left="1440"/>
        <w:rPr>
          <w:rFonts w:asciiTheme="minorHAnsi" w:hAnsiTheme="minorHAnsi"/>
          <w:i/>
          <w:iCs/>
        </w:rPr>
      </w:pPr>
      <w:r w:rsidRPr="000509A6">
        <w:rPr>
          <w:rFonts w:asciiTheme="minorHAnsi" w:hAnsiTheme="minorHAnsi"/>
          <w:i/>
          <w:iCs/>
        </w:rPr>
        <w:t>Example statement</w:t>
      </w:r>
      <w:r w:rsidR="00B07512">
        <w:rPr>
          <w:rFonts w:asciiTheme="minorHAnsi" w:hAnsiTheme="minorHAnsi"/>
          <w:i/>
          <w:iCs/>
        </w:rPr>
        <w:t>:</w:t>
      </w:r>
      <w:r w:rsidR="000435BC">
        <w:rPr>
          <w:rFonts w:asciiTheme="minorHAnsi" w:hAnsiTheme="minorHAnsi"/>
          <w:i/>
          <w:iCs/>
        </w:rPr>
        <w:t xml:space="preserve"> </w:t>
      </w:r>
      <w:r w:rsidR="006042A4">
        <w:rPr>
          <w:rFonts w:asciiTheme="minorHAnsi" w:hAnsiTheme="minorHAnsi"/>
          <w:i/>
          <w:iCs/>
        </w:rPr>
        <w:t xml:space="preserve"> </w:t>
      </w:r>
      <w:r w:rsidR="0076467F" w:rsidRPr="00EF2CC7">
        <w:rPr>
          <w:rFonts w:asciiTheme="minorHAnsi" w:hAnsiTheme="minorHAnsi"/>
          <w:i/>
          <w:iCs/>
        </w:rPr>
        <w:t>From 2017-2021</w:t>
      </w:r>
      <w:r w:rsidR="0076467F">
        <w:rPr>
          <w:rFonts w:asciiTheme="minorHAnsi" w:hAnsiTheme="minorHAnsi"/>
          <w:i/>
          <w:iCs/>
        </w:rPr>
        <w:t>, t</w:t>
      </w:r>
      <w:r w:rsidRPr="000509A6">
        <w:rPr>
          <w:rFonts w:asciiTheme="minorHAnsi" w:hAnsiTheme="minorHAnsi"/>
          <w:i/>
          <w:iCs/>
        </w:rPr>
        <w:t>he age-adjusted</w:t>
      </w:r>
      <w:r w:rsidR="00D219C6">
        <w:rPr>
          <w:rFonts w:asciiTheme="minorHAnsi" w:hAnsiTheme="minorHAnsi"/>
          <w:i/>
          <w:iCs/>
        </w:rPr>
        <w:t xml:space="preserve"> cancer incidence </w:t>
      </w:r>
      <w:r>
        <w:rPr>
          <w:rFonts w:asciiTheme="minorHAnsi" w:hAnsiTheme="minorHAnsi"/>
          <w:i/>
          <w:iCs/>
        </w:rPr>
        <w:t>rate fo</w:t>
      </w:r>
      <w:r w:rsidR="00D219C6">
        <w:rPr>
          <w:rFonts w:asciiTheme="minorHAnsi" w:hAnsiTheme="minorHAnsi"/>
          <w:i/>
          <w:iCs/>
        </w:rPr>
        <w:t>r leukemia</w:t>
      </w:r>
      <w:r w:rsidRPr="000509A6">
        <w:rPr>
          <w:rFonts w:asciiTheme="minorHAnsi" w:hAnsiTheme="minorHAnsi"/>
          <w:i/>
          <w:iCs/>
        </w:rPr>
        <w:t xml:space="preserve"> among</w:t>
      </w:r>
      <w:r>
        <w:rPr>
          <w:rFonts w:asciiTheme="minorHAnsi" w:hAnsiTheme="minorHAnsi"/>
          <w:i/>
          <w:iCs/>
        </w:rPr>
        <w:t xml:space="preserve"> </w:t>
      </w:r>
      <w:r w:rsidR="00AC71E3">
        <w:rPr>
          <w:rFonts w:asciiTheme="minorHAnsi" w:hAnsiTheme="minorHAnsi"/>
          <w:i/>
          <w:iCs/>
        </w:rPr>
        <w:t>non</w:t>
      </w:r>
      <w:r>
        <w:rPr>
          <w:rFonts w:asciiTheme="minorHAnsi" w:hAnsiTheme="minorHAnsi"/>
          <w:i/>
          <w:iCs/>
        </w:rPr>
        <w:t>-Hispanic Black Delawareans</w:t>
      </w:r>
      <w:r w:rsidRPr="000509A6">
        <w:rPr>
          <w:rFonts w:asciiTheme="minorHAnsi" w:hAnsiTheme="minorHAnsi"/>
          <w:i/>
          <w:iCs/>
        </w:rPr>
        <w:t xml:space="preserve"> (</w:t>
      </w:r>
      <w:r w:rsidR="00B53852">
        <w:rPr>
          <w:rFonts w:asciiTheme="minorHAnsi" w:hAnsiTheme="minorHAnsi"/>
          <w:i/>
          <w:iCs/>
        </w:rPr>
        <w:t>9.6</w:t>
      </w:r>
      <w:r w:rsidR="000D28FA">
        <w:rPr>
          <w:rFonts w:asciiTheme="minorHAnsi" w:hAnsiTheme="minorHAnsi"/>
          <w:i/>
          <w:iCs/>
        </w:rPr>
        <w:t xml:space="preserve"> cases </w:t>
      </w:r>
      <w:r w:rsidRPr="000509A6">
        <w:rPr>
          <w:rFonts w:asciiTheme="minorHAnsi" w:hAnsiTheme="minorHAnsi"/>
          <w:i/>
          <w:iCs/>
        </w:rPr>
        <w:t>per 100,000 population) was statistically significantly lower compared to</w:t>
      </w:r>
      <w:r>
        <w:rPr>
          <w:rFonts w:asciiTheme="minorHAnsi" w:hAnsiTheme="minorHAnsi"/>
          <w:i/>
          <w:iCs/>
        </w:rPr>
        <w:t xml:space="preserve"> </w:t>
      </w:r>
      <w:r w:rsidR="00AC71E3">
        <w:rPr>
          <w:rFonts w:asciiTheme="minorHAnsi" w:hAnsiTheme="minorHAnsi"/>
          <w:i/>
          <w:iCs/>
        </w:rPr>
        <w:t>non</w:t>
      </w:r>
      <w:r>
        <w:rPr>
          <w:rFonts w:asciiTheme="minorHAnsi" w:hAnsiTheme="minorHAnsi"/>
          <w:i/>
          <w:iCs/>
        </w:rPr>
        <w:t>-Hispanic White Delawareans</w:t>
      </w:r>
      <w:r w:rsidRPr="000509A6">
        <w:rPr>
          <w:rFonts w:asciiTheme="minorHAnsi" w:hAnsiTheme="minorHAnsi"/>
          <w:i/>
          <w:iCs/>
        </w:rPr>
        <w:t xml:space="preserve"> (</w:t>
      </w:r>
      <w:r w:rsidR="00B53852">
        <w:rPr>
          <w:rFonts w:asciiTheme="minorHAnsi" w:hAnsiTheme="minorHAnsi"/>
          <w:i/>
          <w:iCs/>
        </w:rPr>
        <w:t>13.</w:t>
      </w:r>
      <w:r w:rsidR="000D28FA">
        <w:rPr>
          <w:rFonts w:asciiTheme="minorHAnsi" w:hAnsiTheme="minorHAnsi"/>
          <w:i/>
          <w:iCs/>
        </w:rPr>
        <w:t>5 cases</w:t>
      </w:r>
      <w:r w:rsidRPr="000509A6">
        <w:rPr>
          <w:rFonts w:asciiTheme="minorHAnsi" w:hAnsiTheme="minorHAnsi"/>
          <w:i/>
          <w:iCs/>
        </w:rPr>
        <w:t xml:space="preserve"> per 100,000 population).  </w:t>
      </w:r>
    </w:p>
    <w:p w14:paraId="0B9DFEA9" w14:textId="77777777" w:rsidR="00FC561F" w:rsidRPr="00374DF6" w:rsidRDefault="00FC561F" w:rsidP="00FC561F">
      <w:pPr>
        <w:pStyle w:val="ListParagraph"/>
        <w:spacing w:after="120" w:line="240" w:lineRule="auto"/>
        <w:rPr>
          <w:rFonts w:asciiTheme="minorHAnsi" w:hAnsiTheme="minorHAnsi"/>
        </w:rPr>
      </w:pPr>
    </w:p>
    <w:p w14:paraId="473F447A" w14:textId="384FD602" w:rsidR="00FC561F" w:rsidRPr="003D0BC6" w:rsidRDefault="00FC561F" w:rsidP="00FC561F">
      <w:pPr>
        <w:pStyle w:val="ListParagraph"/>
        <w:numPr>
          <w:ilvl w:val="0"/>
          <w:numId w:val="42"/>
        </w:numPr>
        <w:spacing w:after="120" w:line="240" w:lineRule="auto"/>
        <w:contextualSpacing w:val="0"/>
        <w:rPr>
          <w:rFonts w:asciiTheme="minorHAnsi" w:hAnsiTheme="minorHAnsi"/>
        </w:rPr>
      </w:pPr>
      <w:r>
        <w:rPr>
          <w:rFonts w:asciiTheme="minorHAnsi" w:hAnsiTheme="minorHAnsi"/>
        </w:rPr>
        <w:t xml:space="preserve">Non-Hispanic Black Delawareans had statistically </w:t>
      </w:r>
      <w:r w:rsidRPr="00A357DD">
        <w:rPr>
          <w:rFonts w:asciiTheme="minorHAnsi" w:hAnsiTheme="minorHAnsi"/>
          <w:u w:val="single"/>
        </w:rPr>
        <w:t>no difference</w:t>
      </w:r>
      <w:r>
        <w:rPr>
          <w:rFonts w:asciiTheme="minorHAnsi" w:hAnsiTheme="minorHAnsi"/>
        </w:rPr>
        <w:t xml:space="preserve"> in </w:t>
      </w:r>
      <w:r w:rsidRPr="00A357DD">
        <w:rPr>
          <w:rFonts w:asciiTheme="minorHAnsi" w:hAnsiTheme="minorHAnsi"/>
        </w:rPr>
        <w:t>age-adjuste</w:t>
      </w:r>
      <w:r>
        <w:rPr>
          <w:rFonts w:asciiTheme="minorHAnsi" w:hAnsiTheme="minorHAnsi"/>
        </w:rPr>
        <w:t xml:space="preserve">d </w:t>
      </w:r>
      <w:r w:rsidR="00F12F66">
        <w:rPr>
          <w:rFonts w:asciiTheme="minorHAnsi" w:hAnsiTheme="minorHAnsi"/>
        </w:rPr>
        <w:t>incidence</w:t>
      </w:r>
      <w:r>
        <w:rPr>
          <w:rFonts w:asciiTheme="minorHAnsi" w:hAnsiTheme="minorHAnsi"/>
        </w:rPr>
        <w:t xml:space="preserve"> rates compared to </w:t>
      </w:r>
      <w:r w:rsidR="00AC71E3">
        <w:rPr>
          <w:rFonts w:asciiTheme="minorHAnsi" w:hAnsiTheme="minorHAnsi"/>
        </w:rPr>
        <w:t>non</w:t>
      </w:r>
      <w:r>
        <w:rPr>
          <w:rFonts w:asciiTheme="minorHAnsi" w:hAnsiTheme="minorHAnsi"/>
        </w:rPr>
        <w:t>-Hispanic White Delawareans for</w:t>
      </w:r>
      <w:r w:rsidR="00D2273C">
        <w:rPr>
          <w:rFonts w:asciiTheme="minorHAnsi" w:hAnsiTheme="minorHAnsi"/>
        </w:rPr>
        <w:t xml:space="preserve"> all-sites, colon and rectum (colorectal), larynx, kidney </w:t>
      </w:r>
      <w:r>
        <w:rPr>
          <w:rFonts w:asciiTheme="minorHAnsi" w:hAnsiTheme="minorHAnsi"/>
        </w:rPr>
        <w:t>and renal pelvis,</w:t>
      </w:r>
      <w:r w:rsidR="00D2273C">
        <w:rPr>
          <w:rFonts w:asciiTheme="minorHAnsi" w:hAnsiTheme="minorHAnsi"/>
        </w:rPr>
        <w:t xml:space="preserve"> </w:t>
      </w:r>
      <w:r>
        <w:rPr>
          <w:rFonts w:asciiTheme="minorHAnsi" w:hAnsiTheme="minorHAnsi"/>
        </w:rPr>
        <w:t xml:space="preserve">Hodgkin lymphoma, </w:t>
      </w:r>
      <w:r w:rsidR="00D2273C">
        <w:rPr>
          <w:rFonts w:asciiTheme="minorHAnsi" w:hAnsiTheme="minorHAnsi"/>
        </w:rPr>
        <w:t xml:space="preserve">female breast, </w:t>
      </w:r>
      <w:r>
        <w:rPr>
          <w:rFonts w:asciiTheme="minorHAnsi" w:hAnsiTheme="minorHAnsi"/>
        </w:rPr>
        <w:t>cervical</w:t>
      </w:r>
      <w:r w:rsidR="00851A56">
        <w:rPr>
          <w:rFonts w:asciiTheme="minorHAnsi" w:hAnsiTheme="minorHAnsi"/>
        </w:rPr>
        <w:t>,</w:t>
      </w:r>
      <w:r>
        <w:rPr>
          <w:rFonts w:asciiTheme="minorHAnsi" w:hAnsiTheme="minorHAnsi"/>
        </w:rPr>
        <w:t xml:space="preserve"> and</w:t>
      </w:r>
      <w:r w:rsidR="00D2273C">
        <w:rPr>
          <w:rFonts w:asciiTheme="minorHAnsi" w:hAnsiTheme="minorHAnsi"/>
        </w:rPr>
        <w:t xml:space="preserve"> uterine</w:t>
      </w:r>
      <w:r>
        <w:rPr>
          <w:rFonts w:asciiTheme="minorHAnsi" w:hAnsiTheme="minorHAnsi"/>
        </w:rPr>
        <w:t xml:space="preserve"> cancers</w:t>
      </w:r>
      <w:r w:rsidR="00B03F91">
        <w:rPr>
          <w:rFonts w:asciiTheme="minorHAnsi" w:hAnsiTheme="minorHAnsi"/>
        </w:rPr>
        <w:t>.</w:t>
      </w:r>
      <w:r>
        <w:rPr>
          <w:rFonts w:asciiTheme="minorHAnsi" w:hAnsiTheme="minorHAnsi"/>
        </w:rPr>
        <w:t xml:space="preserve"> </w:t>
      </w:r>
    </w:p>
    <w:p w14:paraId="6132E72B" w14:textId="4617480B" w:rsidR="00FC561F" w:rsidRPr="00A755FC" w:rsidRDefault="00FC561F" w:rsidP="00FC561F">
      <w:pPr>
        <w:pStyle w:val="ListParagraph"/>
        <w:numPr>
          <w:ilvl w:val="0"/>
          <w:numId w:val="42"/>
        </w:numPr>
        <w:spacing w:after="120" w:line="240" w:lineRule="auto"/>
        <w:ind w:left="1440"/>
        <w:rPr>
          <w:rFonts w:asciiTheme="minorHAnsi" w:hAnsiTheme="minorHAnsi"/>
          <w:i/>
          <w:iCs/>
        </w:rPr>
      </w:pPr>
      <w:r w:rsidRPr="00A755FC">
        <w:rPr>
          <w:rFonts w:asciiTheme="minorHAnsi" w:hAnsiTheme="minorHAnsi"/>
          <w:i/>
          <w:iCs/>
        </w:rPr>
        <w:t>Example statement</w:t>
      </w:r>
      <w:r w:rsidR="00B07512">
        <w:rPr>
          <w:rFonts w:asciiTheme="minorHAnsi" w:hAnsiTheme="minorHAnsi"/>
          <w:i/>
          <w:iCs/>
        </w:rPr>
        <w:t xml:space="preserve">:  </w:t>
      </w:r>
      <w:r w:rsidR="0076467F" w:rsidRPr="00EF2CC7">
        <w:rPr>
          <w:rFonts w:asciiTheme="minorHAnsi" w:hAnsiTheme="minorHAnsi"/>
          <w:i/>
          <w:iCs/>
        </w:rPr>
        <w:t>From 2017-2021</w:t>
      </w:r>
      <w:r w:rsidR="0076467F">
        <w:rPr>
          <w:rFonts w:asciiTheme="minorHAnsi" w:hAnsiTheme="minorHAnsi"/>
          <w:i/>
          <w:iCs/>
        </w:rPr>
        <w:t>, t</w:t>
      </w:r>
      <w:r w:rsidRPr="005C46B8">
        <w:rPr>
          <w:rFonts w:asciiTheme="minorHAnsi" w:hAnsiTheme="minorHAnsi"/>
          <w:i/>
          <w:iCs/>
        </w:rPr>
        <w:t>here was no statistical difference in the</w:t>
      </w:r>
      <w:r w:rsidRPr="00B71502">
        <w:rPr>
          <w:rFonts w:asciiTheme="minorHAnsi" w:hAnsiTheme="minorHAnsi"/>
          <w:i/>
          <w:iCs/>
        </w:rPr>
        <w:t xml:space="preserve"> age-adjusted</w:t>
      </w:r>
      <w:r>
        <w:rPr>
          <w:rFonts w:asciiTheme="minorHAnsi" w:hAnsiTheme="minorHAnsi"/>
          <w:i/>
          <w:iCs/>
        </w:rPr>
        <w:t xml:space="preserve"> </w:t>
      </w:r>
      <w:r w:rsidR="004A282D">
        <w:rPr>
          <w:rFonts w:asciiTheme="minorHAnsi" w:hAnsiTheme="minorHAnsi"/>
          <w:i/>
          <w:iCs/>
        </w:rPr>
        <w:t>incidence</w:t>
      </w:r>
      <w:r>
        <w:rPr>
          <w:rFonts w:asciiTheme="minorHAnsi" w:hAnsiTheme="minorHAnsi"/>
          <w:i/>
          <w:iCs/>
        </w:rPr>
        <w:t xml:space="preserve"> </w:t>
      </w:r>
      <w:r w:rsidRPr="00B71502">
        <w:rPr>
          <w:rFonts w:asciiTheme="minorHAnsi" w:hAnsiTheme="minorHAnsi"/>
          <w:i/>
          <w:iCs/>
        </w:rPr>
        <w:t>rate</w:t>
      </w:r>
      <w:r>
        <w:rPr>
          <w:rFonts w:asciiTheme="minorHAnsi" w:hAnsiTheme="minorHAnsi"/>
          <w:i/>
          <w:iCs/>
        </w:rPr>
        <w:t>s</w:t>
      </w:r>
      <w:r w:rsidRPr="00B71502">
        <w:rPr>
          <w:rFonts w:asciiTheme="minorHAnsi" w:hAnsiTheme="minorHAnsi"/>
          <w:i/>
          <w:iCs/>
        </w:rPr>
        <w:t xml:space="preserve"> for</w:t>
      </w:r>
      <w:r w:rsidR="005A60B8">
        <w:rPr>
          <w:rFonts w:asciiTheme="minorHAnsi" w:hAnsiTheme="minorHAnsi"/>
          <w:i/>
          <w:iCs/>
        </w:rPr>
        <w:t xml:space="preserve"> cervical</w:t>
      </w:r>
      <w:r>
        <w:rPr>
          <w:rFonts w:asciiTheme="minorHAnsi" w:hAnsiTheme="minorHAnsi"/>
          <w:i/>
          <w:iCs/>
        </w:rPr>
        <w:t xml:space="preserve"> cancer</w:t>
      </w:r>
      <w:r w:rsidRPr="00B71502">
        <w:rPr>
          <w:rFonts w:asciiTheme="minorHAnsi" w:hAnsiTheme="minorHAnsi"/>
          <w:i/>
          <w:iCs/>
        </w:rPr>
        <w:t xml:space="preserve"> among </w:t>
      </w:r>
      <w:r w:rsidR="00AC71E3">
        <w:rPr>
          <w:rFonts w:asciiTheme="minorHAnsi" w:hAnsiTheme="minorHAnsi"/>
          <w:i/>
          <w:iCs/>
        </w:rPr>
        <w:t>non</w:t>
      </w:r>
      <w:r>
        <w:rPr>
          <w:rFonts w:asciiTheme="minorHAnsi" w:hAnsiTheme="minorHAnsi"/>
          <w:i/>
          <w:iCs/>
        </w:rPr>
        <w:t>-Hispanic Black Delawareans</w:t>
      </w:r>
      <w:r w:rsidRPr="000509A6">
        <w:rPr>
          <w:rFonts w:asciiTheme="minorHAnsi" w:hAnsiTheme="minorHAnsi"/>
          <w:i/>
          <w:iCs/>
        </w:rPr>
        <w:t xml:space="preserve"> </w:t>
      </w:r>
      <w:r w:rsidRPr="00B71502">
        <w:rPr>
          <w:rFonts w:asciiTheme="minorHAnsi" w:hAnsiTheme="minorHAnsi"/>
          <w:i/>
          <w:iCs/>
        </w:rPr>
        <w:t>(</w:t>
      </w:r>
      <w:r w:rsidR="00AC151E">
        <w:rPr>
          <w:rFonts w:asciiTheme="minorHAnsi" w:hAnsiTheme="minorHAnsi"/>
          <w:i/>
          <w:iCs/>
        </w:rPr>
        <w:t>5.9 cases</w:t>
      </w:r>
      <w:r>
        <w:rPr>
          <w:rFonts w:asciiTheme="minorHAnsi" w:hAnsiTheme="minorHAnsi"/>
          <w:i/>
          <w:iCs/>
        </w:rPr>
        <w:t xml:space="preserve"> </w:t>
      </w:r>
      <w:r w:rsidRPr="00B71502">
        <w:rPr>
          <w:rFonts w:asciiTheme="minorHAnsi" w:hAnsiTheme="minorHAnsi"/>
          <w:i/>
          <w:iCs/>
        </w:rPr>
        <w:t>per 100,000 population)</w:t>
      </w:r>
      <w:r>
        <w:rPr>
          <w:rFonts w:asciiTheme="minorHAnsi" w:hAnsiTheme="minorHAnsi"/>
          <w:i/>
          <w:iCs/>
        </w:rPr>
        <w:t xml:space="preserve"> and</w:t>
      </w:r>
      <w:r w:rsidRPr="00B71502">
        <w:rPr>
          <w:rFonts w:asciiTheme="minorHAnsi" w:hAnsiTheme="minorHAnsi"/>
          <w:i/>
          <w:iCs/>
        </w:rPr>
        <w:t xml:space="preserve"> </w:t>
      </w:r>
      <w:r w:rsidR="00AC71E3">
        <w:rPr>
          <w:rFonts w:asciiTheme="minorHAnsi" w:hAnsiTheme="minorHAnsi"/>
          <w:i/>
          <w:iCs/>
        </w:rPr>
        <w:t>non</w:t>
      </w:r>
      <w:r>
        <w:rPr>
          <w:rFonts w:asciiTheme="minorHAnsi" w:hAnsiTheme="minorHAnsi"/>
          <w:i/>
          <w:iCs/>
        </w:rPr>
        <w:t>-Hispanic White Delawareans</w:t>
      </w:r>
      <w:r w:rsidRPr="000509A6">
        <w:rPr>
          <w:rFonts w:asciiTheme="minorHAnsi" w:hAnsiTheme="minorHAnsi"/>
          <w:i/>
          <w:iCs/>
        </w:rPr>
        <w:t xml:space="preserve"> </w:t>
      </w:r>
      <w:r w:rsidRPr="00B71502">
        <w:rPr>
          <w:rFonts w:asciiTheme="minorHAnsi" w:hAnsiTheme="minorHAnsi"/>
          <w:i/>
          <w:iCs/>
        </w:rPr>
        <w:t>(</w:t>
      </w:r>
      <w:r w:rsidR="00AC151E">
        <w:rPr>
          <w:rFonts w:asciiTheme="minorHAnsi" w:hAnsiTheme="minorHAnsi"/>
          <w:i/>
          <w:iCs/>
        </w:rPr>
        <w:t xml:space="preserve">7.4 cases </w:t>
      </w:r>
      <w:r w:rsidRPr="00B71502">
        <w:rPr>
          <w:rFonts w:asciiTheme="minorHAnsi" w:hAnsiTheme="minorHAnsi"/>
          <w:i/>
          <w:iCs/>
        </w:rPr>
        <w:t>per 100,000 population)</w:t>
      </w:r>
      <w:r w:rsidR="00B07512">
        <w:rPr>
          <w:rFonts w:asciiTheme="minorHAnsi" w:hAnsiTheme="minorHAnsi"/>
          <w:i/>
          <w:iCs/>
        </w:rPr>
        <w:t>.</w:t>
      </w:r>
      <w:r>
        <w:rPr>
          <w:rFonts w:asciiTheme="minorHAnsi" w:hAnsiTheme="minorHAnsi"/>
          <w:i/>
          <w:iCs/>
        </w:rPr>
        <w:t xml:space="preserve"> </w:t>
      </w:r>
    </w:p>
    <w:p w14:paraId="78DB3735" w14:textId="77777777" w:rsidR="00FC561F" w:rsidRDefault="00FC561F" w:rsidP="00FC561F">
      <w:pPr>
        <w:pStyle w:val="ListParagraph"/>
        <w:spacing w:after="120" w:line="240" w:lineRule="auto"/>
        <w:ind w:left="1440"/>
        <w:rPr>
          <w:rFonts w:asciiTheme="minorHAnsi" w:hAnsiTheme="minorHAnsi"/>
          <w:i/>
          <w:iCs/>
        </w:rPr>
      </w:pPr>
    </w:p>
    <w:p w14:paraId="0CE1DD40" w14:textId="4EEFB722" w:rsidR="00FC561F" w:rsidRPr="00962386" w:rsidRDefault="00FC561F" w:rsidP="00FC561F">
      <w:pPr>
        <w:pStyle w:val="ListParagraph"/>
        <w:numPr>
          <w:ilvl w:val="0"/>
          <w:numId w:val="42"/>
        </w:numPr>
        <w:spacing w:after="120" w:line="240" w:lineRule="auto"/>
        <w:rPr>
          <w:rFonts w:asciiTheme="minorHAnsi" w:hAnsiTheme="minorHAnsi"/>
        </w:rPr>
      </w:pPr>
      <w:r w:rsidRPr="00962386">
        <w:rPr>
          <w:rFonts w:asciiTheme="minorHAnsi" w:hAnsiTheme="minorHAnsi"/>
        </w:rPr>
        <w:t>Due to</w:t>
      </w:r>
      <w:r>
        <w:rPr>
          <w:rFonts w:asciiTheme="minorHAnsi" w:hAnsiTheme="minorHAnsi"/>
        </w:rPr>
        <w:t xml:space="preserve"> fewer than 16 </w:t>
      </w:r>
      <w:r w:rsidR="00D81029">
        <w:rPr>
          <w:rFonts w:asciiTheme="minorHAnsi" w:hAnsiTheme="minorHAnsi"/>
        </w:rPr>
        <w:t>cases</w:t>
      </w:r>
      <w:r>
        <w:rPr>
          <w:rFonts w:asciiTheme="minorHAnsi" w:hAnsiTheme="minorHAnsi"/>
        </w:rPr>
        <w:t>, significance testing could</w:t>
      </w:r>
      <w:r w:rsidR="00B07512">
        <w:rPr>
          <w:rFonts w:asciiTheme="minorHAnsi" w:hAnsiTheme="minorHAnsi"/>
        </w:rPr>
        <w:t xml:space="preserve"> </w:t>
      </w:r>
      <w:r>
        <w:rPr>
          <w:rFonts w:asciiTheme="minorHAnsi" w:hAnsiTheme="minorHAnsi"/>
        </w:rPr>
        <w:t>n</w:t>
      </w:r>
      <w:r w:rsidR="00B07512">
        <w:rPr>
          <w:rFonts w:asciiTheme="minorHAnsi" w:hAnsiTheme="minorHAnsi"/>
        </w:rPr>
        <w:t>o</w:t>
      </w:r>
      <w:r>
        <w:rPr>
          <w:rFonts w:asciiTheme="minorHAnsi" w:hAnsiTheme="minorHAnsi"/>
        </w:rPr>
        <w:t>t be completed fo</w:t>
      </w:r>
      <w:r w:rsidR="00D81029">
        <w:rPr>
          <w:rFonts w:asciiTheme="minorHAnsi" w:hAnsiTheme="minorHAnsi"/>
        </w:rPr>
        <w:t>r melanoma</w:t>
      </w:r>
      <w:r>
        <w:rPr>
          <w:rFonts w:asciiTheme="minorHAnsi" w:hAnsiTheme="minorHAnsi"/>
        </w:rPr>
        <w:t xml:space="preserve"> and testicular cancers. </w:t>
      </w:r>
    </w:p>
    <w:p w14:paraId="4FF1906E" w14:textId="77777777" w:rsidR="00FC561F" w:rsidRPr="00D23D15" w:rsidRDefault="00FC561F" w:rsidP="00FC561F">
      <w:pPr>
        <w:spacing w:after="120" w:line="240" w:lineRule="auto"/>
        <w:rPr>
          <w:rFonts w:asciiTheme="minorHAnsi" w:hAnsiTheme="minorHAnsi"/>
          <w:highlight w:val="green"/>
        </w:rPr>
      </w:pPr>
    </w:p>
    <w:p w14:paraId="013E9DF0" w14:textId="5D5167B8" w:rsidR="00FC561F" w:rsidRPr="004913A2" w:rsidRDefault="00FC561F" w:rsidP="00FC561F">
      <w:pPr>
        <w:pStyle w:val="ListParagraph"/>
        <w:numPr>
          <w:ilvl w:val="0"/>
          <w:numId w:val="21"/>
        </w:numPr>
        <w:tabs>
          <w:tab w:val="left" w:pos="720"/>
        </w:tabs>
        <w:spacing w:after="120" w:line="240" w:lineRule="auto"/>
        <w:ind w:left="360"/>
        <w:contextualSpacing w:val="0"/>
        <w:rPr>
          <w:rFonts w:asciiTheme="minorHAnsi" w:hAnsiTheme="minorHAnsi" w:cstheme="minorHAnsi"/>
        </w:rPr>
      </w:pPr>
      <w:r>
        <w:rPr>
          <w:rFonts w:asciiTheme="minorHAnsi" w:hAnsiTheme="minorHAnsi" w:cstheme="minorHAnsi"/>
        </w:rPr>
        <w:t xml:space="preserve">Comparing Hispanic Delawareans to </w:t>
      </w:r>
      <w:r w:rsidR="00AC71E3">
        <w:rPr>
          <w:rFonts w:asciiTheme="minorHAnsi" w:hAnsiTheme="minorHAnsi" w:cstheme="minorHAnsi"/>
        </w:rPr>
        <w:t>non</w:t>
      </w:r>
      <w:r>
        <w:rPr>
          <w:rFonts w:asciiTheme="minorHAnsi" w:hAnsiTheme="minorHAnsi" w:cstheme="minorHAnsi"/>
        </w:rPr>
        <w:t xml:space="preserve">-Hispanic White Delawareans </w:t>
      </w:r>
      <w:r w:rsidRPr="004913A2">
        <w:rPr>
          <w:rFonts w:asciiTheme="minorHAnsi" w:hAnsiTheme="minorHAnsi" w:cstheme="minorHAnsi"/>
        </w:rPr>
        <w:t>from 201</w:t>
      </w:r>
      <w:r>
        <w:rPr>
          <w:rFonts w:asciiTheme="minorHAnsi" w:hAnsiTheme="minorHAnsi" w:cstheme="minorHAnsi"/>
        </w:rPr>
        <w:t>7</w:t>
      </w:r>
      <w:r w:rsidRPr="004913A2">
        <w:rPr>
          <w:rFonts w:asciiTheme="minorHAnsi" w:hAnsiTheme="minorHAnsi" w:cstheme="minorHAnsi"/>
        </w:rPr>
        <w:t>-20</w:t>
      </w:r>
      <w:r>
        <w:rPr>
          <w:rFonts w:asciiTheme="minorHAnsi" w:hAnsiTheme="minorHAnsi" w:cstheme="minorHAnsi"/>
        </w:rPr>
        <w:t>21</w:t>
      </w:r>
      <w:r w:rsidRPr="004913A2">
        <w:rPr>
          <w:rFonts w:asciiTheme="minorHAnsi" w:hAnsiTheme="minorHAnsi" w:cstheme="minorHAnsi"/>
        </w:rPr>
        <w:t>:</w:t>
      </w:r>
    </w:p>
    <w:p w14:paraId="0494AB3C" w14:textId="6FC13C84" w:rsidR="00856A79" w:rsidRDefault="00856A79" w:rsidP="003F3137">
      <w:pPr>
        <w:pStyle w:val="ListParagraph"/>
        <w:numPr>
          <w:ilvl w:val="0"/>
          <w:numId w:val="45"/>
        </w:numPr>
        <w:spacing w:after="120" w:line="240" w:lineRule="auto"/>
        <w:contextualSpacing w:val="0"/>
        <w:rPr>
          <w:rFonts w:asciiTheme="minorHAnsi" w:hAnsiTheme="minorHAnsi"/>
        </w:rPr>
      </w:pPr>
      <w:r>
        <w:rPr>
          <w:rFonts w:asciiTheme="minorHAnsi" w:hAnsiTheme="minorHAnsi"/>
        </w:rPr>
        <w:t xml:space="preserve">Hispanic Delawareans had a statistically significantly </w:t>
      </w:r>
      <w:r w:rsidR="00EF098C">
        <w:rPr>
          <w:rFonts w:asciiTheme="minorHAnsi" w:hAnsiTheme="minorHAnsi"/>
          <w:u w:val="single"/>
        </w:rPr>
        <w:t>higher</w:t>
      </w:r>
      <w:r w:rsidRPr="006D51FB">
        <w:rPr>
          <w:rFonts w:asciiTheme="minorHAnsi" w:hAnsiTheme="minorHAnsi"/>
        </w:rPr>
        <w:t xml:space="preserve"> </w:t>
      </w:r>
      <w:r>
        <w:rPr>
          <w:rFonts w:asciiTheme="minorHAnsi" w:hAnsiTheme="minorHAnsi"/>
        </w:rPr>
        <w:t>age-adjusted</w:t>
      </w:r>
      <w:r w:rsidR="00862549">
        <w:rPr>
          <w:rFonts w:asciiTheme="minorHAnsi" w:hAnsiTheme="minorHAnsi"/>
        </w:rPr>
        <w:t xml:space="preserve"> incidence </w:t>
      </w:r>
      <w:r>
        <w:rPr>
          <w:rFonts w:asciiTheme="minorHAnsi" w:hAnsiTheme="minorHAnsi"/>
        </w:rPr>
        <w:t xml:space="preserve">rate compared to </w:t>
      </w:r>
      <w:r w:rsidR="00AC71E3">
        <w:rPr>
          <w:rFonts w:asciiTheme="minorHAnsi" w:hAnsiTheme="minorHAnsi"/>
        </w:rPr>
        <w:t>non</w:t>
      </w:r>
      <w:r>
        <w:rPr>
          <w:rFonts w:asciiTheme="minorHAnsi" w:hAnsiTheme="minorHAnsi"/>
        </w:rPr>
        <w:t>-Hispanic White Delawareans for</w:t>
      </w:r>
      <w:r w:rsidR="00862549">
        <w:rPr>
          <w:rFonts w:asciiTheme="minorHAnsi" w:hAnsiTheme="minorHAnsi"/>
        </w:rPr>
        <w:t xml:space="preserve"> stomach</w:t>
      </w:r>
      <w:r w:rsidR="002F1FF4">
        <w:rPr>
          <w:rFonts w:asciiTheme="minorHAnsi" w:hAnsiTheme="minorHAnsi"/>
        </w:rPr>
        <w:t>,</w:t>
      </w:r>
      <w:r w:rsidR="00862549">
        <w:rPr>
          <w:rFonts w:asciiTheme="minorHAnsi" w:hAnsiTheme="minorHAnsi"/>
        </w:rPr>
        <w:t xml:space="preserve"> and </w:t>
      </w:r>
      <w:r w:rsidR="00862549" w:rsidRPr="00661549">
        <w:rPr>
          <w:rFonts w:asciiTheme="minorHAnsi" w:hAnsiTheme="minorHAnsi"/>
        </w:rPr>
        <w:t>liver and intrahepatic bile duct</w:t>
      </w:r>
      <w:r w:rsidR="00862549">
        <w:rPr>
          <w:rFonts w:asciiTheme="minorHAnsi" w:hAnsiTheme="minorHAnsi"/>
        </w:rPr>
        <w:t xml:space="preserve"> cancers</w:t>
      </w:r>
      <w:r w:rsidR="00B97065">
        <w:rPr>
          <w:rFonts w:asciiTheme="minorHAnsi" w:hAnsiTheme="minorHAnsi"/>
        </w:rPr>
        <w:t>.</w:t>
      </w:r>
    </w:p>
    <w:p w14:paraId="5A3DA8B9" w14:textId="3CCA6A0B" w:rsidR="00FC561F" w:rsidRPr="00E469F7" w:rsidRDefault="00D17888" w:rsidP="00856A79">
      <w:pPr>
        <w:pStyle w:val="ListParagraph"/>
        <w:numPr>
          <w:ilvl w:val="0"/>
          <w:numId w:val="44"/>
        </w:numPr>
        <w:spacing w:after="120" w:line="240" w:lineRule="auto"/>
        <w:rPr>
          <w:rFonts w:asciiTheme="minorHAnsi" w:hAnsiTheme="minorHAnsi"/>
          <w:i/>
          <w:iCs/>
        </w:rPr>
      </w:pPr>
      <w:r>
        <w:rPr>
          <w:rFonts w:asciiTheme="minorHAnsi" w:hAnsiTheme="minorHAnsi"/>
          <w:i/>
          <w:iCs/>
        </w:rPr>
        <w:t>Example statement</w:t>
      </w:r>
      <w:r w:rsidR="00B07512">
        <w:rPr>
          <w:rFonts w:asciiTheme="minorHAnsi" w:hAnsiTheme="minorHAnsi"/>
          <w:i/>
          <w:iCs/>
        </w:rPr>
        <w:t>:</w:t>
      </w:r>
      <w:r w:rsidR="0076467F" w:rsidRPr="0076467F">
        <w:rPr>
          <w:rFonts w:asciiTheme="minorHAnsi" w:hAnsiTheme="minorHAnsi"/>
          <w:i/>
          <w:iCs/>
        </w:rPr>
        <w:t xml:space="preserve"> </w:t>
      </w:r>
      <w:r w:rsidR="00B97065">
        <w:rPr>
          <w:rFonts w:asciiTheme="minorHAnsi" w:hAnsiTheme="minorHAnsi"/>
          <w:i/>
          <w:iCs/>
        </w:rPr>
        <w:t xml:space="preserve"> </w:t>
      </w:r>
      <w:r w:rsidR="0076467F" w:rsidRPr="00EF2CC7">
        <w:rPr>
          <w:rFonts w:asciiTheme="minorHAnsi" w:hAnsiTheme="minorHAnsi"/>
          <w:i/>
          <w:iCs/>
        </w:rPr>
        <w:t>From 2017-2021</w:t>
      </w:r>
      <w:r w:rsidR="0076467F">
        <w:rPr>
          <w:rFonts w:asciiTheme="minorHAnsi" w:hAnsiTheme="minorHAnsi"/>
          <w:i/>
          <w:iCs/>
        </w:rPr>
        <w:t>, t</w:t>
      </w:r>
      <w:r w:rsidR="00FC561F" w:rsidRPr="00E469F7">
        <w:rPr>
          <w:rFonts w:asciiTheme="minorHAnsi" w:hAnsiTheme="minorHAnsi"/>
          <w:i/>
          <w:iCs/>
        </w:rPr>
        <w:t>he age-adjusted</w:t>
      </w:r>
      <w:r>
        <w:rPr>
          <w:rFonts w:asciiTheme="minorHAnsi" w:hAnsiTheme="minorHAnsi"/>
          <w:i/>
          <w:iCs/>
        </w:rPr>
        <w:t xml:space="preserve"> incidence</w:t>
      </w:r>
      <w:r w:rsidR="00FC561F" w:rsidRPr="00E469F7">
        <w:rPr>
          <w:rFonts w:asciiTheme="minorHAnsi" w:hAnsiTheme="minorHAnsi"/>
          <w:i/>
          <w:iCs/>
        </w:rPr>
        <w:t xml:space="preserve"> rate for stomach cancer among Hispanic Delawareans (</w:t>
      </w:r>
      <w:r>
        <w:rPr>
          <w:rFonts w:asciiTheme="minorHAnsi" w:hAnsiTheme="minorHAnsi"/>
          <w:i/>
          <w:iCs/>
        </w:rPr>
        <w:t>11.4</w:t>
      </w:r>
      <w:r w:rsidR="00FC561F" w:rsidRPr="00E469F7">
        <w:rPr>
          <w:rFonts w:asciiTheme="minorHAnsi" w:hAnsiTheme="minorHAnsi"/>
          <w:i/>
          <w:iCs/>
        </w:rPr>
        <w:t xml:space="preserve"> </w:t>
      </w:r>
      <w:r>
        <w:rPr>
          <w:rFonts w:asciiTheme="minorHAnsi" w:hAnsiTheme="minorHAnsi"/>
          <w:i/>
          <w:iCs/>
        </w:rPr>
        <w:t>cases</w:t>
      </w:r>
      <w:r w:rsidR="00FC561F" w:rsidRPr="00E469F7">
        <w:rPr>
          <w:rFonts w:asciiTheme="minorHAnsi" w:hAnsiTheme="minorHAnsi"/>
          <w:i/>
          <w:iCs/>
        </w:rPr>
        <w:t xml:space="preserve"> per 100,000 population) was statistically significantly</w:t>
      </w:r>
      <w:r w:rsidR="00FC561F" w:rsidRPr="00EF098C">
        <w:rPr>
          <w:rFonts w:asciiTheme="minorHAnsi" w:hAnsiTheme="minorHAnsi"/>
          <w:i/>
          <w:iCs/>
        </w:rPr>
        <w:t xml:space="preserve"> higher</w:t>
      </w:r>
      <w:r w:rsidR="00FC561F" w:rsidRPr="006D51FB">
        <w:rPr>
          <w:rFonts w:asciiTheme="minorHAnsi" w:hAnsiTheme="minorHAnsi"/>
          <w:i/>
          <w:iCs/>
        </w:rPr>
        <w:t xml:space="preserve"> </w:t>
      </w:r>
      <w:r w:rsidR="00FC561F" w:rsidRPr="00E469F7">
        <w:rPr>
          <w:rFonts w:asciiTheme="minorHAnsi" w:hAnsiTheme="minorHAnsi"/>
          <w:i/>
          <w:iCs/>
        </w:rPr>
        <w:t xml:space="preserve">compared to </w:t>
      </w:r>
      <w:r w:rsidR="00AC71E3">
        <w:rPr>
          <w:rFonts w:asciiTheme="minorHAnsi" w:hAnsiTheme="minorHAnsi"/>
          <w:i/>
          <w:iCs/>
        </w:rPr>
        <w:t>non</w:t>
      </w:r>
      <w:r w:rsidR="00FC561F" w:rsidRPr="00E469F7">
        <w:rPr>
          <w:rFonts w:asciiTheme="minorHAnsi" w:hAnsiTheme="minorHAnsi"/>
          <w:i/>
          <w:iCs/>
        </w:rPr>
        <w:t>-Hispanic White Delawareans (</w:t>
      </w:r>
      <w:r>
        <w:rPr>
          <w:rFonts w:asciiTheme="minorHAnsi" w:hAnsiTheme="minorHAnsi"/>
          <w:i/>
          <w:iCs/>
        </w:rPr>
        <w:t>5</w:t>
      </w:r>
      <w:r w:rsidR="00FC561F" w:rsidRPr="00E469F7">
        <w:rPr>
          <w:rFonts w:asciiTheme="minorHAnsi" w:hAnsiTheme="minorHAnsi"/>
          <w:i/>
          <w:iCs/>
        </w:rPr>
        <w:t xml:space="preserve">.3 </w:t>
      </w:r>
      <w:r>
        <w:rPr>
          <w:rFonts w:asciiTheme="minorHAnsi" w:hAnsiTheme="minorHAnsi"/>
          <w:i/>
          <w:iCs/>
        </w:rPr>
        <w:t>cases</w:t>
      </w:r>
      <w:r w:rsidR="00FC561F" w:rsidRPr="00E469F7">
        <w:rPr>
          <w:rFonts w:asciiTheme="minorHAnsi" w:hAnsiTheme="minorHAnsi"/>
          <w:i/>
          <w:iCs/>
        </w:rPr>
        <w:t xml:space="preserve"> per 100,000 population).  </w:t>
      </w:r>
    </w:p>
    <w:p w14:paraId="0A7EA551" w14:textId="77777777" w:rsidR="00FC561F" w:rsidRPr="000B18B0" w:rsidRDefault="00FC561F" w:rsidP="00FC561F">
      <w:pPr>
        <w:pStyle w:val="ListParagraph"/>
        <w:spacing w:after="120" w:line="240" w:lineRule="auto"/>
        <w:rPr>
          <w:rFonts w:asciiTheme="minorHAnsi" w:hAnsiTheme="minorHAnsi"/>
        </w:rPr>
      </w:pPr>
    </w:p>
    <w:p w14:paraId="3798C6C7" w14:textId="1112F333" w:rsidR="00FC561F" w:rsidRDefault="003B78D8" w:rsidP="00FC561F">
      <w:pPr>
        <w:pStyle w:val="ListParagraph"/>
        <w:numPr>
          <w:ilvl w:val="0"/>
          <w:numId w:val="42"/>
        </w:numPr>
        <w:spacing w:after="120" w:line="240" w:lineRule="auto"/>
        <w:contextualSpacing w:val="0"/>
        <w:rPr>
          <w:rFonts w:asciiTheme="minorHAnsi" w:hAnsiTheme="minorHAnsi"/>
        </w:rPr>
      </w:pPr>
      <w:r>
        <w:rPr>
          <w:rFonts w:asciiTheme="minorHAnsi" w:hAnsiTheme="minorHAnsi"/>
        </w:rPr>
        <w:t xml:space="preserve">Hispanic </w:t>
      </w:r>
      <w:r w:rsidR="00FC561F">
        <w:rPr>
          <w:rFonts w:asciiTheme="minorHAnsi" w:hAnsiTheme="minorHAnsi"/>
        </w:rPr>
        <w:t xml:space="preserve">Delawareans had a statistically significantly </w:t>
      </w:r>
      <w:r w:rsidR="00FC561F">
        <w:rPr>
          <w:rFonts w:asciiTheme="minorHAnsi" w:hAnsiTheme="minorHAnsi"/>
          <w:u w:val="single"/>
        </w:rPr>
        <w:t>lower</w:t>
      </w:r>
      <w:r w:rsidR="00FC561F" w:rsidRPr="006D51FB">
        <w:rPr>
          <w:rFonts w:asciiTheme="minorHAnsi" w:hAnsiTheme="minorHAnsi"/>
        </w:rPr>
        <w:t xml:space="preserve"> </w:t>
      </w:r>
      <w:r w:rsidR="00FC561F">
        <w:rPr>
          <w:rFonts w:asciiTheme="minorHAnsi" w:hAnsiTheme="minorHAnsi"/>
        </w:rPr>
        <w:t xml:space="preserve">age-adjusted </w:t>
      </w:r>
      <w:r w:rsidR="00772D19">
        <w:rPr>
          <w:rFonts w:asciiTheme="minorHAnsi" w:hAnsiTheme="minorHAnsi"/>
        </w:rPr>
        <w:t xml:space="preserve">incidence </w:t>
      </w:r>
      <w:r w:rsidR="00FC561F">
        <w:rPr>
          <w:rFonts w:asciiTheme="minorHAnsi" w:hAnsiTheme="minorHAnsi"/>
        </w:rPr>
        <w:t xml:space="preserve">rate compared to </w:t>
      </w:r>
      <w:r w:rsidR="00AC71E3">
        <w:rPr>
          <w:rFonts w:asciiTheme="minorHAnsi" w:hAnsiTheme="minorHAnsi"/>
        </w:rPr>
        <w:t>non</w:t>
      </w:r>
      <w:r w:rsidR="00FC561F">
        <w:rPr>
          <w:rFonts w:asciiTheme="minorHAnsi" w:hAnsiTheme="minorHAnsi"/>
        </w:rPr>
        <w:t>-Hispanic White Delawareans for all-sites,</w:t>
      </w:r>
      <w:r w:rsidR="00C20185">
        <w:rPr>
          <w:rFonts w:asciiTheme="minorHAnsi" w:hAnsiTheme="minorHAnsi"/>
        </w:rPr>
        <w:t xml:space="preserve"> </w:t>
      </w:r>
      <w:r w:rsidR="00C20185" w:rsidRPr="0075279F">
        <w:rPr>
          <w:rFonts w:asciiTheme="minorHAnsi" w:hAnsiTheme="minorHAnsi"/>
        </w:rPr>
        <w:t>oral cavity and pharynx</w:t>
      </w:r>
      <w:r w:rsidR="00C20185">
        <w:rPr>
          <w:rFonts w:asciiTheme="minorHAnsi" w:hAnsiTheme="minorHAnsi"/>
        </w:rPr>
        <w:t>, colon and rectum (colorectal)</w:t>
      </w:r>
      <w:r w:rsidR="00B07512">
        <w:rPr>
          <w:rFonts w:asciiTheme="minorHAnsi" w:hAnsiTheme="minorHAnsi"/>
        </w:rPr>
        <w:t>,</w:t>
      </w:r>
      <w:r w:rsidR="00FC561F">
        <w:rPr>
          <w:rFonts w:asciiTheme="minorHAnsi" w:hAnsiTheme="minorHAnsi"/>
        </w:rPr>
        <w:t xml:space="preserve"> lung and bronchus,</w:t>
      </w:r>
      <w:r w:rsidR="00C20185">
        <w:rPr>
          <w:rFonts w:asciiTheme="minorHAnsi" w:hAnsiTheme="minorHAnsi"/>
        </w:rPr>
        <w:t xml:space="preserve"> urinary bladder</w:t>
      </w:r>
      <w:r w:rsidR="00F43474">
        <w:rPr>
          <w:rFonts w:asciiTheme="minorHAnsi" w:hAnsiTheme="minorHAnsi"/>
        </w:rPr>
        <w:t xml:space="preserve">, </w:t>
      </w:r>
      <w:r w:rsidR="00C20185">
        <w:rPr>
          <w:rFonts w:asciiTheme="minorHAnsi" w:hAnsiTheme="minorHAnsi"/>
        </w:rPr>
        <w:t>prostate</w:t>
      </w:r>
      <w:r w:rsidR="00B07512">
        <w:rPr>
          <w:rFonts w:asciiTheme="minorHAnsi" w:hAnsiTheme="minorHAnsi"/>
        </w:rPr>
        <w:t>,</w:t>
      </w:r>
      <w:r w:rsidR="00C20185">
        <w:rPr>
          <w:rFonts w:asciiTheme="minorHAnsi" w:hAnsiTheme="minorHAnsi"/>
        </w:rPr>
        <w:t xml:space="preserve"> </w:t>
      </w:r>
      <w:r w:rsidR="00FC561F">
        <w:rPr>
          <w:rFonts w:asciiTheme="minorHAnsi" w:hAnsiTheme="minorHAnsi"/>
        </w:rPr>
        <w:t>and female breast cance</w:t>
      </w:r>
      <w:r w:rsidR="00C20185">
        <w:rPr>
          <w:rFonts w:asciiTheme="minorHAnsi" w:hAnsiTheme="minorHAnsi"/>
        </w:rPr>
        <w:t>rs</w:t>
      </w:r>
      <w:r w:rsidR="00FC561F">
        <w:rPr>
          <w:rFonts w:asciiTheme="minorHAnsi" w:hAnsiTheme="minorHAnsi"/>
        </w:rPr>
        <w:t xml:space="preserve">. </w:t>
      </w:r>
    </w:p>
    <w:p w14:paraId="3AEB74EB" w14:textId="47445A93" w:rsidR="00E06B26" w:rsidRPr="00CF1D0B" w:rsidRDefault="00FC561F" w:rsidP="00CF1D0B">
      <w:pPr>
        <w:pStyle w:val="ListParagraph"/>
        <w:numPr>
          <w:ilvl w:val="0"/>
          <w:numId w:val="42"/>
        </w:numPr>
        <w:spacing w:after="120" w:line="240" w:lineRule="auto"/>
        <w:ind w:left="1440"/>
        <w:rPr>
          <w:rFonts w:asciiTheme="minorHAnsi" w:hAnsiTheme="minorHAnsi"/>
          <w:i/>
          <w:iCs/>
        </w:rPr>
      </w:pPr>
      <w:r w:rsidRPr="000509A6">
        <w:rPr>
          <w:rFonts w:asciiTheme="minorHAnsi" w:hAnsiTheme="minorHAnsi"/>
          <w:i/>
          <w:iCs/>
        </w:rPr>
        <w:t>Example statement</w:t>
      </w:r>
      <w:r w:rsidR="000F624E">
        <w:rPr>
          <w:rFonts w:asciiTheme="minorHAnsi" w:hAnsiTheme="minorHAnsi"/>
          <w:i/>
          <w:iCs/>
        </w:rPr>
        <w:t xml:space="preserve">: </w:t>
      </w:r>
      <w:r w:rsidR="00B97065">
        <w:rPr>
          <w:rFonts w:asciiTheme="minorHAnsi" w:hAnsiTheme="minorHAnsi"/>
          <w:i/>
          <w:iCs/>
        </w:rPr>
        <w:t xml:space="preserve"> </w:t>
      </w:r>
      <w:r w:rsidR="000F624E">
        <w:rPr>
          <w:rFonts w:asciiTheme="minorHAnsi" w:hAnsiTheme="minorHAnsi"/>
          <w:i/>
          <w:iCs/>
        </w:rPr>
        <w:t>From</w:t>
      </w:r>
      <w:r w:rsidR="0076467F" w:rsidRPr="00EF2CC7">
        <w:rPr>
          <w:rFonts w:asciiTheme="minorHAnsi" w:hAnsiTheme="minorHAnsi"/>
          <w:i/>
          <w:iCs/>
        </w:rPr>
        <w:t xml:space="preserve"> 2017-202</w:t>
      </w:r>
      <w:r w:rsidR="0076467F">
        <w:rPr>
          <w:rFonts w:asciiTheme="minorHAnsi" w:hAnsiTheme="minorHAnsi"/>
          <w:i/>
          <w:iCs/>
        </w:rPr>
        <w:t>1, t</w:t>
      </w:r>
      <w:r w:rsidRPr="000509A6">
        <w:rPr>
          <w:rFonts w:asciiTheme="minorHAnsi" w:hAnsiTheme="minorHAnsi"/>
          <w:i/>
          <w:iCs/>
        </w:rPr>
        <w:t>he age-adjusted</w:t>
      </w:r>
      <w:r>
        <w:rPr>
          <w:rFonts w:asciiTheme="minorHAnsi" w:hAnsiTheme="minorHAnsi"/>
          <w:i/>
          <w:iCs/>
        </w:rPr>
        <w:t xml:space="preserve"> </w:t>
      </w:r>
      <w:r w:rsidR="00772D19">
        <w:rPr>
          <w:rFonts w:asciiTheme="minorHAnsi" w:hAnsiTheme="minorHAnsi"/>
          <w:i/>
          <w:iCs/>
        </w:rPr>
        <w:t>incidence</w:t>
      </w:r>
      <w:r>
        <w:rPr>
          <w:rFonts w:asciiTheme="minorHAnsi" w:hAnsiTheme="minorHAnsi"/>
          <w:i/>
          <w:iCs/>
        </w:rPr>
        <w:t xml:space="preserve"> rate for</w:t>
      </w:r>
      <w:r w:rsidR="00674258">
        <w:rPr>
          <w:rFonts w:asciiTheme="minorHAnsi" w:hAnsiTheme="minorHAnsi"/>
          <w:i/>
          <w:iCs/>
        </w:rPr>
        <w:t xml:space="preserve"> urinary bladder</w:t>
      </w:r>
      <w:r>
        <w:rPr>
          <w:rFonts w:asciiTheme="minorHAnsi" w:hAnsiTheme="minorHAnsi"/>
          <w:i/>
          <w:iCs/>
        </w:rPr>
        <w:t xml:space="preserve"> </w:t>
      </w:r>
      <w:r w:rsidRPr="000509A6">
        <w:rPr>
          <w:rFonts w:asciiTheme="minorHAnsi" w:hAnsiTheme="minorHAnsi"/>
          <w:i/>
          <w:iCs/>
        </w:rPr>
        <w:t>cancer</w:t>
      </w:r>
      <w:r>
        <w:rPr>
          <w:rFonts w:asciiTheme="minorHAnsi" w:hAnsiTheme="minorHAnsi"/>
          <w:i/>
          <w:iCs/>
        </w:rPr>
        <w:t>s</w:t>
      </w:r>
      <w:r w:rsidRPr="000509A6">
        <w:rPr>
          <w:rFonts w:asciiTheme="minorHAnsi" w:hAnsiTheme="minorHAnsi"/>
          <w:i/>
          <w:iCs/>
        </w:rPr>
        <w:t xml:space="preserve"> among</w:t>
      </w:r>
      <w:r>
        <w:rPr>
          <w:rFonts w:asciiTheme="minorHAnsi" w:hAnsiTheme="minorHAnsi"/>
          <w:i/>
          <w:iCs/>
        </w:rPr>
        <w:t xml:space="preserve"> Hispanic Delawareans</w:t>
      </w:r>
      <w:r w:rsidRPr="000509A6">
        <w:rPr>
          <w:rFonts w:asciiTheme="minorHAnsi" w:hAnsiTheme="minorHAnsi"/>
          <w:i/>
          <w:iCs/>
        </w:rPr>
        <w:t xml:space="preserve"> (</w:t>
      </w:r>
      <w:r>
        <w:rPr>
          <w:rFonts w:asciiTheme="minorHAnsi" w:hAnsiTheme="minorHAnsi"/>
          <w:i/>
          <w:iCs/>
        </w:rPr>
        <w:t>16.</w:t>
      </w:r>
      <w:r w:rsidR="00674258">
        <w:rPr>
          <w:rFonts w:asciiTheme="minorHAnsi" w:hAnsiTheme="minorHAnsi"/>
          <w:i/>
          <w:iCs/>
        </w:rPr>
        <w:t>1</w:t>
      </w:r>
      <w:r w:rsidRPr="000509A6">
        <w:rPr>
          <w:rFonts w:asciiTheme="minorHAnsi" w:hAnsiTheme="minorHAnsi"/>
          <w:i/>
          <w:iCs/>
        </w:rPr>
        <w:t xml:space="preserve"> </w:t>
      </w:r>
      <w:r w:rsidR="00674258">
        <w:rPr>
          <w:rFonts w:asciiTheme="minorHAnsi" w:hAnsiTheme="minorHAnsi"/>
          <w:i/>
          <w:iCs/>
        </w:rPr>
        <w:t>cases</w:t>
      </w:r>
      <w:r w:rsidRPr="000509A6">
        <w:rPr>
          <w:rFonts w:asciiTheme="minorHAnsi" w:hAnsiTheme="minorHAnsi"/>
          <w:i/>
          <w:iCs/>
        </w:rPr>
        <w:t xml:space="preserve"> per 100,000 population) was statistically significantly lower compared to</w:t>
      </w:r>
      <w:r>
        <w:rPr>
          <w:rFonts w:asciiTheme="minorHAnsi" w:hAnsiTheme="minorHAnsi"/>
          <w:i/>
          <w:iCs/>
        </w:rPr>
        <w:t xml:space="preserve"> </w:t>
      </w:r>
      <w:r w:rsidR="00AC71E3">
        <w:rPr>
          <w:rFonts w:asciiTheme="minorHAnsi" w:hAnsiTheme="minorHAnsi"/>
          <w:i/>
          <w:iCs/>
        </w:rPr>
        <w:t>non</w:t>
      </w:r>
      <w:r>
        <w:rPr>
          <w:rFonts w:asciiTheme="minorHAnsi" w:hAnsiTheme="minorHAnsi"/>
          <w:i/>
          <w:iCs/>
        </w:rPr>
        <w:t>-Hispanic White Delawareans</w:t>
      </w:r>
      <w:r w:rsidRPr="000509A6">
        <w:rPr>
          <w:rFonts w:asciiTheme="minorHAnsi" w:hAnsiTheme="minorHAnsi"/>
          <w:i/>
          <w:iCs/>
        </w:rPr>
        <w:t xml:space="preserve"> (</w:t>
      </w:r>
      <w:r w:rsidR="00674258">
        <w:rPr>
          <w:rFonts w:asciiTheme="minorHAnsi" w:hAnsiTheme="minorHAnsi"/>
          <w:i/>
          <w:iCs/>
        </w:rPr>
        <w:t xml:space="preserve">24.5 cases </w:t>
      </w:r>
      <w:r w:rsidRPr="000509A6">
        <w:rPr>
          <w:rFonts w:asciiTheme="minorHAnsi" w:hAnsiTheme="minorHAnsi"/>
          <w:i/>
          <w:iCs/>
        </w:rPr>
        <w:t xml:space="preserve">per 100,000 population).  </w:t>
      </w:r>
    </w:p>
    <w:p w14:paraId="2D2E71EB" w14:textId="77777777" w:rsidR="00FC561F" w:rsidRPr="00374DF6" w:rsidRDefault="00FC561F" w:rsidP="00FC561F">
      <w:pPr>
        <w:pStyle w:val="ListParagraph"/>
        <w:spacing w:after="120" w:line="240" w:lineRule="auto"/>
        <w:rPr>
          <w:rFonts w:asciiTheme="minorHAnsi" w:hAnsiTheme="minorHAnsi"/>
        </w:rPr>
      </w:pPr>
    </w:p>
    <w:p w14:paraId="69D505C8" w14:textId="5CE36EE5" w:rsidR="00FC561F" w:rsidRPr="003D0BC6" w:rsidRDefault="00FC561F" w:rsidP="00FC561F">
      <w:pPr>
        <w:pStyle w:val="ListParagraph"/>
        <w:numPr>
          <w:ilvl w:val="0"/>
          <w:numId w:val="42"/>
        </w:numPr>
        <w:spacing w:after="120" w:line="240" w:lineRule="auto"/>
        <w:contextualSpacing w:val="0"/>
        <w:rPr>
          <w:rFonts w:asciiTheme="minorHAnsi" w:hAnsiTheme="minorHAnsi"/>
        </w:rPr>
      </w:pPr>
      <w:r>
        <w:rPr>
          <w:rFonts w:asciiTheme="minorHAnsi" w:hAnsiTheme="minorHAnsi"/>
        </w:rPr>
        <w:lastRenderedPageBreak/>
        <w:t xml:space="preserve">Hispanic Delawareans had statistically </w:t>
      </w:r>
      <w:r w:rsidRPr="00A357DD">
        <w:rPr>
          <w:rFonts w:asciiTheme="minorHAnsi" w:hAnsiTheme="minorHAnsi"/>
          <w:u w:val="single"/>
        </w:rPr>
        <w:t>no difference</w:t>
      </w:r>
      <w:r>
        <w:rPr>
          <w:rFonts w:asciiTheme="minorHAnsi" w:hAnsiTheme="minorHAnsi"/>
        </w:rPr>
        <w:t xml:space="preserve"> in </w:t>
      </w:r>
      <w:r w:rsidRPr="00A357DD">
        <w:rPr>
          <w:rFonts w:asciiTheme="minorHAnsi" w:hAnsiTheme="minorHAnsi"/>
        </w:rPr>
        <w:t>age-adjuste</w:t>
      </w:r>
      <w:r>
        <w:rPr>
          <w:rFonts w:asciiTheme="minorHAnsi" w:hAnsiTheme="minorHAnsi"/>
        </w:rPr>
        <w:t xml:space="preserve">d </w:t>
      </w:r>
      <w:r w:rsidR="00B41584">
        <w:rPr>
          <w:rFonts w:asciiTheme="minorHAnsi" w:hAnsiTheme="minorHAnsi"/>
        </w:rPr>
        <w:t>incidence</w:t>
      </w:r>
      <w:r>
        <w:rPr>
          <w:rFonts w:asciiTheme="minorHAnsi" w:hAnsiTheme="minorHAnsi"/>
        </w:rPr>
        <w:t xml:space="preserve"> rates compared to </w:t>
      </w:r>
      <w:r w:rsidR="00AC71E3">
        <w:rPr>
          <w:rFonts w:asciiTheme="minorHAnsi" w:hAnsiTheme="minorHAnsi"/>
        </w:rPr>
        <w:t>non</w:t>
      </w:r>
      <w:r>
        <w:rPr>
          <w:rFonts w:asciiTheme="minorHAnsi" w:hAnsiTheme="minorHAnsi"/>
        </w:rPr>
        <w:t>-Hispanic White Delawareans for</w:t>
      </w:r>
      <w:r w:rsidR="00C25377">
        <w:rPr>
          <w:rFonts w:asciiTheme="minorHAnsi" w:hAnsiTheme="minorHAnsi"/>
        </w:rPr>
        <w:t xml:space="preserve"> pancreas, kidney and renal pelvis, </w:t>
      </w:r>
      <w:r>
        <w:rPr>
          <w:rFonts w:asciiTheme="minorHAnsi" w:hAnsiTheme="minorHAnsi"/>
        </w:rPr>
        <w:t>non-Hodgkin lymphoma</w:t>
      </w:r>
      <w:r w:rsidR="00337388">
        <w:rPr>
          <w:rFonts w:asciiTheme="minorHAnsi" w:hAnsiTheme="minorHAnsi"/>
        </w:rPr>
        <w:t>, brain and other nervous system, myeloma, leukemia, uterine</w:t>
      </w:r>
      <w:r w:rsidR="002F1FF4">
        <w:rPr>
          <w:rFonts w:asciiTheme="minorHAnsi" w:hAnsiTheme="minorHAnsi"/>
        </w:rPr>
        <w:t>,</w:t>
      </w:r>
      <w:r w:rsidR="00337388">
        <w:rPr>
          <w:rFonts w:asciiTheme="minorHAnsi" w:hAnsiTheme="minorHAnsi"/>
        </w:rPr>
        <w:t xml:space="preserve"> and ovarian cancers. </w:t>
      </w:r>
    </w:p>
    <w:p w14:paraId="2C4BB973" w14:textId="698D5F27" w:rsidR="00FC561F" w:rsidRPr="00A755FC" w:rsidRDefault="00FC561F" w:rsidP="00FC561F">
      <w:pPr>
        <w:pStyle w:val="ListParagraph"/>
        <w:numPr>
          <w:ilvl w:val="0"/>
          <w:numId w:val="42"/>
        </w:numPr>
        <w:spacing w:after="120" w:line="240" w:lineRule="auto"/>
        <w:ind w:left="1440"/>
        <w:rPr>
          <w:rFonts w:asciiTheme="minorHAnsi" w:hAnsiTheme="minorHAnsi"/>
          <w:i/>
          <w:iCs/>
        </w:rPr>
      </w:pPr>
      <w:r w:rsidRPr="00A755FC">
        <w:rPr>
          <w:rFonts w:asciiTheme="minorHAnsi" w:hAnsiTheme="minorHAnsi"/>
          <w:i/>
          <w:iCs/>
        </w:rPr>
        <w:t>Example statement</w:t>
      </w:r>
      <w:r w:rsidR="001C6DD0">
        <w:rPr>
          <w:rFonts w:asciiTheme="minorHAnsi" w:hAnsiTheme="minorHAnsi"/>
          <w:i/>
          <w:iCs/>
        </w:rPr>
        <w:t xml:space="preserve">: </w:t>
      </w:r>
      <w:r w:rsidR="00B97065">
        <w:rPr>
          <w:rFonts w:asciiTheme="minorHAnsi" w:hAnsiTheme="minorHAnsi"/>
          <w:i/>
          <w:iCs/>
        </w:rPr>
        <w:t xml:space="preserve"> </w:t>
      </w:r>
      <w:r w:rsidR="00743C19">
        <w:rPr>
          <w:rFonts w:asciiTheme="minorHAnsi" w:hAnsiTheme="minorHAnsi"/>
          <w:i/>
          <w:iCs/>
        </w:rPr>
        <w:t>From</w:t>
      </w:r>
      <w:r w:rsidR="00743C19" w:rsidRPr="00EF2CC7">
        <w:rPr>
          <w:rFonts w:asciiTheme="minorHAnsi" w:hAnsiTheme="minorHAnsi"/>
          <w:i/>
          <w:iCs/>
        </w:rPr>
        <w:t xml:space="preserve"> 2017-202</w:t>
      </w:r>
      <w:r w:rsidR="00743C19">
        <w:rPr>
          <w:rFonts w:asciiTheme="minorHAnsi" w:hAnsiTheme="minorHAnsi"/>
          <w:i/>
          <w:iCs/>
        </w:rPr>
        <w:t>1, t</w:t>
      </w:r>
      <w:r w:rsidRPr="005C46B8">
        <w:rPr>
          <w:rFonts w:asciiTheme="minorHAnsi" w:hAnsiTheme="minorHAnsi"/>
          <w:i/>
          <w:iCs/>
        </w:rPr>
        <w:t>here was no statistical difference in the</w:t>
      </w:r>
      <w:r w:rsidRPr="00B71502">
        <w:rPr>
          <w:rFonts w:asciiTheme="minorHAnsi" w:hAnsiTheme="minorHAnsi"/>
          <w:i/>
          <w:iCs/>
        </w:rPr>
        <w:t xml:space="preserve"> age</w:t>
      </w:r>
      <w:r w:rsidR="00B41584">
        <w:rPr>
          <w:rFonts w:asciiTheme="minorHAnsi" w:hAnsiTheme="minorHAnsi"/>
          <w:i/>
          <w:iCs/>
        </w:rPr>
        <w:t>-adjusted incidence</w:t>
      </w:r>
      <w:r>
        <w:rPr>
          <w:rFonts w:asciiTheme="minorHAnsi" w:hAnsiTheme="minorHAnsi"/>
          <w:i/>
          <w:iCs/>
        </w:rPr>
        <w:t xml:space="preserve"> </w:t>
      </w:r>
      <w:r w:rsidRPr="00B71502">
        <w:rPr>
          <w:rFonts w:asciiTheme="minorHAnsi" w:hAnsiTheme="minorHAnsi"/>
          <w:i/>
          <w:iCs/>
        </w:rPr>
        <w:t>rate</w:t>
      </w:r>
      <w:r>
        <w:rPr>
          <w:rFonts w:asciiTheme="minorHAnsi" w:hAnsiTheme="minorHAnsi"/>
          <w:i/>
          <w:iCs/>
        </w:rPr>
        <w:t>s</w:t>
      </w:r>
      <w:r w:rsidRPr="00B71502">
        <w:rPr>
          <w:rFonts w:asciiTheme="minorHAnsi" w:hAnsiTheme="minorHAnsi"/>
          <w:i/>
          <w:iCs/>
        </w:rPr>
        <w:t xml:space="preserve"> for</w:t>
      </w:r>
      <w:r>
        <w:rPr>
          <w:rFonts w:asciiTheme="minorHAnsi" w:hAnsiTheme="minorHAnsi"/>
          <w:i/>
          <w:iCs/>
        </w:rPr>
        <w:t xml:space="preserve"> </w:t>
      </w:r>
      <w:r w:rsidR="00B41584">
        <w:rPr>
          <w:rFonts w:asciiTheme="minorHAnsi" w:hAnsiTheme="minorHAnsi"/>
          <w:i/>
          <w:iCs/>
        </w:rPr>
        <w:t xml:space="preserve">thyroid </w:t>
      </w:r>
      <w:r>
        <w:rPr>
          <w:rFonts w:asciiTheme="minorHAnsi" w:hAnsiTheme="minorHAnsi"/>
          <w:i/>
          <w:iCs/>
        </w:rPr>
        <w:t>cancer</w:t>
      </w:r>
      <w:r w:rsidRPr="00B71502">
        <w:rPr>
          <w:rFonts w:asciiTheme="minorHAnsi" w:hAnsiTheme="minorHAnsi"/>
          <w:i/>
          <w:iCs/>
        </w:rPr>
        <w:t xml:space="preserve"> among </w:t>
      </w:r>
      <w:r>
        <w:rPr>
          <w:rFonts w:asciiTheme="minorHAnsi" w:hAnsiTheme="minorHAnsi"/>
          <w:i/>
          <w:iCs/>
        </w:rPr>
        <w:t>Hispanic Delawareans</w:t>
      </w:r>
      <w:r w:rsidRPr="000509A6">
        <w:rPr>
          <w:rFonts w:asciiTheme="minorHAnsi" w:hAnsiTheme="minorHAnsi"/>
          <w:i/>
          <w:iCs/>
        </w:rPr>
        <w:t xml:space="preserve"> </w:t>
      </w:r>
      <w:r w:rsidRPr="00B71502">
        <w:rPr>
          <w:rFonts w:asciiTheme="minorHAnsi" w:hAnsiTheme="minorHAnsi"/>
          <w:i/>
          <w:iCs/>
        </w:rPr>
        <w:t>(</w:t>
      </w:r>
      <w:r w:rsidR="00B41584">
        <w:rPr>
          <w:rFonts w:asciiTheme="minorHAnsi" w:hAnsiTheme="minorHAnsi"/>
          <w:i/>
          <w:iCs/>
        </w:rPr>
        <w:t xml:space="preserve">12.8 cases </w:t>
      </w:r>
      <w:r w:rsidRPr="00B71502">
        <w:rPr>
          <w:rFonts w:asciiTheme="minorHAnsi" w:hAnsiTheme="minorHAnsi"/>
          <w:i/>
          <w:iCs/>
        </w:rPr>
        <w:t>per 100,000 population)</w:t>
      </w:r>
      <w:r>
        <w:rPr>
          <w:rFonts w:asciiTheme="minorHAnsi" w:hAnsiTheme="minorHAnsi"/>
          <w:i/>
          <w:iCs/>
        </w:rPr>
        <w:t xml:space="preserve"> and</w:t>
      </w:r>
      <w:r w:rsidRPr="00B71502">
        <w:rPr>
          <w:rFonts w:asciiTheme="minorHAnsi" w:hAnsiTheme="minorHAnsi"/>
          <w:i/>
          <w:iCs/>
        </w:rPr>
        <w:t xml:space="preserve"> </w:t>
      </w:r>
      <w:r w:rsidR="00AC71E3">
        <w:rPr>
          <w:rFonts w:asciiTheme="minorHAnsi" w:hAnsiTheme="minorHAnsi"/>
          <w:i/>
          <w:iCs/>
        </w:rPr>
        <w:t>non</w:t>
      </w:r>
      <w:r>
        <w:rPr>
          <w:rFonts w:asciiTheme="minorHAnsi" w:hAnsiTheme="minorHAnsi"/>
          <w:i/>
          <w:iCs/>
        </w:rPr>
        <w:t>-Hispanic White Delawareans</w:t>
      </w:r>
      <w:r w:rsidRPr="000509A6">
        <w:rPr>
          <w:rFonts w:asciiTheme="minorHAnsi" w:hAnsiTheme="minorHAnsi"/>
          <w:i/>
          <w:iCs/>
        </w:rPr>
        <w:t xml:space="preserve"> </w:t>
      </w:r>
      <w:r w:rsidRPr="00B71502">
        <w:rPr>
          <w:rFonts w:asciiTheme="minorHAnsi" w:hAnsiTheme="minorHAnsi"/>
          <w:i/>
          <w:iCs/>
        </w:rPr>
        <w:t>(</w:t>
      </w:r>
      <w:r w:rsidR="00B41584">
        <w:rPr>
          <w:rFonts w:asciiTheme="minorHAnsi" w:hAnsiTheme="minorHAnsi"/>
          <w:i/>
          <w:iCs/>
        </w:rPr>
        <w:t xml:space="preserve">16.5 cases </w:t>
      </w:r>
      <w:r w:rsidRPr="00B71502">
        <w:rPr>
          <w:rFonts w:asciiTheme="minorHAnsi" w:hAnsiTheme="minorHAnsi"/>
          <w:i/>
          <w:iCs/>
        </w:rPr>
        <w:t>per 100,000 population)</w:t>
      </w:r>
      <w:r w:rsidR="001C6DD0">
        <w:rPr>
          <w:rFonts w:asciiTheme="minorHAnsi" w:hAnsiTheme="minorHAnsi"/>
          <w:i/>
          <w:iCs/>
        </w:rPr>
        <w:t>.</w:t>
      </w:r>
      <w:r>
        <w:rPr>
          <w:rFonts w:asciiTheme="minorHAnsi" w:hAnsiTheme="minorHAnsi"/>
          <w:i/>
          <w:iCs/>
        </w:rPr>
        <w:t xml:space="preserve"> </w:t>
      </w:r>
    </w:p>
    <w:p w14:paraId="70164AEA" w14:textId="77777777" w:rsidR="00FC561F" w:rsidRDefault="00FC561F" w:rsidP="00FC561F">
      <w:pPr>
        <w:pStyle w:val="ListParagraph"/>
        <w:spacing w:after="120" w:line="240" w:lineRule="auto"/>
        <w:ind w:left="1440"/>
        <w:rPr>
          <w:rFonts w:asciiTheme="minorHAnsi" w:hAnsiTheme="minorHAnsi"/>
          <w:i/>
          <w:iCs/>
        </w:rPr>
      </w:pPr>
    </w:p>
    <w:p w14:paraId="6370E0E9" w14:textId="0512504F" w:rsidR="00041A47" w:rsidRDefault="00FC561F" w:rsidP="0094184B">
      <w:pPr>
        <w:pStyle w:val="ListParagraph"/>
        <w:numPr>
          <w:ilvl w:val="0"/>
          <w:numId w:val="42"/>
        </w:numPr>
        <w:spacing w:after="120" w:line="240" w:lineRule="auto"/>
        <w:contextualSpacing w:val="0"/>
        <w:rPr>
          <w:rFonts w:asciiTheme="minorHAnsi" w:hAnsiTheme="minorHAnsi"/>
        </w:rPr>
      </w:pPr>
      <w:r w:rsidRPr="00962386">
        <w:rPr>
          <w:rFonts w:asciiTheme="minorHAnsi" w:hAnsiTheme="minorHAnsi"/>
        </w:rPr>
        <w:t>Due to</w:t>
      </w:r>
      <w:r>
        <w:rPr>
          <w:rFonts w:asciiTheme="minorHAnsi" w:hAnsiTheme="minorHAnsi"/>
        </w:rPr>
        <w:t xml:space="preserve"> fewer than </w:t>
      </w:r>
      <w:r w:rsidR="00F43474">
        <w:rPr>
          <w:rFonts w:asciiTheme="minorHAnsi" w:hAnsiTheme="minorHAnsi"/>
        </w:rPr>
        <w:t>16 cases</w:t>
      </w:r>
      <w:r>
        <w:rPr>
          <w:rFonts w:asciiTheme="minorHAnsi" w:hAnsiTheme="minorHAnsi"/>
        </w:rPr>
        <w:t>, significance testing could</w:t>
      </w:r>
      <w:r w:rsidR="00B3187B">
        <w:rPr>
          <w:rFonts w:asciiTheme="minorHAnsi" w:hAnsiTheme="minorHAnsi"/>
        </w:rPr>
        <w:t xml:space="preserve"> </w:t>
      </w:r>
      <w:r>
        <w:rPr>
          <w:rFonts w:asciiTheme="minorHAnsi" w:hAnsiTheme="minorHAnsi"/>
        </w:rPr>
        <w:t>n</w:t>
      </w:r>
      <w:r w:rsidR="00B3187B">
        <w:rPr>
          <w:rFonts w:asciiTheme="minorHAnsi" w:hAnsiTheme="minorHAnsi"/>
        </w:rPr>
        <w:t>o</w:t>
      </w:r>
      <w:r>
        <w:rPr>
          <w:rFonts w:asciiTheme="minorHAnsi" w:hAnsiTheme="minorHAnsi"/>
        </w:rPr>
        <w:t>t be completed for</w:t>
      </w:r>
      <w:r w:rsidR="00F43474">
        <w:rPr>
          <w:rFonts w:asciiTheme="minorHAnsi" w:hAnsiTheme="minorHAnsi"/>
        </w:rPr>
        <w:t xml:space="preserve"> </w:t>
      </w:r>
      <w:r w:rsidRPr="0075279F">
        <w:rPr>
          <w:rFonts w:asciiTheme="minorHAnsi" w:hAnsiTheme="minorHAnsi"/>
        </w:rPr>
        <w:t>cervix</w:t>
      </w:r>
      <w:r w:rsidR="00F43474">
        <w:rPr>
          <w:rFonts w:asciiTheme="minorHAnsi" w:hAnsiTheme="minorHAnsi"/>
        </w:rPr>
        <w:t xml:space="preserve">, </w:t>
      </w:r>
      <w:r w:rsidRPr="0075279F">
        <w:rPr>
          <w:rFonts w:asciiTheme="minorHAnsi" w:hAnsiTheme="minorHAnsi"/>
        </w:rPr>
        <w:t xml:space="preserve">esophagus, Hodgkin lymphoma, larynx, </w:t>
      </w:r>
      <w:r w:rsidR="00C20185" w:rsidRPr="0075279F">
        <w:rPr>
          <w:rFonts w:asciiTheme="minorHAnsi" w:hAnsiTheme="minorHAnsi"/>
        </w:rPr>
        <w:t>melanoma</w:t>
      </w:r>
      <w:r w:rsidRPr="0075279F">
        <w:rPr>
          <w:rFonts w:asciiTheme="minorHAnsi" w:hAnsiTheme="minorHAnsi"/>
        </w:rPr>
        <w:t>,</w:t>
      </w:r>
      <w:r w:rsidR="00F43474">
        <w:rPr>
          <w:rFonts w:asciiTheme="minorHAnsi" w:hAnsiTheme="minorHAnsi"/>
        </w:rPr>
        <w:t xml:space="preserve"> and testicular </w:t>
      </w:r>
      <w:r>
        <w:rPr>
          <w:rFonts w:asciiTheme="minorHAnsi" w:hAnsiTheme="minorHAnsi"/>
        </w:rPr>
        <w:t>cancers.</w:t>
      </w:r>
    </w:p>
    <w:p w14:paraId="40955D92" w14:textId="77777777" w:rsidR="00A35FD3" w:rsidRDefault="00A35FD3" w:rsidP="001916B4">
      <w:pPr>
        <w:spacing w:after="120" w:line="240" w:lineRule="auto"/>
      </w:pPr>
    </w:p>
    <w:p w14:paraId="7797EEFE" w14:textId="77777777" w:rsidR="005B2DC3" w:rsidRDefault="005B2DC3">
      <w:pPr>
        <w:rPr>
          <w:rFonts w:asciiTheme="minorHAnsi" w:hAnsiTheme="minorHAnsi"/>
          <w:b/>
          <w:caps/>
          <w:color w:val="1B4171" w:themeColor="accent2" w:themeShade="80"/>
          <w:spacing w:val="15"/>
          <w:sz w:val="24"/>
          <w:szCs w:val="24"/>
        </w:rPr>
      </w:pPr>
      <w:r>
        <w:br w:type="page"/>
      </w:r>
    </w:p>
    <w:p w14:paraId="7E84C751" w14:textId="1ED1F45A" w:rsidR="00A35FD3" w:rsidRDefault="00A35FD3" w:rsidP="00E01C9E">
      <w:pPr>
        <w:pStyle w:val="Heading2"/>
      </w:pPr>
      <w:r>
        <w:lastRenderedPageBreak/>
        <w:t>Mortality</w:t>
      </w:r>
    </w:p>
    <w:p w14:paraId="36E21569" w14:textId="0633AFEE" w:rsidR="00E4526D" w:rsidRDefault="00E4526D" w:rsidP="00E4526D">
      <w:pPr>
        <w:pStyle w:val="Caption"/>
        <w:spacing w:after="120" w:line="240" w:lineRule="auto"/>
        <w:jc w:val="center"/>
        <w:rPr>
          <w:rFonts w:asciiTheme="minorHAnsi" w:hAnsiTheme="minorHAnsi"/>
          <w:b/>
          <w:sz w:val="22"/>
        </w:rPr>
      </w:pPr>
      <w:r>
        <w:rPr>
          <w:rFonts w:asciiTheme="minorHAnsi" w:hAnsiTheme="minorHAnsi"/>
          <w:b/>
          <w:sz w:val="22"/>
        </w:rPr>
        <w:t>Figure</w:t>
      </w:r>
      <w:r w:rsidRPr="003F6013">
        <w:rPr>
          <w:rFonts w:asciiTheme="minorHAnsi" w:hAnsiTheme="minorHAnsi"/>
          <w:b/>
          <w:sz w:val="22"/>
        </w:rPr>
        <w:t xml:space="preserve"> </w:t>
      </w:r>
      <w:r w:rsidR="00663AAB">
        <w:rPr>
          <w:rFonts w:asciiTheme="minorHAnsi" w:hAnsiTheme="minorHAnsi"/>
          <w:b/>
          <w:sz w:val="22"/>
        </w:rPr>
        <w:t>3</w:t>
      </w:r>
      <w:r w:rsidRPr="003F6013">
        <w:rPr>
          <w:rFonts w:asciiTheme="minorHAnsi" w:hAnsiTheme="minorHAnsi"/>
          <w:b/>
          <w:sz w:val="22"/>
        </w:rPr>
        <w:noBreakHyphen/>
      </w:r>
      <w:r>
        <w:rPr>
          <w:rFonts w:asciiTheme="minorHAnsi" w:hAnsiTheme="minorHAnsi"/>
          <w:b/>
          <w:sz w:val="22"/>
        </w:rPr>
        <w:t>2</w:t>
      </w:r>
      <w:r w:rsidRPr="003F6013">
        <w:rPr>
          <w:rFonts w:asciiTheme="minorHAnsi" w:hAnsiTheme="minorHAnsi"/>
          <w:b/>
          <w:sz w:val="22"/>
        </w:rPr>
        <w:t xml:space="preserve">: </w:t>
      </w:r>
      <w:r>
        <w:rPr>
          <w:rFonts w:asciiTheme="minorHAnsi" w:hAnsiTheme="minorHAnsi"/>
          <w:b/>
          <w:sz w:val="22"/>
        </w:rPr>
        <w:t>Percent distribution of cancer deaths by cancer site,</w:t>
      </w:r>
      <w:r w:rsidRPr="00FE5B9C">
        <w:rPr>
          <w:rFonts w:asciiTheme="minorHAnsi" w:hAnsiTheme="minorHAnsi"/>
          <w:b/>
          <w:sz w:val="22"/>
        </w:rPr>
        <w:t xml:space="preserve"> Delaware, 201</w:t>
      </w:r>
      <w:r w:rsidR="00684C18">
        <w:rPr>
          <w:rFonts w:asciiTheme="minorHAnsi" w:hAnsiTheme="minorHAnsi"/>
          <w:b/>
          <w:sz w:val="22"/>
        </w:rPr>
        <w:t>7</w:t>
      </w:r>
      <w:r w:rsidRPr="00FE5B9C">
        <w:rPr>
          <w:rFonts w:asciiTheme="minorHAnsi" w:hAnsiTheme="minorHAnsi"/>
          <w:b/>
          <w:sz w:val="22"/>
        </w:rPr>
        <w:t>-20</w:t>
      </w:r>
      <w:r w:rsidR="00082865">
        <w:rPr>
          <w:rFonts w:asciiTheme="minorHAnsi" w:hAnsiTheme="minorHAnsi"/>
          <w:b/>
          <w:sz w:val="22"/>
        </w:rPr>
        <w:t>2</w:t>
      </w:r>
      <w:r w:rsidR="00684C18">
        <w:rPr>
          <w:rFonts w:asciiTheme="minorHAnsi" w:hAnsiTheme="minorHAnsi"/>
          <w:b/>
          <w:sz w:val="22"/>
        </w:rPr>
        <w:t>1</w:t>
      </w:r>
    </w:p>
    <w:p w14:paraId="1944358E" w14:textId="6482B87E" w:rsidR="00E4526D" w:rsidRPr="00AA53A0" w:rsidRDefault="00C62B52" w:rsidP="004B0A7C">
      <w:pPr>
        <w:jc w:val="center"/>
        <w:rPr>
          <w:rFonts w:asciiTheme="minorHAnsi" w:hAnsiTheme="minorHAnsi"/>
          <w:i/>
          <w:sz w:val="16"/>
          <w:szCs w:val="16"/>
        </w:rPr>
      </w:pPr>
      <w:r>
        <w:rPr>
          <w:rFonts w:asciiTheme="minorHAnsi" w:hAnsiTheme="minorHAnsi"/>
          <w:i/>
          <w:noProof/>
          <w:sz w:val="14"/>
        </w:rPr>
        <w:drawing>
          <wp:inline distT="0" distB="0" distL="0" distR="0" wp14:anchorId="1C16696D" wp14:editId="4E42D606">
            <wp:extent cx="6214110" cy="4511165"/>
            <wp:effectExtent l="0" t="0" r="0" b="3810"/>
            <wp:docPr id="19463590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222545" cy="4517288"/>
                    </a:xfrm>
                    <a:prstGeom prst="rect">
                      <a:avLst/>
                    </a:prstGeom>
                    <a:noFill/>
                  </pic:spPr>
                </pic:pic>
              </a:graphicData>
            </a:graphic>
          </wp:inline>
        </w:drawing>
      </w:r>
      <w:r w:rsidR="00056976" w:rsidRPr="00AA53A0">
        <w:rPr>
          <w:rFonts w:asciiTheme="minorHAnsi" w:hAnsiTheme="minorHAnsi"/>
          <w:i/>
          <w:sz w:val="16"/>
          <w:szCs w:val="16"/>
        </w:rPr>
        <w:t>Source: Delaware Department of Health and Social Services, Division of Public Health, Delaware Health Statistics Center, 202</w:t>
      </w:r>
      <w:r w:rsidR="00972C14" w:rsidRPr="00AA53A0">
        <w:rPr>
          <w:rFonts w:asciiTheme="minorHAnsi" w:hAnsiTheme="minorHAnsi"/>
          <w:i/>
          <w:sz w:val="16"/>
          <w:szCs w:val="16"/>
        </w:rPr>
        <w:t>3</w:t>
      </w:r>
    </w:p>
    <w:p w14:paraId="61E1A8F2" w14:textId="77777777" w:rsidR="004B0A7C" w:rsidRPr="004B0A7C" w:rsidRDefault="004B0A7C" w:rsidP="004B0A7C">
      <w:pPr>
        <w:rPr>
          <w:noProof/>
        </w:rPr>
      </w:pPr>
    </w:p>
    <w:p w14:paraId="02960EC9" w14:textId="4D6B7ABF" w:rsidR="00870754" w:rsidRDefault="00E4526D" w:rsidP="00B21C83">
      <w:pPr>
        <w:pStyle w:val="ListParagraph"/>
        <w:widowControl w:val="0"/>
        <w:numPr>
          <w:ilvl w:val="0"/>
          <w:numId w:val="1"/>
        </w:numPr>
        <w:spacing w:after="120" w:line="240" w:lineRule="auto"/>
        <w:contextualSpacing w:val="0"/>
        <w:rPr>
          <w:rFonts w:asciiTheme="minorHAnsi" w:hAnsiTheme="minorHAnsi"/>
        </w:rPr>
      </w:pPr>
      <w:r w:rsidRPr="000403C3">
        <w:rPr>
          <w:rFonts w:asciiTheme="minorHAnsi" w:hAnsiTheme="minorHAnsi"/>
        </w:rPr>
        <w:t>In 201</w:t>
      </w:r>
      <w:r w:rsidR="002D7DB5">
        <w:rPr>
          <w:rFonts w:asciiTheme="minorHAnsi" w:hAnsiTheme="minorHAnsi"/>
        </w:rPr>
        <w:t>7</w:t>
      </w:r>
      <w:r w:rsidRPr="000403C3">
        <w:rPr>
          <w:rFonts w:asciiTheme="minorHAnsi" w:hAnsiTheme="minorHAnsi"/>
        </w:rPr>
        <w:t>-20</w:t>
      </w:r>
      <w:r w:rsidR="002A15B6">
        <w:rPr>
          <w:rFonts w:asciiTheme="minorHAnsi" w:hAnsiTheme="minorHAnsi"/>
        </w:rPr>
        <w:t>2</w:t>
      </w:r>
      <w:r w:rsidR="002D7DB5">
        <w:rPr>
          <w:rFonts w:asciiTheme="minorHAnsi" w:hAnsiTheme="minorHAnsi"/>
        </w:rPr>
        <w:t>1</w:t>
      </w:r>
      <w:r w:rsidR="00AF41BB">
        <w:rPr>
          <w:rFonts w:asciiTheme="minorHAnsi" w:hAnsiTheme="minorHAnsi"/>
        </w:rPr>
        <w:t xml:space="preserve"> in Delaware:</w:t>
      </w:r>
    </w:p>
    <w:p w14:paraId="478187CB" w14:textId="39048D76" w:rsidR="00870754" w:rsidRPr="00870754" w:rsidRDefault="00870754" w:rsidP="00B21C83">
      <w:pPr>
        <w:pStyle w:val="ListParagraph"/>
        <w:numPr>
          <w:ilvl w:val="0"/>
          <w:numId w:val="24"/>
        </w:numPr>
        <w:spacing w:after="120" w:line="240" w:lineRule="auto"/>
        <w:ind w:left="1080"/>
        <w:contextualSpacing w:val="0"/>
        <w:rPr>
          <w:rFonts w:asciiTheme="minorHAnsi" w:hAnsiTheme="minorHAnsi"/>
        </w:rPr>
      </w:pPr>
      <w:r w:rsidRPr="00870754">
        <w:rPr>
          <w:rFonts w:asciiTheme="minorHAnsi" w:hAnsiTheme="minorHAnsi"/>
        </w:rPr>
        <w:t>There were 10,4</w:t>
      </w:r>
      <w:r w:rsidR="002B62AF">
        <w:rPr>
          <w:rFonts w:asciiTheme="minorHAnsi" w:hAnsiTheme="minorHAnsi"/>
        </w:rPr>
        <w:t>53</w:t>
      </w:r>
      <w:r w:rsidRPr="00870754">
        <w:rPr>
          <w:rFonts w:asciiTheme="minorHAnsi" w:hAnsiTheme="minorHAnsi"/>
        </w:rPr>
        <w:t xml:space="preserve"> deaths from cancer, an average of 2,0</w:t>
      </w:r>
      <w:r w:rsidR="002B62AF">
        <w:rPr>
          <w:rFonts w:asciiTheme="minorHAnsi" w:hAnsiTheme="minorHAnsi"/>
        </w:rPr>
        <w:t>9</w:t>
      </w:r>
      <w:r w:rsidR="00954941">
        <w:rPr>
          <w:rFonts w:asciiTheme="minorHAnsi" w:hAnsiTheme="minorHAnsi"/>
        </w:rPr>
        <w:t xml:space="preserve">0 </w:t>
      </w:r>
      <w:r w:rsidRPr="00870754">
        <w:rPr>
          <w:rFonts w:asciiTheme="minorHAnsi" w:hAnsiTheme="minorHAnsi"/>
        </w:rPr>
        <w:t xml:space="preserve">per year. </w:t>
      </w:r>
    </w:p>
    <w:p w14:paraId="1E558300" w14:textId="4A7A1744" w:rsidR="00056976" w:rsidRDefault="00056976" w:rsidP="00B21C83">
      <w:pPr>
        <w:pStyle w:val="ListParagraph"/>
        <w:numPr>
          <w:ilvl w:val="0"/>
          <w:numId w:val="24"/>
        </w:numPr>
        <w:spacing w:after="120" w:line="240" w:lineRule="auto"/>
        <w:ind w:left="1080"/>
        <w:contextualSpacing w:val="0"/>
        <w:rPr>
          <w:rFonts w:asciiTheme="minorHAnsi" w:hAnsiTheme="minorHAnsi"/>
        </w:rPr>
      </w:pPr>
      <w:r>
        <w:rPr>
          <w:rFonts w:asciiTheme="minorHAnsi" w:hAnsiTheme="minorHAnsi"/>
        </w:rPr>
        <w:t>Lung and bronchus cancer accounted for 2</w:t>
      </w:r>
      <w:r w:rsidR="002D7DB5">
        <w:rPr>
          <w:rFonts w:asciiTheme="minorHAnsi" w:hAnsiTheme="minorHAnsi"/>
        </w:rPr>
        <w:t>8</w:t>
      </w:r>
      <w:r>
        <w:rPr>
          <w:rFonts w:asciiTheme="minorHAnsi" w:hAnsiTheme="minorHAnsi"/>
        </w:rPr>
        <w:t>% of all new cancer deaths.</w:t>
      </w:r>
    </w:p>
    <w:p w14:paraId="595C6E5B" w14:textId="5AA46C73" w:rsidR="0032442D" w:rsidRPr="00EC46B0" w:rsidRDefault="00DB3A6E" w:rsidP="00B21C83">
      <w:pPr>
        <w:pStyle w:val="ListParagraph"/>
        <w:numPr>
          <w:ilvl w:val="0"/>
          <w:numId w:val="24"/>
        </w:numPr>
        <w:spacing w:after="120" w:line="240" w:lineRule="auto"/>
        <w:ind w:left="1080"/>
        <w:contextualSpacing w:val="0"/>
        <w:rPr>
          <w:rFonts w:asciiTheme="minorHAnsi" w:hAnsiTheme="minorHAnsi"/>
        </w:rPr>
      </w:pPr>
      <w:r>
        <w:rPr>
          <w:rFonts w:asciiTheme="minorHAnsi" w:hAnsiTheme="minorHAnsi"/>
        </w:rPr>
        <w:t>Colon and rectum (c</w:t>
      </w:r>
      <w:r w:rsidR="005B0451">
        <w:rPr>
          <w:rFonts w:asciiTheme="minorHAnsi" w:hAnsiTheme="minorHAnsi"/>
        </w:rPr>
        <w:t>olorectal</w:t>
      </w:r>
      <w:r>
        <w:rPr>
          <w:rFonts w:asciiTheme="minorHAnsi" w:hAnsiTheme="minorHAnsi"/>
        </w:rPr>
        <w:t>)</w:t>
      </w:r>
      <w:r w:rsidR="00EC46B0">
        <w:rPr>
          <w:rFonts w:asciiTheme="minorHAnsi" w:hAnsiTheme="minorHAnsi"/>
        </w:rPr>
        <w:t xml:space="preserve"> cancer accounted for 9% of all new cancer deaths.</w:t>
      </w:r>
    </w:p>
    <w:p w14:paraId="1629F9A8" w14:textId="23F7D03D" w:rsidR="005B0451" w:rsidRPr="005B0451" w:rsidRDefault="00543CE4" w:rsidP="00B21C83">
      <w:pPr>
        <w:pStyle w:val="ListParagraph"/>
        <w:numPr>
          <w:ilvl w:val="0"/>
          <w:numId w:val="24"/>
        </w:numPr>
        <w:spacing w:after="120" w:line="240" w:lineRule="auto"/>
        <w:ind w:left="1080"/>
        <w:contextualSpacing w:val="0"/>
        <w:rPr>
          <w:rFonts w:asciiTheme="minorHAnsi" w:hAnsiTheme="minorHAnsi"/>
        </w:rPr>
      </w:pPr>
      <w:r>
        <w:rPr>
          <w:rFonts w:asciiTheme="minorHAnsi" w:hAnsiTheme="minorHAnsi"/>
        </w:rPr>
        <w:t>Pancreas (p</w:t>
      </w:r>
      <w:r w:rsidR="0032442D">
        <w:rPr>
          <w:rFonts w:asciiTheme="minorHAnsi" w:hAnsiTheme="minorHAnsi"/>
        </w:rPr>
        <w:t>ancreatic</w:t>
      </w:r>
      <w:r>
        <w:rPr>
          <w:rFonts w:asciiTheme="minorHAnsi" w:hAnsiTheme="minorHAnsi"/>
        </w:rPr>
        <w:t>)</w:t>
      </w:r>
      <w:r w:rsidR="0022500F">
        <w:rPr>
          <w:rFonts w:asciiTheme="minorHAnsi" w:hAnsiTheme="minorHAnsi"/>
        </w:rPr>
        <w:t xml:space="preserve"> cancer </w:t>
      </w:r>
      <w:r w:rsidR="005B0451">
        <w:rPr>
          <w:rFonts w:asciiTheme="minorHAnsi" w:hAnsiTheme="minorHAnsi"/>
        </w:rPr>
        <w:t xml:space="preserve">accounted for </w:t>
      </w:r>
      <w:r w:rsidR="00EC46B0">
        <w:rPr>
          <w:rFonts w:asciiTheme="minorHAnsi" w:hAnsiTheme="minorHAnsi"/>
        </w:rPr>
        <w:t>9</w:t>
      </w:r>
      <w:r w:rsidR="005B0451">
        <w:rPr>
          <w:rFonts w:asciiTheme="minorHAnsi" w:hAnsiTheme="minorHAnsi"/>
        </w:rPr>
        <w:t>% of all new cancer deaths.</w:t>
      </w:r>
    </w:p>
    <w:p w14:paraId="08DC660C" w14:textId="78548553" w:rsidR="00E4526D" w:rsidRDefault="00056976" w:rsidP="00B21C83">
      <w:pPr>
        <w:pStyle w:val="ListParagraph"/>
        <w:numPr>
          <w:ilvl w:val="0"/>
          <w:numId w:val="24"/>
        </w:numPr>
        <w:spacing w:after="120" w:line="240" w:lineRule="auto"/>
        <w:ind w:left="1080"/>
        <w:contextualSpacing w:val="0"/>
        <w:rPr>
          <w:rFonts w:asciiTheme="minorHAnsi" w:hAnsiTheme="minorHAnsi"/>
        </w:rPr>
      </w:pPr>
      <w:r>
        <w:rPr>
          <w:rFonts w:asciiTheme="minorHAnsi" w:hAnsiTheme="minorHAnsi"/>
        </w:rPr>
        <w:t xml:space="preserve">Female breast cancer accounted for </w:t>
      </w:r>
      <w:r w:rsidR="00575A07">
        <w:rPr>
          <w:rFonts w:asciiTheme="minorHAnsi" w:hAnsiTheme="minorHAnsi"/>
        </w:rPr>
        <w:t>8</w:t>
      </w:r>
      <w:r w:rsidR="00B24D63">
        <w:rPr>
          <w:rFonts w:asciiTheme="minorHAnsi" w:hAnsiTheme="minorHAnsi"/>
        </w:rPr>
        <w:t>%</w:t>
      </w:r>
      <w:r w:rsidR="00E4526D">
        <w:rPr>
          <w:rFonts w:asciiTheme="minorHAnsi" w:hAnsiTheme="minorHAnsi"/>
        </w:rPr>
        <w:t xml:space="preserve"> of all new cancer </w:t>
      </w:r>
      <w:r w:rsidR="00B24D63">
        <w:rPr>
          <w:rFonts w:asciiTheme="minorHAnsi" w:hAnsiTheme="minorHAnsi"/>
        </w:rPr>
        <w:t>deaths</w:t>
      </w:r>
      <w:r w:rsidR="00E4526D">
        <w:rPr>
          <w:rFonts w:asciiTheme="minorHAnsi" w:hAnsiTheme="minorHAnsi"/>
        </w:rPr>
        <w:t>.</w:t>
      </w:r>
    </w:p>
    <w:p w14:paraId="0A43843F" w14:textId="53DC24F2" w:rsidR="00E4526D" w:rsidRDefault="00E4526D" w:rsidP="00B21C83">
      <w:pPr>
        <w:pStyle w:val="ListParagraph"/>
        <w:numPr>
          <w:ilvl w:val="0"/>
          <w:numId w:val="24"/>
        </w:numPr>
        <w:spacing w:after="120" w:line="240" w:lineRule="auto"/>
        <w:ind w:left="1080"/>
        <w:contextualSpacing w:val="0"/>
        <w:rPr>
          <w:rFonts w:asciiTheme="minorHAnsi" w:hAnsiTheme="minorHAnsi"/>
        </w:rPr>
      </w:pPr>
      <w:r>
        <w:rPr>
          <w:rFonts w:asciiTheme="minorHAnsi" w:hAnsiTheme="minorHAnsi"/>
        </w:rPr>
        <w:t xml:space="preserve">Prostate cancer accounted for </w:t>
      </w:r>
      <w:r w:rsidR="00575A07">
        <w:rPr>
          <w:rFonts w:asciiTheme="minorHAnsi" w:hAnsiTheme="minorHAnsi"/>
        </w:rPr>
        <w:t>6</w:t>
      </w:r>
      <w:r>
        <w:rPr>
          <w:rFonts w:asciiTheme="minorHAnsi" w:hAnsiTheme="minorHAnsi"/>
        </w:rPr>
        <w:t xml:space="preserve">% of all new cancer </w:t>
      </w:r>
      <w:r w:rsidR="00B24D63">
        <w:rPr>
          <w:rFonts w:asciiTheme="minorHAnsi" w:hAnsiTheme="minorHAnsi"/>
        </w:rPr>
        <w:t>deaths</w:t>
      </w:r>
      <w:r>
        <w:rPr>
          <w:rFonts w:asciiTheme="minorHAnsi" w:hAnsiTheme="minorHAnsi"/>
        </w:rPr>
        <w:t xml:space="preserve">. </w:t>
      </w:r>
    </w:p>
    <w:p w14:paraId="0B6726B7" w14:textId="77777777" w:rsidR="00E4526D" w:rsidRDefault="00E4526D" w:rsidP="006B101D">
      <w:pPr>
        <w:pStyle w:val="Caption"/>
        <w:spacing w:after="120" w:line="240" w:lineRule="auto"/>
        <w:jc w:val="center"/>
        <w:rPr>
          <w:rFonts w:asciiTheme="minorHAnsi" w:hAnsiTheme="minorHAnsi"/>
          <w:b/>
          <w:sz w:val="22"/>
        </w:rPr>
      </w:pPr>
    </w:p>
    <w:p w14:paraId="65AB3C2B" w14:textId="77777777" w:rsidR="00E4526D" w:rsidRDefault="00E4526D" w:rsidP="006B101D">
      <w:pPr>
        <w:pStyle w:val="Caption"/>
        <w:spacing w:after="120" w:line="240" w:lineRule="auto"/>
        <w:jc w:val="center"/>
        <w:rPr>
          <w:rFonts w:asciiTheme="minorHAnsi" w:hAnsiTheme="minorHAnsi"/>
          <w:b/>
          <w:sz w:val="22"/>
        </w:rPr>
      </w:pPr>
    </w:p>
    <w:p w14:paraId="55CF2430" w14:textId="77777777" w:rsidR="00E4526D" w:rsidRDefault="00E4526D" w:rsidP="006B101D">
      <w:pPr>
        <w:pStyle w:val="Caption"/>
        <w:spacing w:after="120" w:line="240" w:lineRule="auto"/>
        <w:jc w:val="center"/>
        <w:rPr>
          <w:rFonts w:asciiTheme="minorHAnsi" w:hAnsiTheme="minorHAnsi"/>
          <w:b/>
          <w:sz w:val="22"/>
        </w:rPr>
      </w:pPr>
    </w:p>
    <w:p w14:paraId="094FEA6E" w14:textId="77777777" w:rsidR="00B24D63" w:rsidRDefault="00B24D63">
      <w:pPr>
        <w:rPr>
          <w:rFonts w:asciiTheme="minorHAnsi" w:hAnsiTheme="minorHAnsi"/>
          <w:b/>
          <w:caps/>
          <w:spacing w:val="10"/>
          <w:szCs w:val="18"/>
        </w:rPr>
      </w:pPr>
      <w:r>
        <w:rPr>
          <w:rFonts w:asciiTheme="minorHAnsi" w:hAnsiTheme="minorHAnsi"/>
          <w:b/>
        </w:rPr>
        <w:br w:type="page"/>
      </w:r>
    </w:p>
    <w:p w14:paraId="2BE73B01" w14:textId="5E8FA857" w:rsidR="005B2DC3" w:rsidRPr="00027199" w:rsidRDefault="006B101D" w:rsidP="00027199">
      <w:pPr>
        <w:pStyle w:val="Caption"/>
        <w:spacing w:after="120" w:line="240" w:lineRule="auto"/>
        <w:jc w:val="center"/>
        <w:rPr>
          <w:rFonts w:asciiTheme="minorHAnsi" w:hAnsiTheme="minorHAnsi"/>
          <w:b/>
          <w:sz w:val="22"/>
          <w:szCs w:val="22"/>
        </w:rPr>
      </w:pPr>
      <w:r w:rsidRPr="003F6013">
        <w:rPr>
          <w:rFonts w:asciiTheme="minorHAnsi" w:hAnsiTheme="minorHAnsi"/>
          <w:b/>
          <w:sz w:val="22"/>
        </w:rPr>
        <w:lastRenderedPageBreak/>
        <w:t xml:space="preserve">Table </w:t>
      </w:r>
      <w:r w:rsidR="006E31EB">
        <w:rPr>
          <w:rFonts w:asciiTheme="minorHAnsi" w:hAnsiTheme="minorHAnsi"/>
          <w:b/>
          <w:sz w:val="22"/>
        </w:rPr>
        <w:t>3</w:t>
      </w:r>
      <w:r w:rsidRPr="003F6013">
        <w:rPr>
          <w:rFonts w:asciiTheme="minorHAnsi" w:hAnsiTheme="minorHAnsi"/>
          <w:b/>
          <w:sz w:val="22"/>
        </w:rPr>
        <w:noBreakHyphen/>
      </w:r>
      <w:r w:rsidR="006E31EB">
        <w:rPr>
          <w:rFonts w:asciiTheme="minorHAnsi" w:hAnsiTheme="minorHAnsi"/>
          <w:b/>
          <w:sz w:val="22"/>
        </w:rPr>
        <w:t>3</w:t>
      </w:r>
      <w:r w:rsidRPr="003F6013">
        <w:rPr>
          <w:rFonts w:asciiTheme="minorHAnsi" w:hAnsiTheme="minorHAnsi"/>
          <w:b/>
          <w:sz w:val="22"/>
        </w:rPr>
        <w:t>:</w:t>
      </w:r>
      <w:r w:rsidR="00F77CA3">
        <w:rPr>
          <w:rFonts w:asciiTheme="minorHAnsi" w:hAnsiTheme="minorHAnsi"/>
          <w:b/>
          <w:sz w:val="22"/>
        </w:rPr>
        <w:t xml:space="preserve"> </w:t>
      </w:r>
      <w:r w:rsidR="00F77CA3" w:rsidRPr="007B066E">
        <w:rPr>
          <w:rFonts w:asciiTheme="minorHAnsi" w:hAnsiTheme="minorHAnsi"/>
          <w:b/>
          <w:sz w:val="22"/>
        </w:rPr>
        <w:t>FIVE-YEAR Average</w:t>
      </w:r>
      <w:r w:rsidR="00F77CA3">
        <w:rPr>
          <w:rFonts w:asciiTheme="minorHAnsi" w:hAnsiTheme="minorHAnsi"/>
          <w:b/>
          <w:sz w:val="22"/>
          <w:szCs w:val="22"/>
        </w:rPr>
        <w:t xml:space="preserve"> </w:t>
      </w:r>
      <w:r w:rsidR="001D2EC7" w:rsidRPr="00A66133">
        <w:rPr>
          <w:rFonts w:asciiTheme="minorHAnsi" w:hAnsiTheme="minorHAnsi"/>
          <w:b/>
          <w:sz w:val="22"/>
          <w:szCs w:val="22"/>
        </w:rPr>
        <w:t xml:space="preserve">Age-Adjusted cancer </w:t>
      </w:r>
      <w:r w:rsidR="007523E2">
        <w:rPr>
          <w:rFonts w:asciiTheme="minorHAnsi" w:hAnsiTheme="minorHAnsi"/>
          <w:b/>
          <w:sz w:val="22"/>
          <w:szCs w:val="22"/>
        </w:rPr>
        <w:t>Mortality</w:t>
      </w:r>
      <w:r w:rsidR="001D2EC7" w:rsidRPr="00A66133">
        <w:rPr>
          <w:rFonts w:asciiTheme="minorHAnsi" w:hAnsiTheme="minorHAnsi"/>
          <w:b/>
          <w:sz w:val="22"/>
          <w:szCs w:val="22"/>
        </w:rPr>
        <w:t xml:space="preserve"> Rates by Sex and Cancer Site with Confidence INTERVALS; Delaware, 2017-2021</w:t>
      </w:r>
    </w:p>
    <w:p w14:paraId="023E0FCB" w14:textId="274643F0" w:rsidR="00BE32F3" w:rsidRDefault="00BE32F3" w:rsidP="005B2DC3">
      <w:pPr>
        <w:pStyle w:val="NoSpacing"/>
        <w:ind w:left="720"/>
        <w:rPr>
          <w:rFonts w:asciiTheme="minorHAnsi" w:hAnsiTheme="minorHAnsi"/>
          <w:sz w:val="14"/>
        </w:rPr>
      </w:pPr>
      <w:r w:rsidRPr="00BE32F3">
        <w:rPr>
          <w:noProof/>
        </w:rPr>
        <w:drawing>
          <wp:inline distT="0" distB="0" distL="0" distR="0" wp14:anchorId="64C3D157" wp14:editId="4E6EB42C">
            <wp:extent cx="4953000" cy="7048500"/>
            <wp:effectExtent l="0" t="0" r="0" b="0"/>
            <wp:docPr id="10830457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953000" cy="7048500"/>
                    </a:xfrm>
                    <a:prstGeom prst="rect">
                      <a:avLst/>
                    </a:prstGeom>
                    <a:noFill/>
                    <a:ln>
                      <a:noFill/>
                    </a:ln>
                  </pic:spPr>
                </pic:pic>
              </a:graphicData>
            </a:graphic>
          </wp:inline>
        </w:drawing>
      </w:r>
    </w:p>
    <w:p w14:paraId="343572D1" w14:textId="20D56AD7" w:rsidR="00EF6E56" w:rsidRPr="009A61EF" w:rsidRDefault="00EF6E56" w:rsidP="009A61EF">
      <w:pPr>
        <w:spacing w:after="0" w:line="240" w:lineRule="auto"/>
        <w:ind w:left="720"/>
        <w:contextualSpacing/>
        <w:jc w:val="both"/>
        <w:rPr>
          <w:rFonts w:asciiTheme="minorHAnsi" w:hAnsiTheme="minorHAnsi"/>
          <w:i/>
          <w:sz w:val="16"/>
          <w:szCs w:val="16"/>
        </w:rPr>
      </w:pPr>
      <w:r w:rsidRPr="009A61EF">
        <w:rPr>
          <w:rFonts w:asciiTheme="minorHAnsi" w:hAnsiTheme="minorHAnsi"/>
          <w:i/>
          <w:sz w:val="16"/>
          <w:szCs w:val="16"/>
        </w:rPr>
        <w:t>Source: Delaware Department of Social Services, Division of Public Health, Delaware Cancer Registry, 2024</w:t>
      </w:r>
    </w:p>
    <w:p w14:paraId="05BBDFCA" w14:textId="1FB1E5F1" w:rsidR="00EF6E56" w:rsidRPr="009A61EF" w:rsidRDefault="00EF6E56" w:rsidP="009A61EF">
      <w:pPr>
        <w:spacing w:after="0" w:line="240" w:lineRule="auto"/>
        <w:ind w:left="720"/>
        <w:contextualSpacing/>
        <w:rPr>
          <w:rFonts w:asciiTheme="minorHAnsi" w:hAnsiTheme="minorHAnsi" w:cstheme="minorHAnsi"/>
          <w:sz w:val="16"/>
          <w:szCs w:val="16"/>
        </w:rPr>
      </w:pPr>
      <w:r w:rsidRPr="009A61EF">
        <w:rPr>
          <w:rFonts w:asciiTheme="minorHAnsi" w:hAnsiTheme="minorHAnsi" w:cstheme="minorHAnsi"/>
          <w:sz w:val="16"/>
          <w:szCs w:val="16"/>
        </w:rPr>
        <w:t>Rates are per 100,000 population and are age-adjusted to the 2000 U.S. standard population (19 age groups – Census P25–1130) and are calculate using modified U.S. Census populations available from NCI (</w:t>
      </w:r>
      <w:hyperlink r:id="rId64" w:history="1">
        <w:r w:rsidRPr="009A61EF">
          <w:rPr>
            <w:rStyle w:val="Hyperlink"/>
            <w:rFonts w:asciiTheme="minorHAnsi" w:hAnsiTheme="minorHAnsi" w:cstheme="minorHAnsi"/>
            <w:sz w:val="16"/>
            <w:szCs w:val="16"/>
          </w:rPr>
          <w:t>https://seer.cancer.gov/popdata/</w:t>
        </w:r>
      </w:hyperlink>
      <w:r w:rsidRPr="009A61EF">
        <w:rPr>
          <w:rFonts w:asciiTheme="minorHAnsi" w:hAnsiTheme="minorHAnsi" w:cstheme="minorHAnsi"/>
          <w:sz w:val="16"/>
          <w:szCs w:val="16"/>
        </w:rPr>
        <w:t xml:space="preserve">). </w:t>
      </w:r>
    </w:p>
    <w:p w14:paraId="70741BF1" w14:textId="178C440D" w:rsidR="00EF6E56" w:rsidRPr="009A61EF" w:rsidRDefault="00EF6E56" w:rsidP="009A61EF">
      <w:pPr>
        <w:spacing w:after="0" w:line="240" w:lineRule="auto"/>
        <w:ind w:left="720"/>
        <w:contextualSpacing/>
        <w:rPr>
          <w:rFonts w:asciiTheme="minorHAnsi" w:hAnsiTheme="minorHAnsi" w:cstheme="minorHAnsi"/>
          <w:sz w:val="16"/>
          <w:szCs w:val="16"/>
        </w:rPr>
      </w:pPr>
      <w:r w:rsidRPr="009A61EF">
        <w:rPr>
          <w:rFonts w:asciiTheme="minorHAnsi" w:hAnsiTheme="minorHAnsi" w:cstheme="minorHAnsi"/>
          <w:sz w:val="16"/>
          <w:szCs w:val="16"/>
        </w:rPr>
        <w:t>*Statistically significantly different from the reference group “</w:t>
      </w:r>
      <w:r w:rsidR="0054739A" w:rsidRPr="009A61EF">
        <w:rPr>
          <w:rFonts w:asciiTheme="minorHAnsi" w:hAnsiTheme="minorHAnsi" w:cstheme="minorHAnsi"/>
          <w:sz w:val="16"/>
          <w:szCs w:val="16"/>
        </w:rPr>
        <w:t>Male</w:t>
      </w:r>
      <w:r w:rsidRPr="009A61EF">
        <w:rPr>
          <w:rFonts w:asciiTheme="minorHAnsi" w:hAnsiTheme="minorHAnsi" w:cstheme="minorHAnsi"/>
          <w:sz w:val="16"/>
          <w:szCs w:val="16"/>
        </w:rPr>
        <w:t xml:space="preserve">”. Rate Ratios with p-values were modeled using SEER*Stat 8.4.3 as confirmatory test. “CI” stands for Confidence Interval. </w:t>
      </w:r>
    </w:p>
    <w:p w14:paraId="3160D5E2" w14:textId="6E109061" w:rsidR="00EF6E56" w:rsidRPr="009A61EF" w:rsidRDefault="00EF6E56" w:rsidP="009A61EF">
      <w:pPr>
        <w:spacing w:after="120" w:line="240" w:lineRule="auto"/>
        <w:ind w:firstLine="720"/>
        <w:contextualSpacing/>
        <w:rPr>
          <w:rFonts w:asciiTheme="minorHAnsi" w:hAnsiTheme="minorHAnsi"/>
          <w:sz w:val="16"/>
          <w:szCs w:val="16"/>
        </w:rPr>
      </w:pPr>
      <w:r w:rsidRPr="009A61EF">
        <w:rPr>
          <w:rFonts w:asciiTheme="minorHAnsi" w:hAnsiTheme="minorHAnsi"/>
          <w:sz w:val="16"/>
          <w:szCs w:val="16"/>
        </w:rPr>
        <w:t xml:space="preserve">---Rates based on fewer than 16 </w:t>
      </w:r>
      <w:r w:rsidR="00F2421A" w:rsidRPr="009A61EF">
        <w:rPr>
          <w:rFonts w:asciiTheme="minorHAnsi" w:hAnsiTheme="minorHAnsi"/>
          <w:sz w:val="16"/>
          <w:szCs w:val="16"/>
        </w:rPr>
        <w:t>deaths are</w:t>
      </w:r>
      <w:r w:rsidRPr="009A61EF">
        <w:rPr>
          <w:rFonts w:asciiTheme="minorHAnsi" w:hAnsiTheme="minorHAnsi"/>
          <w:sz w:val="16"/>
          <w:szCs w:val="16"/>
        </w:rPr>
        <w:t xml:space="preserve"> not individually calculated. </w:t>
      </w:r>
    </w:p>
    <w:p w14:paraId="1140B36E" w14:textId="57CDDDF4" w:rsidR="006C24CC" w:rsidRDefault="006C24CC">
      <w:pPr>
        <w:rPr>
          <w:rFonts w:asciiTheme="minorHAnsi" w:hAnsiTheme="minorHAnsi" w:cstheme="minorHAnsi"/>
          <w:sz w:val="16"/>
          <w:szCs w:val="16"/>
        </w:rPr>
      </w:pPr>
      <w:r>
        <w:rPr>
          <w:rFonts w:asciiTheme="minorHAnsi" w:hAnsiTheme="minorHAnsi" w:cstheme="minorHAnsi"/>
          <w:sz w:val="16"/>
          <w:szCs w:val="16"/>
        </w:rPr>
        <w:br w:type="page"/>
      </w:r>
    </w:p>
    <w:p w14:paraId="0FC8CCA9" w14:textId="77777777" w:rsidR="006C24CC" w:rsidRDefault="006C24CC" w:rsidP="006C24CC">
      <w:pPr>
        <w:spacing w:after="0" w:line="240" w:lineRule="auto"/>
        <w:ind w:left="720"/>
        <w:rPr>
          <w:rFonts w:asciiTheme="minorHAnsi" w:hAnsiTheme="minorHAnsi" w:cstheme="minorHAnsi"/>
          <w:sz w:val="16"/>
          <w:szCs w:val="16"/>
        </w:rPr>
      </w:pPr>
    </w:p>
    <w:p w14:paraId="7A303AC7" w14:textId="77777777" w:rsidR="006C24CC" w:rsidRPr="006C24CC" w:rsidRDefault="006C24CC" w:rsidP="006C24CC">
      <w:pPr>
        <w:pStyle w:val="StyleNew1"/>
        <w:spacing w:before="0"/>
        <w:rPr>
          <w:rFonts w:asciiTheme="minorHAnsi" w:hAnsiTheme="minorHAnsi"/>
        </w:rPr>
      </w:pPr>
      <w:r>
        <w:rPr>
          <w:rFonts w:asciiTheme="minorHAnsi" w:hAnsiTheme="minorHAnsi"/>
        </w:rPr>
        <w:t>Statistical Differences - Sex</w:t>
      </w:r>
    </w:p>
    <w:p w14:paraId="5CFF1007" w14:textId="77777777" w:rsidR="00AD017C" w:rsidRPr="00DD7927" w:rsidRDefault="00AD017C" w:rsidP="00AD017C">
      <w:pPr>
        <w:spacing w:after="0" w:line="240" w:lineRule="auto"/>
        <w:rPr>
          <w:rFonts w:asciiTheme="minorHAnsi" w:hAnsiTheme="minorHAnsi" w:cstheme="minorHAnsi"/>
          <w:sz w:val="16"/>
          <w:szCs w:val="16"/>
        </w:rPr>
      </w:pPr>
    </w:p>
    <w:p w14:paraId="4016BFE6" w14:textId="02564B2C" w:rsidR="00AD017C" w:rsidRPr="007B2387" w:rsidRDefault="00AD017C" w:rsidP="00AD017C">
      <w:pPr>
        <w:pStyle w:val="ListParagraph"/>
        <w:numPr>
          <w:ilvl w:val="0"/>
          <w:numId w:val="23"/>
        </w:numPr>
        <w:spacing w:after="120" w:line="240" w:lineRule="auto"/>
        <w:ind w:left="360"/>
        <w:contextualSpacing w:val="0"/>
        <w:rPr>
          <w:rFonts w:asciiTheme="minorHAnsi" w:hAnsiTheme="minorHAnsi"/>
        </w:rPr>
      </w:pPr>
      <w:r w:rsidRPr="007B2387">
        <w:rPr>
          <w:rFonts w:asciiTheme="minorHAnsi" w:hAnsiTheme="minorHAnsi"/>
        </w:rPr>
        <w:t>Comparing</w:t>
      </w:r>
      <w:r>
        <w:rPr>
          <w:rFonts w:asciiTheme="minorHAnsi" w:hAnsiTheme="minorHAnsi"/>
        </w:rPr>
        <w:t xml:space="preserve"> Delaware females to Delaware males </w:t>
      </w:r>
      <w:r w:rsidRPr="007B2387">
        <w:rPr>
          <w:rFonts w:asciiTheme="minorHAnsi" w:hAnsiTheme="minorHAnsi"/>
        </w:rPr>
        <w:t>from 201</w:t>
      </w:r>
      <w:r>
        <w:rPr>
          <w:rFonts w:asciiTheme="minorHAnsi" w:hAnsiTheme="minorHAnsi"/>
        </w:rPr>
        <w:t>7</w:t>
      </w:r>
      <w:r w:rsidRPr="007B2387">
        <w:rPr>
          <w:rFonts w:asciiTheme="minorHAnsi" w:hAnsiTheme="minorHAnsi"/>
        </w:rPr>
        <w:t>-202</w:t>
      </w:r>
      <w:r>
        <w:rPr>
          <w:rFonts w:asciiTheme="minorHAnsi" w:hAnsiTheme="minorHAnsi"/>
        </w:rPr>
        <w:t>1 in Table 3-</w:t>
      </w:r>
      <w:r w:rsidR="006769B2">
        <w:rPr>
          <w:rFonts w:asciiTheme="minorHAnsi" w:hAnsiTheme="minorHAnsi"/>
        </w:rPr>
        <w:t>3</w:t>
      </w:r>
      <w:r w:rsidRPr="007B2387">
        <w:rPr>
          <w:rFonts w:asciiTheme="minorHAnsi" w:hAnsiTheme="minorHAnsi"/>
        </w:rPr>
        <w:t>:</w:t>
      </w:r>
    </w:p>
    <w:p w14:paraId="62BD2544" w14:textId="24230AE5" w:rsidR="00AD017C" w:rsidRDefault="00AD017C" w:rsidP="00AD017C">
      <w:pPr>
        <w:pStyle w:val="ListParagraph"/>
        <w:numPr>
          <w:ilvl w:val="0"/>
          <w:numId w:val="41"/>
        </w:numPr>
        <w:spacing w:after="120" w:line="240" w:lineRule="auto"/>
        <w:contextualSpacing w:val="0"/>
        <w:rPr>
          <w:rFonts w:asciiTheme="minorHAnsi" w:hAnsiTheme="minorHAnsi"/>
        </w:rPr>
      </w:pPr>
      <w:r>
        <w:rPr>
          <w:rFonts w:asciiTheme="minorHAnsi" w:hAnsiTheme="minorHAnsi"/>
        </w:rPr>
        <w:t xml:space="preserve">Delaware females had a statistically significantly </w:t>
      </w:r>
      <w:r w:rsidRPr="002F7BCC">
        <w:rPr>
          <w:rFonts w:asciiTheme="minorHAnsi" w:hAnsiTheme="minorHAnsi"/>
          <w:u w:val="single"/>
        </w:rPr>
        <w:t>lower</w:t>
      </w:r>
      <w:r>
        <w:rPr>
          <w:rFonts w:asciiTheme="minorHAnsi" w:hAnsiTheme="minorHAnsi"/>
        </w:rPr>
        <w:t xml:space="preserve"> age-adjusted </w:t>
      </w:r>
      <w:r w:rsidR="00E435AC">
        <w:rPr>
          <w:rFonts w:asciiTheme="minorHAnsi" w:hAnsiTheme="minorHAnsi"/>
        </w:rPr>
        <w:t>mortality</w:t>
      </w:r>
      <w:r>
        <w:rPr>
          <w:rFonts w:asciiTheme="minorHAnsi" w:hAnsiTheme="minorHAnsi"/>
        </w:rPr>
        <w:t xml:space="preserve"> rate compared to Delaware males for the following cancers: </w:t>
      </w:r>
      <w:r w:rsidR="00EA684D">
        <w:rPr>
          <w:rFonts w:asciiTheme="minorHAnsi" w:hAnsiTheme="minorHAnsi"/>
        </w:rPr>
        <w:t xml:space="preserve"> </w:t>
      </w:r>
      <w:r>
        <w:rPr>
          <w:rFonts w:asciiTheme="minorHAnsi" w:hAnsiTheme="minorHAnsi"/>
        </w:rPr>
        <w:t xml:space="preserve">all-sites, </w:t>
      </w:r>
      <w:r w:rsidR="006E071F">
        <w:rPr>
          <w:rFonts w:asciiTheme="minorHAnsi" w:hAnsiTheme="minorHAnsi"/>
        </w:rPr>
        <w:t>brain and other nervous system, colon and rectum (</w:t>
      </w:r>
      <w:r w:rsidRPr="00661549">
        <w:rPr>
          <w:rFonts w:asciiTheme="minorHAnsi" w:hAnsiTheme="minorHAnsi"/>
        </w:rPr>
        <w:t>colorectal</w:t>
      </w:r>
      <w:r w:rsidR="006E071F">
        <w:rPr>
          <w:rFonts w:asciiTheme="minorHAnsi" w:hAnsiTheme="minorHAnsi"/>
        </w:rPr>
        <w:t>)</w:t>
      </w:r>
      <w:r w:rsidRPr="00661549">
        <w:rPr>
          <w:rFonts w:asciiTheme="minorHAnsi" w:hAnsiTheme="minorHAnsi"/>
        </w:rPr>
        <w:t>, esophagus,</w:t>
      </w:r>
      <w:r>
        <w:rPr>
          <w:rFonts w:asciiTheme="minorHAnsi" w:hAnsiTheme="minorHAnsi"/>
        </w:rPr>
        <w:t xml:space="preserve"> </w:t>
      </w:r>
      <w:r w:rsidRPr="00661549">
        <w:rPr>
          <w:rFonts w:asciiTheme="minorHAnsi" w:hAnsiTheme="minorHAnsi"/>
        </w:rPr>
        <w:t>kidney and renal pelvis, larynx, leukemia, liver and intrahepatic bile duct, lung and bronchus, melanoma, myeloma, non-Hodgkin lymphoma,</w:t>
      </w:r>
      <w:r>
        <w:rPr>
          <w:rFonts w:asciiTheme="minorHAnsi" w:hAnsiTheme="minorHAnsi"/>
        </w:rPr>
        <w:t xml:space="preserve"> </w:t>
      </w:r>
      <w:r w:rsidRPr="00661549">
        <w:rPr>
          <w:rFonts w:asciiTheme="minorHAnsi" w:hAnsiTheme="minorHAnsi"/>
        </w:rPr>
        <w:t>oral cavity and pharynx, pancreas,</w:t>
      </w:r>
      <w:r>
        <w:rPr>
          <w:rFonts w:asciiTheme="minorHAnsi" w:hAnsiTheme="minorHAnsi"/>
        </w:rPr>
        <w:t xml:space="preserve"> </w:t>
      </w:r>
      <w:r w:rsidRPr="00661549">
        <w:rPr>
          <w:rFonts w:asciiTheme="minorHAnsi" w:hAnsiTheme="minorHAnsi"/>
        </w:rPr>
        <w:t>stomach,</w:t>
      </w:r>
      <w:r>
        <w:rPr>
          <w:rFonts w:asciiTheme="minorHAnsi" w:hAnsiTheme="minorHAnsi"/>
        </w:rPr>
        <w:t xml:space="preserve"> </w:t>
      </w:r>
      <w:r w:rsidRPr="00661549">
        <w:rPr>
          <w:rFonts w:asciiTheme="minorHAnsi" w:hAnsiTheme="minorHAnsi"/>
        </w:rPr>
        <w:t xml:space="preserve">and urinary bladder.  </w:t>
      </w:r>
    </w:p>
    <w:p w14:paraId="7CBF2843" w14:textId="4E498EE8" w:rsidR="002B2F21" w:rsidRPr="00A24A07" w:rsidRDefault="00C778C3" w:rsidP="00A24A07">
      <w:pPr>
        <w:pStyle w:val="ListParagraph"/>
        <w:numPr>
          <w:ilvl w:val="1"/>
          <w:numId w:val="41"/>
        </w:numPr>
        <w:spacing w:after="120" w:line="240" w:lineRule="auto"/>
        <w:contextualSpacing w:val="0"/>
        <w:rPr>
          <w:rFonts w:asciiTheme="minorHAnsi" w:hAnsiTheme="minorHAnsi"/>
        </w:rPr>
      </w:pPr>
      <w:r>
        <w:rPr>
          <w:rFonts w:asciiTheme="minorHAnsi" w:hAnsiTheme="minorHAnsi"/>
        </w:rPr>
        <w:t>Example statement</w:t>
      </w:r>
      <w:r w:rsidR="00EA684D">
        <w:rPr>
          <w:rFonts w:asciiTheme="minorHAnsi" w:hAnsiTheme="minorHAnsi"/>
        </w:rPr>
        <w:t xml:space="preserve">: </w:t>
      </w:r>
      <w:r w:rsidR="0053269B">
        <w:rPr>
          <w:rFonts w:asciiTheme="minorHAnsi" w:hAnsiTheme="minorHAnsi"/>
        </w:rPr>
        <w:t xml:space="preserve"> </w:t>
      </w:r>
      <w:r w:rsidR="00CB1984">
        <w:rPr>
          <w:rFonts w:asciiTheme="minorHAnsi" w:hAnsiTheme="minorHAnsi"/>
          <w:i/>
          <w:iCs/>
        </w:rPr>
        <w:t>From</w:t>
      </w:r>
      <w:r w:rsidR="00CB1984" w:rsidRPr="00EF2CC7">
        <w:rPr>
          <w:rFonts w:asciiTheme="minorHAnsi" w:hAnsiTheme="minorHAnsi"/>
          <w:i/>
          <w:iCs/>
        </w:rPr>
        <w:t xml:space="preserve"> 2017-202</w:t>
      </w:r>
      <w:r w:rsidR="00CB1984">
        <w:rPr>
          <w:rFonts w:asciiTheme="minorHAnsi" w:hAnsiTheme="minorHAnsi"/>
          <w:i/>
          <w:iCs/>
        </w:rPr>
        <w:t>1, t</w:t>
      </w:r>
      <w:r w:rsidR="00B71502" w:rsidRPr="00B71502">
        <w:rPr>
          <w:rFonts w:asciiTheme="minorHAnsi" w:hAnsiTheme="minorHAnsi"/>
          <w:i/>
          <w:iCs/>
        </w:rPr>
        <w:t>he age-adjusted</w:t>
      </w:r>
      <w:r w:rsidR="0040788C">
        <w:rPr>
          <w:rFonts w:asciiTheme="minorHAnsi" w:hAnsiTheme="minorHAnsi"/>
          <w:i/>
          <w:iCs/>
        </w:rPr>
        <w:t xml:space="preserve"> mortality</w:t>
      </w:r>
      <w:r w:rsidR="00B71502" w:rsidRPr="00B71502">
        <w:rPr>
          <w:rFonts w:asciiTheme="minorHAnsi" w:hAnsiTheme="minorHAnsi"/>
          <w:i/>
          <w:iCs/>
        </w:rPr>
        <w:t xml:space="preserve"> rate for</w:t>
      </w:r>
      <w:r w:rsidR="0040788C">
        <w:rPr>
          <w:rFonts w:asciiTheme="minorHAnsi" w:hAnsiTheme="minorHAnsi"/>
          <w:i/>
          <w:iCs/>
        </w:rPr>
        <w:t xml:space="preserve"> lung and bronchus </w:t>
      </w:r>
      <w:r w:rsidR="00B71502" w:rsidRPr="00B71502">
        <w:rPr>
          <w:rFonts w:asciiTheme="minorHAnsi" w:hAnsiTheme="minorHAnsi"/>
          <w:i/>
          <w:iCs/>
        </w:rPr>
        <w:t>cancer among Delaware females (</w:t>
      </w:r>
      <w:r w:rsidR="00A24A07">
        <w:rPr>
          <w:rFonts w:asciiTheme="minorHAnsi" w:hAnsiTheme="minorHAnsi"/>
          <w:i/>
          <w:iCs/>
        </w:rPr>
        <w:t>30</w:t>
      </w:r>
      <w:r w:rsidR="00B71502" w:rsidRPr="00B71502">
        <w:rPr>
          <w:rFonts w:asciiTheme="minorHAnsi" w:hAnsiTheme="minorHAnsi"/>
          <w:i/>
          <w:iCs/>
        </w:rPr>
        <w:t>.</w:t>
      </w:r>
      <w:r w:rsidR="00A24A07">
        <w:rPr>
          <w:rFonts w:asciiTheme="minorHAnsi" w:hAnsiTheme="minorHAnsi"/>
          <w:i/>
          <w:iCs/>
        </w:rPr>
        <w:t>9</w:t>
      </w:r>
      <w:r w:rsidR="00B71502" w:rsidRPr="00B71502">
        <w:rPr>
          <w:rFonts w:asciiTheme="minorHAnsi" w:hAnsiTheme="minorHAnsi"/>
          <w:i/>
          <w:iCs/>
        </w:rPr>
        <w:t xml:space="preserve"> </w:t>
      </w:r>
      <w:r w:rsidR="00A24A07">
        <w:rPr>
          <w:rFonts w:asciiTheme="minorHAnsi" w:hAnsiTheme="minorHAnsi"/>
          <w:i/>
          <w:iCs/>
        </w:rPr>
        <w:t>deaths</w:t>
      </w:r>
      <w:r w:rsidR="00B71502" w:rsidRPr="00B71502">
        <w:rPr>
          <w:rFonts w:asciiTheme="minorHAnsi" w:hAnsiTheme="minorHAnsi"/>
          <w:i/>
          <w:iCs/>
        </w:rPr>
        <w:t xml:space="preserve"> per 100,000 population) was statistically </w:t>
      </w:r>
      <w:r w:rsidR="00735404" w:rsidRPr="00B71502">
        <w:rPr>
          <w:rFonts w:asciiTheme="minorHAnsi" w:hAnsiTheme="minorHAnsi"/>
          <w:i/>
          <w:iCs/>
        </w:rPr>
        <w:t>significantly</w:t>
      </w:r>
      <w:r w:rsidR="00735404">
        <w:rPr>
          <w:rFonts w:asciiTheme="minorHAnsi" w:hAnsiTheme="minorHAnsi"/>
          <w:i/>
          <w:iCs/>
        </w:rPr>
        <w:t xml:space="preserve"> lower </w:t>
      </w:r>
      <w:r w:rsidR="00B71502" w:rsidRPr="00B71502">
        <w:rPr>
          <w:rFonts w:asciiTheme="minorHAnsi" w:hAnsiTheme="minorHAnsi"/>
          <w:i/>
          <w:iCs/>
        </w:rPr>
        <w:t>compared to Delaware males (</w:t>
      </w:r>
      <w:r w:rsidR="00A24A07">
        <w:rPr>
          <w:rFonts w:asciiTheme="minorHAnsi" w:hAnsiTheme="minorHAnsi"/>
          <w:i/>
          <w:iCs/>
        </w:rPr>
        <w:t>43.7</w:t>
      </w:r>
      <w:r w:rsidR="00B71502" w:rsidRPr="00B71502">
        <w:rPr>
          <w:rFonts w:asciiTheme="minorHAnsi" w:hAnsiTheme="minorHAnsi"/>
          <w:i/>
          <w:iCs/>
        </w:rPr>
        <w:t xml:space="preserve"> </w:t>
      </w:r>
      <w:r w:rsidR="00A24A07">
        <w:rPr>
          <w:rFonts w:asciiTheme="minorHAnsi" w:hAnsiTheme="minorHAnsi"/>
          <w:i/>
          <w:iCs/>
        </w:rPr>
        <w:t>deaths</w:t>
      </w:r>
      <w:r w:rsidR="00B71502" w:rsidRPr="00B71502">
        <w:rPr>
          <w:rFonts w:asciiTheme="minorHAnsi" w:hAnsiTheme="minorHAnsi"/>
          <w:i/>
          <w:iCs/>
        </w:rPr>
        <w:t xml:space="preserve"> per 100,000 population).</w:t>
      </w:r>
      <w:r w:rsidR="00B71502" w:rsidRPr="002B6AB2">
        <w:rPr>
          <w:rFonts w:asciiTheme="minorHAnsi" w:hAnsiTheme="minorHAnsi"/>
        </w:rPr>
        <w:t xml:space="preserve"> </w:t>
      </w:r>
      <w:r w:rsidR="00B71502">
        <w:rPr>
          <w:rFonts w:asciiTheme="minorHAnsi" w:hAnsiTheme="minorHAnsi"/>
        </w:rPr>
        <w:t xml:space="preserve"> </w:t>
      </w:r>
    </w:p>
    <w:p w14:paraId="0C247329" w14:textId="7047AC31" w:rsidR="00AA1D08" w:rsidRPr="00962386" w:rsidRDefault="00AA1D08" w:rsidP="00AA1D08">
      <w:pPr>
        <w:pStyle w:val="ListParagraph"/>
        <w:numPr>
          <w:ilvl w:val="0"/>
          <w:numId w:val="41"/>
        </w:numPr>
        <w:spacing w:after="120" w:line="240" w:lineRule="auto"/>
        <w:rPr>
          <w:rFonts w:asciiTheme="minorHAnsi" w:hAnsiTheme="minorHAnsi"/>
        </w:rPr>
      </w:pPr>
      <w:r w:rsidRPr="00962386">
        <w:rPr>
          <w:rFonts w:asciiTheme="minorHAnsi" w:hAnsiTheme="minorHAnsi"/>
        </w:rPr>
        <w:t>Due to</w:t>
      </w:r>
      <w:r w:rsidR="001E314A">
        <w:rPr>
          <w:rFonts w:asciiTheme="minorHAnsi" w:hAnsiTheme="minorHAnsi"/>
        </w:rPr>
        <w:t xml:space="preserve"> fewer than 16 deaths, significance testing could</w:t>
      </w:r>
      <w:r w:rsidR="007A4D0B">
        <w:rPr>
          <w:rFonts w:asciiTheme="minorHAnsi" w:hAnsiTheme="minorHAnsi"/>
        </w:rPr>
        <w:t xml:space="preserve"> </w:t>
      </w:r>
      <w:r w:rsidR="001E314A">
        <w:rPr>
          <w:rFonts w:asciiTheme="minorHAnsi" w:hAnsiTheme="minorHAnsi"/>
        </w:rPr>
        <w:t>n</w:t>
      </w:r>
      <w:r w:rsidR="007A4D0B">
        <w:rPr>
          <w:rFonts w:asciiTheme="minorHAnsi" w:hAnsiTheme="minorHAnsi"/>
        </w:rPr>
        <w:t>o</w:t>
      </w:r>
      <w:r w:rsidR="001E314A">
        <w:rPr>
          <w:rFonts w:asciiTheme="minorHAnsi" w:hAnsiTheme="minorHAnsi"/>
        </w:rPr>
        <w:t xml:space="preserve">t be completed for thyroid and Hodgkin lymphoma cancers. </w:t>
      </w:r>
    </w:p>
    <w:p w14:paraId="5B2FDFDA" w14:textId="77777777" w:rsidR="00497874" w:rsidRPr="00497874" w:rsidRDefault="00497874" w:rsidP="00AA1D08">
      <w:pPr>
        <w:pStyle w:val="ListParagraph"/>
        <w:spacing w:after="120" w:line="240" w:lineRule="auto"/>
        <w:contextualSpacing w:val="0"/>
        <w:rPr>
          <w:rFonts w:asciiTheme="minorHAnsi" w:hAnsiTheme="minorHAnsi"/>
        </w:rPr>
      </w:pPr>
    </w:p>
    <w:p w14:paraId="31D4422C" w14:textId="77777777" w:rsidR="00B24D63" w:rsidRDefault="00B24D63">
      <w:pPr>
        <w:rPr>
          <w:rFonts w:asciiTheme="minorHAnsi" w:hAnsiTheme="minorHAnsi"/>
          <w:b/>
          <w:caps/>
          <w:spacing w:val="10"/>
          <w:szCs w:val="18"/>
        </w:rPr>
      </w:pPr>
      <w:r>
        <w:rPr>
          <w:rFonts w:asciiTheme="minorHAnsi" w:hAnsiTheme="minorHAnsi"/>
          <w:b/>
        </w:rPr>
        <w:br w:type="page"/>
      </w:r>
    </w:p>
    <w:p w14:paraId="7C4D71A3" w14:textId="20C5FD52" w:rsidR="00961B54" w:rsidRPr="00BE1A64" w:rsidRDefault="00961B54" w:rsidP="00BE1A64">
      <w:pPr>
        <w:pStyle w:val="Caption"/>
        <w:spacing w:after="120" w:line="240" w:lineRule="auto"/>
        <w:jc w:val="center"/>
        <w:rPr>
          <w:rFonts w:asciiTheme="minorHAnsi" w:hAnsiTheme="minorHAnsi"/>
          <w:b/>
          <w:sz w:val="22"/>
        </w:rPr>
      </w:pPr>
      <w:r w:rsidRPr="007B066E">
        <w:rPr>
          <w:rFonts w:asciiTheme="minorHAnsi" w:hAnsiTheme="minorHAnsi"/>
          <w:b/>
          <w:sz w:val="22"/>
        </w:rPr>
        <w:lastRenderedPageBreak/>
        <w:t xml:space="preserve">Table </w:t>
      </w:r>
      <w:r w:rsidR="003100DC">
        <w:rPr>
          <w:rFonts w:asciiTheme="minorHAnsi" w:hAnsiTheme="minorHAnsi"/>
          <w:b/>
          <w:sz w:val="22"/>
        </w:rPr>
        <w:t>3-4</w:t>
      </w:r>
      <w:r w:rsidRPr="007B066E">
        <w:rPr>
          <w:rFonts w:asciiTheme="minorHAnsi" w:hAnsiTheme="minorHAnsi"/>
          <w:b/>
          <w:sz w:val="22"/>
        </w:rPr>
        <w:t xml:space="preserve">: </w:t>
      </w:r>
      <w:r w:rsidR="00D5190D" w:rsidRPr="007B066E">
        <w:rPr>
          <w:rFonts w:asciiTheme="minorHAnsi" w:hAnsiTheme="minorHAnsi"/>
          <w:b/>
          <w:sz w:val="22"/>
        </w:rPr>
        <w:t>FIVE-YEAR Average</w:t>
      </w:r>
      <w:r w:rsidR="00D5190D" w:rsidRPr="00B03D99">
        <w:rPr>
          <w:rFonts w:asciiTheme="minorHAnsi" w:hAnsiTheme="minorHAnsi"/>
          <w:b/>
          <w:sz w:val="22"/>
        </w:rPr>
        <w:t xml:space="preserve"> </w:t>
      </w:r>
      <w:r w:rsidR="00D5190D" w:rsidRPr="00A66133">
        <w:rPr>
          <w:rFonts w:asciiTheme="minorHAnsi" w:hAnsiTheme="minorHAnsi"/>
          <w:b/>
          <w:sz w:val="22"/>
          <w:szCs w:val="22"/>
        </w:rPr>
        <w:t>Age-Adjusted cancer</w:t>
      </w:r>
      <w:r w:rsidR="00D5190D">
        <w:rPr>
          <w:rFonts w:asciiTheme="minorHAnsi" w:hAnsiTheme="minorHAnsi"/>
          <w:b/>
          <w:sz w:val="22"/>
          <w:szCs w:val="22"/>
        </w:rPr>
        <w:t xml:space="preserve"> Mortality</w:t>
      </w:r>
      <w:r w:rsidR="00D5190D" w:rsidRPr="00A66133">
        <w:rPr>
          <w:rFonts w:asciiTheme="minorHAnsi" w:hAnsiTheme="minorHAnsi"/>
          <w:b/>
          <w:sz w:val="22"/>
          <w:szCs w:val="22"/>
        </w:rPr>
        <w:t xml:space="preserve"> Rates by </w:t>
      </w:r>
      <w:r w:rsidR="00D5190D">
        <w:rPr>
          <w:rFonts w:asciiTheme="minorHAnsi" w:hAnsiTheme="minorHAnsi"/>
          <w:b/>
          <w:sz w:val="22"/>
          <w:szCs w:val="22"/>
        </w:rPr>
        <w:t>Race/Ethnicity</w:t>
      </w:r>
      <w:r w:rsidR="00D5190D" w:rsidRPr="00A66133">
        <w:rPr>
          <w:rFonts w:asciiTheme="minorHAnsi" w:hAnsiTheme="minorHAnsi"/>
          <w:b/>
          <w:sz w:val="22"/>
          <w:szCs w:val="22"/>
        </w:rPr>
        <w:t xml:space="preserve"> and Cancer Site with Confidence INTERVALS; Delaware, 2017-2021</w:t>
      </w:r>
    </w:p>
    <w:p w14:paraId="62C56F18" w14:textId="4C0A3B1E" w:rsidR="00AE4A87" w:rsidRDefault="00AE4A87" w:rsidP="00AE4A87">
      <w:pPr>
        <w:spacing w:after="0" w:line="240" w:lineRule="auto"/>
        <w:jc w:val="center"/>
      </w:pPr>
      <w:r w:rsidRPr="00AE4A87">
        <w:rPr>
          <w:noProof/>
        </w:rPr>
        <w:drawing>
          <wp:inline distT="0" distB="0" distL="0" distR="0" wp14:anchorId="13ACCF9E" wp14:editId="5934721A">
            <wp:extent cx="5478780" cy="7094220"/>
            <wp:effectExtent l="0" t="0" r="7620" b="0"/>
            <wp:docPr id="3038793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478780" cy="7094220"/>
                    </a:xfrm>
                    <a:prstGeom prst="rect">
                      <a:avLst/>
                    </a:prstGeom>
                    <a:noFill/>
                    <a:ln>
                      <a:noFill/>
                    </a:ln>
                  </pic:spPr>
                </pic:pic>
              </a:graphicData>
            </a:graphic>
          </wp:inline>
        </w:drawing>
      </w:r>
    </w:p>
    <w:p w14:paraId="0A8B933C" w14:textId="60EF492E" w:rsidR="004D49D6" w:rsidRPr="009A61EF" w:rsidRDefault="004D49D6" w:rsidP="009A61EF">
      <w:pPr>
        <w:spacing w:after="0" w:line="240" w:lineRule="auto"/>
        <w:ind w:firstLine="630"/>
        <w:jc w:val="both"/>
        <w:rPr>
          <w:rFonts w:asciiTheme="minorHAnsi" w:hAnsiTheme="minorHAnsi"/>
          <w:i/>
          <w:sz w:val="16"/>
          <w:szCs w:val="16"/>
        </w:rPr>
      </w:pPr>
      <w:r w:rsidRPr="009A61EF">
        <w:rPr>
          <w:rFonts w:asciiTheme="minorHAnsi" w:hAnsiTheme="minorHAnsi"/>
          <w:i/>
          <w:sz w:val="16"/>
          <w:szCs w:val="16"/>
        </w:rPr>
        <w:t>Source: Delaware Department of Social Services, Division of Public Health, Delaware Cancer Registry, 2024</w:t>
      </w:r>
    </w:p>
    <w:p w14:paraId="2D72838A" w14:textId="67613C24" w:rsidR="004D49D6" w:rsidRPr="009A61EF" w:rsidRDefault="004D49D6" w:rsidP="009A61EF">
      <w:pPr>
        <w:spacing w:after="0" w:line="240" w:lineRule="auto"/>
        <w:ind w:left="630"/>
        <w:rPr>
          <w:rFonts w:asciiTheme="minorHAnsi" w:hAnsiTheme="minorHAnsi" w:cstheme="minorHAnsi"/>
          <w:sz w:val="16"/>
          <w:szCs w:val="16"/>
        </w:rPr>
      </w:pPr>
      <w:r w:rsidRPr="009A61EF">
        <w:rPr>
          <w:rFonts w:asciiTheme="minorHAnsi" w:hAnsiTheme="minorHAnsi" w:cstheme="minorHAnsi"/>
          <w:sz w:val="16"/>
          <w:szCs w:val="16"/>
        </w:rPr>
        <w:t>Rates are per 100,000 population and are age-adjusted to the 2000 U.S. standard population (19 age groups – Census P25–1130) and are calculate using modified U.S. Census populations available from NCI (</w:t>
      </w:r>
      <w:hyperlink r:id="rId66" w:history="1">
        <w:r w:rsidRPr="009A61EF">
          <w:rPr>
            <w:rStyle w:val="Hyperlink"/>
            <w:rFonts w:asciiTheme="minorHAnsi" w:hAnsiTheme="minorHAnsi" w:cstheme="minorHAnsi"/>
            <w:sz w:val="16"/>
            <w:szCs w:val="16"/>
          </w:rPr>
          <w:t>https://seer.cancer.gov/popdata/</w:t>
        </w:r>
      </w:hyperlink>
      <w:r w:rsidRPr="009A61EF">
        <w:rPr>
          <w:rFonts w:asciiTheme="minorHAnsi" w:hAnsiTheme="minorHAnsi" w:cstheme="minorHAnsi"/>
          <w:sz w:val="16"/>
          <w:szCs w:val="16"/>
        </w:rPr>
        <w:t xml:space="preserve">). </w:t>
      </w:r>
    </w:p>
    <w:p w14:paraId="63DC8CBA" w14:textId="1D9DC5C0" w:rsidR="004D49D6" w:rsidRPr="009A61EF" w:rsidRDefault="004D49D6" w:rsidP="009A61EF">
      <w:pPr>
        <w:spacing w:after="0" w:line="240" w:lineRule="auto"/>
        <w:ind w:left="630"/>
        <w:rPr>
          <w:rFonts w:asciiTheme="minorHAnsi" w:hAnsiTheme="minorHAnsi" w:cstheme="minorHAnsi"/>
          <w:sz w:val="16"/>
          <w:szCs w:val="16"/>
        </w:rPr>
      </w:pPr>
      <w:r w:rsidRPr="009A61EF">
        <w:rPr>
          <w:rFonts w:asciiTheme="minorHAnsi" w:hAnsiTheme="minorHAnsi" w:cstheme="minorHAnsi"/>
          <w:sz w:val="16"/>
          <w:szCs w:val="16"/>
        </w:rPr>
        <w:t>*Statistically significantly different from the reference group “</w:t>
      </w:r>
      <w:r w:rsidR="00AC71E3" w:rsidRPr="009A61EF">
        <w:rPr>
          <w:rFonts w:asciiTheme="minorHAnsi" w:hAnsiTheme="minorHAnsi" w:cstheme="minorHAnsi"/>
          <w:sz w:val="16"/>
          <w:szCs w:val="16"/>
        </w:rPr>
        <w:t>non</w:t>
      </w:r>
      <w:r w:rsidRPr="009A61EF">
        <w:rPr>
          <w:rFonts w:asciiTheme="minorHAnsi" w:hAnsiTheme="minorHAnsi" w:cstheme="minorHAnsi"/>
          <w:sz w:val="16"/>
          <w:szCs w:val="16"/>
        </w:rPr>
        <w:t xml:space="preserve">-Hispanic White”. Rate Ratios with p-values were modeled using SEER*Stat 8.4.3 as confirmatory test. “CI” stands for Confidence Interval. </w:t>
      </w:r>
    </w:p>
    <w:p w14:paraId="0868A754" w14:textId="7138BD1B" w:rsidR="007E4986" w:rsidRPr="009A61EF" w:rsidRDefault="004D49D6" w:rsidP="004D49D6">
      <w:pPr>
        <w:spacing w:after="120" w:line="240" w:lineRule="auto"/>
        <w:ind w:firstLine="630"/>
        <w:rPr>
          <w:rFonts w:asciiTheme="minorHAnsi" w:hAnsiTheme="minorHAnsi"/>
          <w:sz w:val="16"/>
          <w:szCs w:val="16"/>
        </w:rPr>
      </w:pPr>
      <w:r w:rsidRPr="009A61EF">
        <w:rPr>
          <w:rFonts w:asciiTheme="minorHAnsi" w:hAnsiTheme="minorHAnsi"/>
          <w:sz w:val="16"/>
          <w:szCs w:val="16"/>
        </w:rPr>
        <w:t xml:space="preserve">---Rates based on fewer than 16 deaths are not individually calculated. </w:t>
      </w:r>
    </w:p>
    <w:p w14:paraId="25755F84" w14:textId="77777777" w:rsidR="004E6C05" w:rsidRDefault="004E6C05" w:rsidP="004D49D6">
      <w:pPr>
        <w:spacing w:after="120" w:line="240" w:lineRule="auto"/>
        <w:ind w:firstLine="630"/>
        <w:rPr>
          <w:rFonts w:asciiTheme="minorHAnsi" w:hAnsiTheme="minorHAnsi"/>
          <w:sz w:val="16"/>
          <w:szCs w:val="16"/>
        </w:rPr>
      </w:pPr>
    </w:p>
    <w:p w14:paraId="3DBDC25C" w14:textId="77777777" w:rsidR="004E6C05" w:rsidRPr="004D49D6" w:rsidRDefault="004E6C05" w:rsidP="004D49D6">
      <w:pPr>
        <w:spacing w:after="120" w:line="240" w:lineRule="auto"/>
        <w:ind w:firstLine="630"/>
        <w:rPr>
          <w:rFonts w:asciiTheme="minorHAnsi" w:hAnsiTheme="minorHAnsi"/>
          <w:sz w:val="16"/>
          <w:szCs w:val="16"/>
        </w:rPr>
      </w:pPr>
    </w:p>
    <w:p w14:paraId="2997B27E" w14:textId="45326CAC" w:rsidR="007E4986" w:rsidRPr="00AE200D" w:rsidRDefault="00BE1A64" w:rsidP="00AE200D">
      <w:pPr>
        <w:pStyle w:val="Caption"/>
        <w:spacing w:after="120" w:line="240" w:lineRule="auto"/>
        <w:jc w:val="center"/>
        <w:rPr>
          <w:rFonts w:asciiTheme="minorHAnsi" w:hAnsiTheme="minorHAnsi"/>
          <w:b/>
          <w:sz w:val="22"/>
        </w:rPr>
      </w:pPr>
      <w:r w:rsidRPr="007B066E">
        <w:rPr>
          <w:rFonts w:asciiTheme="minorHAnsi" w:hAnsiTheme="minorHAnsi"/>
          <w:b/>
          <w:sz w:val="22"/>
        </w:rPr>
        <w:lastRenderedPageBreak/>
        <w:t xml:space="preserve">Table </w:t>
      </w:r>
      <w:r>
        <w:rPr>
          <w:rFonts w:asciiTheme="minorHAnsi" w:hAnsiTheme="minorHAnsi"/>
          <w:b/>
          <w:sz w:val="22"/>
        </w:rPr>
        <w:t>3-4</w:t>
      </w:r>
      <w:r w:rsidRPr="007B066E">
        <w:rPr>
          <w:rFonts w:asciiTheme="minorHAnsi" w:hAnsiTheme="minorHAnsi"/>
          <w:b/>
          <w:sz w:val="22"/>
        </w:rPr>
        <w:t>: FIVE-YEAR Average</w:t>
      </w:r>
      <w:r w:rsidRPr="00B03D99">
        <w:rPr>
          <w:rFonts w:asciiTheme="minorHAnsi" w:hAnsiTheme="minorHAnsi"/>
          <w:b/>
          <w:sz w:val="22"/>
        </w:rPr>
        <w:t xml:space="preserve"> </w:t>
      </w:r>
      <w:r w:rsidRPr="00A66133">
        <w:rPr>
          <w:rFonts w:asciiTheme="minorHAnsi" w:hAnsiTheme="minorHAnsi"/>
          <w:b/>
          <w:sz w:val="22"/>
          <w:szCs w:val="22"/>
        </w:rPr>
        <w:t>Age-Adjusted cancer</w:t>
      </w:r>
      <w:r>
        <w:rPr>
          <w:rFonts w:asciiTheme="minorHAnsi" w:hAnsiTheme="minorHAnsi"/>
          <w:b/>
          <w:sz w:val="22"/>
          <w:szCs w:val="22"/>
        </w:rPr>
        <w:t xml:space="preserve"> Mortality</w:t>
      </w:r>
      <w:r w:rsidRPr="00A66133">
        <w:rPr>
          <w:rFonts w:asciiTheme="minorHAnsi" w:hAnsiTheme="minorHAnsi"/>
          <w:b/>
          <w:sz w:val="22"/>
          <w:szCs w:val="22"/>
        </w:rPr>
        <w:t xml:space="preserve"> Rates by </w:t>
      </w:r>
      <w:r>
        <w:rPr>
          <w:rFonts w:asciiTheme="minorHAnsi" w:hAnsiTheme="minorHAnsi"/>
          <w:b/>
          <w:sz w:val="22"/>
          <w:szCs w:val="22"/>
        </w:rPr>
        <w:t>Race/Ethnicity</w:t>
      </w:r>
      <w:r w:rsidRPr="00A66133">
        <w:rPr>
          <w:rFonts w:asciiTheme="minorHAnsi" w:hAnsiTheme="minorHAnsi"/>
          <w:b/>
          <w:sz w:val="22"/>
          <w:szCs w:val="22"/>
        </w:rPr>
        <w:t xml:space="preserve"> and Cancer Site with Confidence INTERVALS; Delaware, 2017-2021</w:t>
      </w:r>
      <w:r>
        <w:rPr>
          <w:rFonts w:asciiTheme="minorHAnsi" w:hAnsiTheme="minorHAnsi"/>
          <w:b/>
          <w:sz w:val="22"/>
          <w:szCs w:val="22"/>
        </w:rPr>
        <w:t xml:space="preserve"> (CONTINUED)</w:t>
      </w:r>
    </w:p>
    <w:p w14:paraId="2FEF2EA2" w14:textId="025DB78A" w:rsidR="00BE1A64" w:rsidRDefault="00516AAE" w:rsidP="00516AAE">
      <w:pPr>
        <w:spacing w:after="0" w:line="240" w:lineRule="auto"/>
        <w:jc w:val="center"/>
      </w:pPr>
      <w:r w:rsidRPr="00516AAE">
        <w:rPr>
          <w:noProof/>
        </w:rPr>
        <w:drawing>
          <wp:inline distT="0" distB="0" distL="0" distR="0" wp14:anchorId="7395A484" wp14:editId="3575C6F0">
            <wp:extent cx="5539740" cy="7094220"/>
            <wp:effectExtent l="0" t="0" r="3810" b="0"/>
            <wp:docPr id="4927409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539740" cy="7094220"/>
                    </a:xfrm>
                    <a:prstGeom prst="rect">
                      <a:avLst/>
                    </a:prstGeom>
                    <a:noFill/>
                    <a:ln>
                      <a:noFill/>
                    </a:ln>
                  </pic:spPr>
                </pic:pic>
              </a:graphicData>
            </a:graphic>
          </wp:inline>
        </w:drawing>
      </w:r>
    </w:p>
    <w:p w14:paraId="40128700" w14:textId="58ACC7F5" w:rsidR="004D49D6" w:rsidRPr="009A61EF" w:rsidRDefault="004D49D6" w:rsidP="009A61EF">
      <w:pPr>
        <w:spacing w:after="0" w:line="240" w:lineRule="auto"/>
        <w:ind w:firstLine="540"/>
        <w:jc w:val="both"/>
        <w:rPr>
          <w:rFonts w:asciiTheme="minorHAnsi" w:hAnsiTheme="minorHAnsi"/>
          <w:i/>
          <w:sz w:val="16"/>
          <w:szCs w:val="16"/>
        </w:rPr>
      </w:pPr>
      <w:r w:rsidRPr="009A61EF">
        <w:rPr>
          <w:rFonts w:asciiTheme="minorHAnsi" w:hAnsiTheme="minorHAnsi"/>
          <w:i/>
          <w:sz w:val="16"/>
          <w:szCs w:val="16"/>
        </w:rPr>
        <w:t>Source: Delaware Department of Social Services, Division of Public Health, Delaware Cancer Registry, 2024</w:t>
      </w:r>
    </w:p>
    <w:p w14:paraId="0E614578" w14:textId="76965496" w:rsidR="004D49D6" w:rsidRPr="009A61EF" w:rsidRDefault="004D49D6" w:rsidP="009A61EF">
      <w:pPr>
        <w:spacing w:after="0" w:line="240" w:lineRule="auto"/>
        <w:ind w:left="540"/>
        <w:rPr>
          <w:rFonts w:asciiTheme="minorHAnsi" w:hAnsiTheme="minorHAnsi" w:cstheme="minorHAnsi"/>
          <w:sz w:val="16"/>
          <w:szCs w:val="16"/>
        </w:rPr>
      </w:pPr>
      <w:r w:rsidRPr="009A61EF">
        <w:rPr>
          <w:rFonts w:asciiTheme="minorHAnsi" w:hAnsiTheme="minorHAnsi" w:cstheme="minorHAnsi"/>
          <w:sz w:val="16"/>
          <w:szCs w:val="16"/>
        </w:rPr>
        <w:t>Rates are per 100,000 population and are age-adjusted to the 2000 U.S. standard population (19 age groups – Census P25–1130) and are calculate using modified U.S. Census populations available from NCI (</w:t>
      </w:r>
      <w:hyperlink r:id="rId68" w:history="1">
        <w:r w:rsidRPr="009A61EF">
          <w:rPr>
            <w:rStyle w:val="Hyperlink"/>
            <w:rFonts w:asciiTheme="minorHAnsi" w:hAnsiTheme="minorHAnsi" w:cstheme="minorHAnsi"/>
            <w:sz w:val="16"/>
            <w:szCs w:val="16"/>
          </w:rPr>
          <w:t>https://seer.cancer.gov/popdata/</w:t>
        </w:r>
      </w:hyperlink>
      <w:r w:rsidRPr="009A61EF">
        <w:rPr>
          <w:rFonts w:asciiTheme="minorHAnsi" w:hAnsiTheme="minorHAnsi" w:cstheme="minorHAnsi"/>
          <w:sz w:val="16"/>
          <w:szCs w:val="16"/>
        </w:rPr>
        <w:t xml:space="preserve">). </w:t>
      </w:r>
    </w:p>
    <w:p w14:paraId="174E91EC" w14:textId="79FC9E16" w:rsidR="004D49D6" w:rsidRPr="009A61EF" w:rsidRDefault="004D49D6" w:rsidP="009A61EF">
      <w:pPr>
        <w:spacing w:after="0" w:line="240" w:lineRule="auto"/>
        <w:ind w:left="540"/>
        <w:rPr>
          <w:rFonts w:asciiTheme="minorHAnsi" w:hAnsiTheme="minorHAnsi" w:cstheme="minorHAnsi"/>
          <w:sz w:val="16"/>
          <w:szCs w:val="16"/>
        </w:rPr>
      </w:pPr>
      <w:r w:rsidRPr="009A61EF">
        <w:rPr>
          <w:rFonts w:asciiTheme="minorHAnsi" w:hAnsiTheme="minorHAnsi" w:cstheme="minorHAnsi"/>
          <w:sz w:val="16"/>
          <w:szCs w:val="16"/>
        </w:rPr>
        <w:t>*Statistically significantly different from the reference group “</w:t>
      </w:r>
      <w:r w:rsidR="00AC71E3" w:rsidRPr="009A61EF">
        <w:rPr>
          <w:rFonts w:asciiTheme="minorHAnsi" w:hAnsiTheme="minorHAnsi" w:cstheme="minorHAnsi"/>
          <w:sz w:val="16"/>
          <w:szCs w:val="16"/>
        </w:rPr>
        <w:t>non</w:t>
      </w:r>
      <w:r w:rsidRPr="009A61EF">
        <w:rPr>
          <w:rFonts w:asciiTheme="minorHAnsi" w:hAnsiTheme="minorHAnsi" w:cstheme="minorHAnsi"/>
          <w:sz w:val="16"/>
          <w:szCs w:val="16"/>
        </w:rPr>
        <w:t xml:space="preserve">-Hispanic White”. Rate Ratios with p-values were modeled using SEER*Stat 8.4.3 as confirmatory test. “CI” stands for Confidence Interval. </w:t>
      </w:r>
    </w:p>
    <w:p w14:paraId="1C8B10E5" w14:textId="71A02AC9" w:rsidR="007E4986" w:rsidRPr="009A61EF" w:rsidRDefault="004D49D6" w:rsidP="00E76427">
      <w:pPr>
        <w:spacing w:after="120" w:line="240" w:lineRule="auto"/>
        <w:ind w:firstLine="540"/>
        <w:rPr>
          <w:rFonts w:asciiTheme="minorHAnsi" w:hAnsiTheme="minorHAnsi"/>
          <w:sz w:val="16"/>
          <w:szCs w:val="16"/>
        </w:rPr>
      </w:pPr>
      <w:r w:rsidRPr="009A61EF">
        <w:rPr>
          <w:rFonts w:asciiTheme="minorHAnsi" w:hAnsiTheme="minorHAnsi"/>
          <w:sz w:val="16"/>
          <w:szCs w:val="16"/>
        </w:rPr>
        <w:t xml:space="preserve">---Rates based on fewer than 16 </w:t>
      </w:r>
      <w:r w:rsidR="00771B28" w:rsidRPr="009A61EF">
        <w:rPr>
          <w:rFonts w:asciiTheme="minorHAnsi" w:hAnsiTheme="minorHAnsi"/>
          <w:sz w:val="16"/>
          <w:szCs w:val="16"/>
        </w:rPr>
        <w:t>deaths</w:t>
      </w:r>
      <w:r w:rsidRPr="009A61EF">
        <w:rPr>
          <w:rFonts w:asciiTheme="minorHAnsi" w:hAnsiTheme="minorHAnsi"/>
          <w:sz w:val="16"/>
          <w:szCs w:val="16"/>
        </w:rPr>
        <w:t xml:space="preserve"> are not individually calculated. </w:t>
      </w:r>
    </w:p>
    <w:p w14:paraId="485396D6" w14:textId="1CF71863" w:rsidR="00D77BA2" w:rsidRDefault="006C24CC" w:rsidP="006C24CC">
      <w:pPr>
        <w:rPr>
          <w:rFonts w:asciiTheme="minorHAnsi" w:hAnsiTheme="minorHAnsi"/>
          <w:sz w:val="16"/>
          <w:szCs w:val="16"/>
        </w:rPr>
      </w:pPr>
      <w:r>
        <w:rPr>
          <w:rFonts w:asciiTheme="minorHAnsi" w:hAnsiTheme="minorHAnsi"/>
          <w:sz w:val="16"/>
          <w:szCs w:val="16"/>
        </w:rPr>
        <w:br w:type="page"/>
      </w:r>
    </w:p>
    <w:p w14:paraId="2F764CB6" w14:textId="10EA16D9" w:rsidR="003B3D33" w:rsidRPr="006C24CC" w:rsidRDefault="006C24CC" w:rsidP="006C24CC">
      <w:pPr>
        <w:pStyle w:val="StyleNew1"/>
        <w:spacing w:before="0"/>
        <w:rPr>
          <w:rFonts w:asciiTheme="minorHAnsi" w:hAnsiTheme="minorHAnsi"/>
        </w:rPr>
      </w:pPr>
      <w:r>
        <w:rPr>
          <w:rFonts w:asciiTheme="minorHAnsi" w:hAnsiTheme="minorHAnsi"/>
        </w:rPr>
        <w:lastRenderedPageBreak/>
        <w:t>Statistical Differences – Race/Ethnicity</w:t>
      </w:r>
    </w:p>
    <w:p w14:paraId="1A9167AF" w14:textId="1C99BC72" w:rsidR="005441D7" w:rsidRPr="004913A2" w:rsidRDefault="005441D7" w:rsidP="000A57A3">
      <w:pPr>
        <w:pStyle w:val="ListParagraph"/>
        <w:numPr>
          <w:ilvl w:val="0"/>
          <w:numId w:val="21"/>
        </w:numPr>
        <w:tabs>
          <w:tab w:val="left" w:pos="720"/>
        </w:tabs>
        <w:spacing w:after="120" w:line="240" w:lineRule="auto"/>
        <w:ind w:left="360"/>
        <w:contextualSpacing w:val="0"/>
        <w:rPr>
          <w:rFonts w:asciiTheme="minorHAnsi" w:hAnsiTheme="minorHAnsi" w:cstheme="minorHAnsi"/>
        </w:rPr>
      </w:pPr>
      <w:r>
        <w:rPr>
          <w:rFonts w:asciiTheme="minorHAnsi" w:hAnsiTheme="minorHAnsi" w:cstheme="minorHAnsi"/>
        </w:rPr>
        <w:t xml:space="preserve">Comparing </w:t>
      </w:r>
      <w:r w:rsidR="00AC71E3">
        <w:rPr>
          <w:rFonts w:asciiTheme="minorHAnsi" w:hAnsiTheme="minorHAnsi" w:cstheme="minorHAnsi"/>
        </w:rPr>
        <w:t>non</w:t>
      </w:r>
      <w:r>
        <w:rPr>
          <w:rFonts w:asciiTheme="minorHAnsi" w:hAnsiTheme="minorHAnsi" w:cstheme="minorHAnsi"/>
        </w:rPr>
        <w:t xml:space="preserve">-Hispanic Black Delawareans to </w:t>
      </w:r>
      <w:r w:rsidR="00AC71E3">
        <w:rPr>
          <w:rFonts w:asciiTheme="minorHAnsi" w:hAnsiTheme="minorHAnsi" w:cstheme="minorHAnsi"/>
        </w:rPr>
        <w:t>non</w:t>
      </w:r>
      <w:r>
        <w:rPr>
          <w:rFonts w:asciiTheme="minorHAnsi" w:hAnsiTheme="minorHAnsi" w:cstheme="minorHAnsi"/>
        </w:rPr>
        <w:t xml:space="preserve">-Hispanic White Delawareans </w:t>
      </w:r>
      <w:r w:rsidRPr="004913A2">
        <w:rPr>
          <w:rFonts w:asciiTheme="minorHAnsi" w:hAnsiTheme="minorHAnsi" w:cstheme="minorHAnsi"/>
        </w:rPr>
        <w:t>from 201</w:t>
      </w:r>
      <w:r>
        <w:rPr>
          <w:rFonts w:asciiTheme="minorHAnsi" w:hAnsiTheme="minorHAnsi" w:cstheme="minorHAnsi"/>
        </w:rPr>
        <w:t>7</w:t>
      </w:r>
      <w:r w:rsidRPr="004913A2">
        <w:rPr>
          <w:rFonts w:asciiTheme="minorHAnsi" w:hAnsiTheme="minorHAnsi" w:cstheme="minorHAnsi"/>
        </w:rPr>
        <w:t>-20</w:t>
      </w:r>
      <w:r>
        <w:rPr>
          <w:rFonts w:asciiTheme="minorHAnsi" w:hAnsiTheme="minorHAnsi" w:cstheme="minorHAnsi"/>
        </w:rPr>
        <w:t>21</w:t>
      </w:r>
      <w:r w:rsidRPr="004913A2">
        <w:rPr>
          <w:rFonts w:asciiTheme="minorHAnsi" w:hAnsiTheme="minorHAnsi" w:cstheme="minorHAnsi"/>
        </w:rPr>
        <w:t>:</w:t>
      </w:r>
    </w:p>
    <w:p w14:paraId="2D8FA7DA" w14:textId="0D9A7762" w:rsidR="003A364F" w:rsidRDefault="00933768" w:rsidP="005441D7">
      <w:pPr>
        <w:pStyle w:val="ListParagraph"/>
        <w:numPr>
          <w:ilvl w:val="0"/>
          <w:numId w:val="42"/>
        </w:numPr>
        <w:spacing w:after="120" w:line="240" w:lineRule="auto"/>
        <w:contextualSpacing w:val="0"/>
        <w:rPr>
          <w:rFonts w:asciiTheme="minorHAnsi" w:hAnsiTheme="minorHAnsi"/>
        </w:rPr>
      </w:pPr>
      <w:r>
        <w:rPr>
          <w:rFonts w:asciiTheme="minorHAnsi" w:hAnsiTheme="minorHAnsi"/>
        </w:rPr>
        <w:t xml:space="preserve">Non-Hispanic Black Delawareans </w:t>
      </w:r>
      <w:r w:rsidR="005441D7">
        <w:rPr>
          <w:rFonts w:asciiTheme="minorHAnsi" w:hAnsiTheme="minorHAnsi"/>
        </w:rPr>
        <w:t xml:space="preserve">had a statistically significantly </w:t>
      </w:r>
      <w:r>
        <w:rPr>
          <w:rFonts w:asciiTheme="minorHAnsi" w:hAnsiTheme="minorHAnsi"/>
          <w:u w:val="single"/>
        </w:rPr>
        <w:t>higher</w:t>
      </w:r>
      <w:r w:rsidRPr="006D51FB">
        <w:rPr>
          <w:rFonts w:asciiTheme="minorHAnsi" w:hAnsiTheme="minorHAnsi"/>
        </w:rPr>
        <w:t xml:space="preserve"> </w:t>
      </w:r>
      <w:r w:rsidR="005441D7">
        <w:rPr>
          <w:rFonts w:asciiTheme="minorHAnsi" w:hAnsiTheme="minorHAnsi"/>
        </w:rPr>
        <w:t>age-adjusted</w:t>
      </w:r>
      <w:r w:rsidR="00374DF6">
        <w:rPr>
          <w:rFonts w:asciiTheme="minorHAnsi" w:hAnsiTheme="minorHAnsi"/>
        </w:rPr>
        <w:t xml:space="preserve"> mortality </w:t>
      </w:r>
      <w:r w:rsidR="005441D7">
        <w:rPr>
          <w:rFonts w:asciiTheme="minorHAnsi" w:hAnsiTheme="minorHAnsi"/>
        </w:rPr>
        <w:t>rate compared to</w:t>
      </w:r>
      <w:r>
        <w:rPr>
          <w:rFonts w:asciiTheme="minorHAnsi" w:hAnsiTheme="minorHAnsi"/>
        </w:rPr>
        <w:t xml:space="preserve"> </w:t>
      </w:r>
      <w:r w:rsidR="00AC71E3">
        <w:rPr>
          <w:rFonts w:asciiTheme="minorHAnsi" w:hAnsiTheme="minorHAnsi"/>
        </w:rPr>
        <w:t>non</w:t>
      </w:r>
      <w:r>
        <w:rPr>
          <w:rFonts w:asciiTheme="minorHAnsi" w:hAnsiTheme="minorHAnsi"/>
        </w:rPr>
        <w:t>-Hispanic White Delawareans</w:t>
      </w:r>
      <w:r w:rsidR="005441D7">
        <w:rPr>
          <w:rFonts w:asciiTheme="minorHAnsi" w:hAnsiTheme="minorHAnsi"/>
        </w:rPr>
        <w:t xml:space="preserve"> for the following cancers: </w:t>
      </w:r>
      <w:r w:rsidR="000B3DD3">
        <w:rPr>
          <w:rFonts w:asciiTheme="minorHAnsi" w:hAnsiTheme="minorHAnsi"/>
        </w:rPr>
        <w:t xml:space="preserve"> </w:t>
      </w:r>
      <w:r w:rsidR="005441D7">
        <w:rPr>
          <w:rFonts w:asciiTheme="minorHAnsi" w:hAnsiTheme="minorHAnsi"/>
        </w:rPr>
        <w:t xml:space="preserve">all-sites, </w:t>
      </w:r>
      <w:r w:rsidR="003A364F">
        <w:rPr>
          <w:rFonts w:asciiTheme="minorHAnsi" w:hAnsiTheme="minorHAnsi"/>
        </w:rPr>
        <w:t xml:space="preserve">stomach, </w:t>
      </w:r>
      <w:r w:rsidR="003A364F" w:rsidRPr="00661549">
        <w:rPr>
          <w:rFonts w:asciiTheme="minorHAnsi" w:hAnsiTheme="minorHAnsi"/>
        </w:rPr>
        <w:t>larynx,</w:t>
      </w:r>
      <w:r w:rsidR="003A364F">
        <w:rPr>
          <w:rFonts w:asciiTheme="minorHAnsi" w:hAnsiTheme="minorHAnsi"/>
        </w:rPr>
        <w:t xml:space="preserve"> </w:t>
      </w:r>
      <w:r w:rsidR="003A364F" w:rsidRPr="00661549">
        <w:rPr>
          <w:rFonts w:asciiTheme="minorHAnsi" w:hAnsiTheme="minorHAnsi"/>
        </w:rPr>
        <w:t>liver and intrahepatic bile duct</w:t>
      </w:r>
      <w:r w:rsidR="003A364F">
        <w:rPr>
          <w:rFonts w:asciiTheme="minorHAnsi" w:hAnsiTheme="minorHAnsi"/>
        </w:rPr>
        <w:t xml:space="preserve">, </w:t>
      </w:r>
      <w:r w:rsidR="003A364F" w:rsidRPr="00661549">
        <w:rPr>
          <w:rFonts w:asciiTheme="minorHAnsi" w:hAnsiTheme="minorHAnsi"/>
        </w:rPr>
        <w:t>pancreas</w:t>
      </w:r>
      <w:r w:rsidR="003A364F">
        <w:rPr>
          <w:rFonts w:asciiTheme="minorHAnsi" w:hAnsiTheme="minorHAnsi"/>
        </w:rPr>
        <w:t xml:space="preserve">, myeloma, female breast, prostate, and uterine cancers. </w:t>
      </w:r>
    </w:p>
    <w:p w14:paraId="24A21209" w14:textId="039707BB" w:rsidR="003A364F" w:rsidRDefault="00374DF6" w:rsidP="00B8648B">
      <w:pPr>
        <w:pStyle w:val="ListParagraph"/>
        <w:numPr>
          <w:ilvl w:val="0"/>
          <w:numId w:val="42"/>
        </w:numPr>
        <w:spacing w:after="120" w:line="240" w:lineRule="auto"/>
        <w:ind w:left="1440"/>
        <w:rPr>
          <w:rFonts w:asciiTheme="minorHAnsi" w:hAnsiTheme="minorHAnsi"/>
        </w:rPr>
      </w:pPr>
      <w:r w:rsidRPr="00374DF6">
        <w:rPr>
          <w:rFonts w:asciiTheme="minorHAnsi" w:hAnsiTheme="minorHAnsi"/>
        </w:rPr>
        <w:t>Example statement</w:t>
      </w:r>
      <w:r w:rsidR="003F4F73">
        <w:rPr>
          <w:rFonts w:asciiTheme="minorHAnsi" w:hAnsiTheme="minorHAnsi"/>
        </w:rPr>
        <w:t xml:space="preserve">: </w:t>
      </w:r>
      <w:r w:rsidR="000B3DD3">
        <w:rPr>
          <w:rFonts w:asciiTheme="minorHAnsi" w:hAnsiTheme="minorHAnsi"/>
        </w:rPr>
        <w:t xml:space="preserve"> </w:t>
      </w:r>
      <w:r w:rsidR="00DD4522">
        <w:rPr>
          <w:rFonts w:asciiTheme="minorHAnsi" w:hAnsiTheme="minorHAnsi"/>
          <w:i/>
          <w:iCs/>
        </w:rPr>
        <w:t>From</w:t>
      </w:r>
      <w:r w:rsidR="00DD4522" w:rsidRPr="00EF2CC7">
        <w:rPr>
          <w:rFonts w:asciiTheme="minorHAnsi" w:hAnsiTheme="minorHAnsi"/>
          <w:i/>
          <w:iCs/>
        </w:rPr>
        <w:t xml:space="preserve"> 2017-202</w:t>
      </w:r>
      <w:r w:rsidR="00DD4522">
        <w:rPr>
          <w:rFonts w:asciiTheme="minorHAnsi" w:hAnsiTheme="minorHAnsi"/>
          <w:i/>
          <w:iCs/>
        </w:rPr>
        <w:t>1, t</w:t>
      </w:r>
      <w:r w:rsidRPr="00374DF6">
        <w:rPr>
          <w:rFonts w:asciiTheme="minorHAnsi" w:hAnsiTheme="minorHAnsi"/>
          <w:i/>
          <w:iCs/>
        </w:rPr>
        <w:t>he age-adjusted mortality rate for</w:t>
      </w:r>
      <w:r w:rsidR="00475143">
        <w:rPr>
          <w:rFonts w:asciiTheme="minorHAnsi" w:hAnsiTheme="minorHAnsi"/>
          <w:i/>
          <w:iCs/>
        </w:rPr>
        <w:t xml:space="preserve"> prostate cancer</w:t>
      </w:r>
      <w:r w:rsidRPr="00374DF6">
        <w:rPr>
          <w:rFonts w:asciiTheme="minorHAnsi" w:hAnsiTheme="minorHAnsi"/>
          <w:i/>
          <w:iCs/>
        </w:rPr>
        <w:t xml:space="preserve"> among</w:t>
      </w:r>
      <w:r w:rsidR="00475143">
        <w:rPr>
          <w:rFonts w:asciiTheme="minorHAnsi" w:hAnsiTheme="minorHAnsi"/>
          <w:i/>
          <w:iCs/>
        </w:rPr>
        <w:t xml:space="preserve"> </w:t>
      </w:r>
      <w:r w:rsidR="00AC71E3">
        <w:rPr>
          <w:rFonts w:asciiTheme="minorHAnsi" w:hAnsiTheme="minorHAnsi"/>
          <w:i/>
          <w:iCs/>
        </w:rPr>
        <w:t>non</w:t>
      </w:r>
      <w:r w:rsidR="00475143">
        <w:rPr>
          <w:rFonts w:asciiTheme="minorHAnsi" w:hAnsiTheme="minorHAnsi"/>
          <w:i/>
          <w:iCs/>
        </w:rPr>
        <w:t>-Hispanic Black Delawareans</w:t>
      </w:r>
      <w:r w:rsidRPr="00374DF6">
        <w:rPr>
          <w:rFonts w:asciiTheme="minorHAnsi" w:hAnsiTheme="minorHAnsi"/>
          <w:i/>
          <w:iCs/>
        </w:rPr>
        <w:t xml:space="preserve"> (</w:t>
      </w:r>
      <w:r w:rsidR="00D25B24">
        <w:rPr>
          <w:rFonts w:asciiTheme="minorHAnsi" w:hAnsiTheme="minorHAnsi"/>
          <w:i/>
          <w:iCs/>
        </w:rPr>
        <w:t>33.6</w:t>
      </w:r>
      <w:r w:rsidRPr="00374DF6">
        <w:rPr>
          <w:rFonts w:asciiTheme="minorHAnsi" w:hAnsiTheme="minorHAnsi"/>
          <w:i/>
          <w:iCs/>
        </w:rPr>
        <w:t xml:space="preserve"> deaths per 100,000 population) was statistically significantly </w:t>
      </w:r>
      <w:r w:rsidR="00475143">
        <w:rPr>
          <w:rFonts w:asciiTheme="minorHAnsi" w:hAnsiTheme="minorHAnsi"/>
          <w:i/>
          <w:iCs/>
        </w:rPr>
        <w:t xml:space="preserve">higher </w:t>
      </w:r>
      <w:r w:rsidRPr="00374DF6">
        <w:rPr>
          <w:rFonts w:asciiTheme="minorHAnsi" w:hAnsiTheme="minorHAnsi"/>
          <w:i/>
          <w:iCs/>
        </w:rPr>
        <w:t>compared to</w:t>
      </w:r>
      <w:r w:rsidR="00475143">
        <w:rPr>
          <w:rFonts w:asciiTheme="minorHAnsi" w:hAnsiTheme="minorHAnsi"/>
          <w:i/>
          <w:iCs/>
        </w:rPr>
        <w:t xml:space="preserve"> </w:t>
      </w:r>
      <w:r w:rsidR="00AC71E3">
        <w:rPr>
          <w:rFonts w:asciiTheme="minorHAnsi" w:hAnsiTheme="minorHAnsi"/>
          <w:i/>
          <w:iCs/>
        </w:rPr>
        <w:t>non</w:t>
      </w:r>
      <w:r w:rsidR="00475143">
        <w:rPr>
          <w:rFonts w:asciiTheme="minorHAnsi" w:hAnsiTheme="minorHAnsi"/>
          <w:i/>
          <w:iCs/>
        </w:rPr>
        <w:t>-Hispanic White Delawareans</w:t>
      </w:r>
      <w:r w:rsidRPr="00374DF6">
        <w:rPr>
          <w:rFonts w:asciiTheme="minorHAnsi" w:hAnsiTheme="minorHAnsi"/>
          <w:i/>
          <w:iCs/>
        </w:rPr>
        <w:t xml:space="preserve"> (</w:t>
      </w:r>
      <w:r w:rsidR="00D25B24">
        <w:rPr>
          <w:rFonts w:asciiTheme="minorHAnsi" w:hAnsiTheme="minorHAnsi"/>
          <w:i/>
          <w:iCs/>
        </w:rPr>
        <w:t>17.4</w:t>
      </w:r>
      <w:r w:rsidRPr="00374DF6">
        <w:rPr>
          <w:rFonts w:asciiTheme="minorHAnsi" w:hAnsiTheme="minorHAnsi"/>
          <w:i/>
          <w:iCs/>
        </w:rPr>
        <w:t xml:space="preserve"> deaths per 100,000 population).</w:t>
      </w:r>
      <w:r w:rsidRPr="00374DF6">
        <w:rPr>
          <w:rFonts w:asciiTheme="minorHAnsi" w:hAnsiTheme="minorHAnsi"/>
        </w:rPr>
        <w:t xml:space="preserve">  </w:t>
      </w:r>
    </w:p>
    <w:p w14:paraId="33097C2D" w14:textId="77777777" w:rsidR="00B8648B" w:rsidRPr="006D51FB" w:rsidRDefault="00B8648B" w:rsidP="000A57A3">
      <w:pPr>
        <w:pStyle w:val="ListParagraph"/>
        <w:spacing w:after="120" w:line="240" w:lineRule="auto"/>
        <w:ind w:left="1440"/>
        <w:rPr>
          <w:rFonts w:asciiTheme="minorHAnsi" w:hAnsiTheme="minorHAnsi"/>
          <w:sz w:val="16"/>
          <w:szCs w:val="16"/>
        </w:rPr>
      </w:pPr>
    </w:p>
    <w:p w14:paraId="0340B11E" w14:textId="596842EE" w:rsidR="009008D2" w:rsidRPr="006D51FB" w:rsidRDefault="00AC71E3" w:rsidP="009008D2">
      <w:pPr>
        <w:pStyle w:val="ListParagraph"/>
        <w:numPr>
          <w:ilvl w:val="0"/>
          <w:numId w:val="42"/>
        </w:numPr>
        <w:spacing w:after="120" w:line="240" w:lineRule="auto"/>
        <w:contextualSpacing w:val="0"/>
        <w:rPr>
          <w:rFonts w:asciiTheme="minorHAnsi" w:hAnsiTheme="minorHAnsi"/>
          <w:spacing w:val="-4"/>
        </w:rPr>
      </w:pPr>
      <w:r>
        <w:rPr>
          <w:rFonts w:asciiTheme="minorHAnsi" w:hAnsiTheme="minorHAnsi"/>
          <w:spacing w:val="-4"/>
        </w:rPr>
        <w:t>Non</w:t>
      </w:r>
      <w:r w:rsidR="009008D2" w:rsidRPr="006D51FB">
        <w:rPr>
          <w:rFonts w:asciiTheme="minorHAnsi" w:hAnsiTheme="minorHAnsi"/>
          <w:spacing w:val="-4"/>
        </w:rPr>
        <w:t xml:space="preserve">-Hispanic Black Delawareans had a statistically significantly </w:t>
      </w:r>
      <w:r w:rsidR="00A43966" w:rsidRPr="006D51FB">
        <w:rPr>
          <w:rFonts w:asciiTheme="minorHAnsi" w:hAnsiTheme="minorHAnsi"/>
          <w:spacing w:val="-4"/>
          <w:u w:val="single"/>
        </w:rPr>
        <w:t>lower</w:t>
      </w:r>
      <w:r w:rsidR="00A43966" w:rsidRPr="006D51FB">
        <w:rPr>
          <w:rFonts w:asciiTheme="minorHAnsi" w:hAnsiTheme="minorHAnsi"/>
          <w:spacing w:val="-4"/>
        </w:rPr>
        <w:t xml:space="preserve"> </w:t>
      </w:r>
      <w:r w:rsidR="009008D2" w:rsidRPr="006D51FB">
        <w:rPr>
          <w:rFonts w:asciiTheme="minorHAnsi" w:hAnsiTheme="minorHAnsi"/>
          <w:spacing w:val="-4"/>
        </w:rPr>
        <w:t xml:space="preserve">age-adjusted mortality rate compared to </w:t>
      </w:r>
      <w:r>
        <w:rPr>
          <w:rFonts w:asciiTheme="minorHAnsi" w:hAnsiTheme="minorHAnsi"/>
          <w:spacing w:val="-4"/>
        </w:rPr>
        <w:t>non</w:t>
      </w:r>
      <w:r w:rsidR="009008D2" w:rsidRPr="006D51FB">
        <w:rPr>
          <w:rFonts w:asciiTheme="minorHAnsi" w:hAnsiTheme="minorHAnsi"/>
          <w:spacing w:val="-4"/>
        </w:rPr>
        <w:t>-Hispanic White Delawareans for</w:t>
      </w:r>
      <w:r w:rsidR="00A43966" w:rsidRPr="006D51FB">
        <w:rPr>
          <w:rFonts w:asciiTheme="minorHAnsi" w:hAnsiTheme="minorHAnsi"/>
          <w:spacing w:val="-4"/>
        </w:rPr>
        <w:t xml:space="preserve"> brain and other nervous system and esophagus cancers. </w:t>
      </w:r>
    </w:p>
    <w:p w14:paraId="2CD0CA3E" w14:textId="5F77961B" w:rsidR="00525F52" w:rsidRPr="000509A6" w:rsidRDefault="00525F52" w:rsidP="000509A6">
      <w:pPr>
        <w:pStyle w:val="ListParagraph"/>
        <w:numPr>
          <w:ilvl w:val="0"/>
          <w:numId w:val="42"/>
        </w:numPr>
        <w:spacing w:after="120" w:line="240" w:lineRule="auto"/>
        <w:ind w:left="1440"/>
        <w:rPr>
          <w:rFonts w:asciiTheme="minorHAnsi" w:hAnsiTheme="minorHAnsi"/>
          <w:i/>
          <w:iCs/>
        </w:rPr>
      </w:pPr>
      <w:r w:rsidRPr="000509A6">
        <w:rPr>
          <w:rFonts w:asciiTheme="minorHAnsi" w:hAnsiTheme="minorHAnsi"/>
          <w:i/>
          <w:iCs/>
        </w:rPr>
        <w:t>Example statement</w:t>
      </w:r>
      <w:r w:rsidR="003F4F73">
        <w:rPr>
          <w:rFonts w:asciiTheme="minorHAnsi" w:hAnsiTheme="minorHAnsi"/>
          <w:i/>
          <w:iCs/>
        </w:rPr>
        <w:t>:</w:t>
      </w:r>
      <w:r w:rsidR="00DD4522">
        <w:rPr>
          <w:rFonts w:asciiTheme="minorHAnsi" w:hAnsiTheme="minorHAnsi"/>
          <w:i/>
          <w:iCs/>
        </w:rPr>
        <w:t xml:space="preserve"> </w:t>
      </w:r>
      <w:r w:rsidR="000B3DD3">
        <w:rPr>
          <w:rFonts w:asciiTheme="minorHAnsi" w:hAnsiTheme="minorHAnsi"/>
          <w:i/>
          <w:iCs/>
        </w:rPr>
        <w:t xml:space="preserve"> </w:t>
      </w:r>
      <w:r w:rsidR="00DD4522">
        <w:rPr>
          <w:rFonts w:asciiTheme="minorHAnsi" w:hAnsiTheme="minorHAnsi"/>
          <w:i/>
          <w:iCs/>
        </w:rPr>
        <w:t>From</w:t>
      </w:r>
      <w:r w:rsidR="00DD4522" w:rsidRPr="00EF2CC7">
        <w:rPr>
          <w:rFonts w:asciiTheme="minorHAnsi" w:hAnsiTheme="minorHAnsi"/>
          <w:i/>
          <w:iCs/>
        </w:rPr>
        <w:t xml:space="preserve"> 2017-202</w:t>
      </w:r>
      <w:r w:rsidR="00DD4522">
        <w:rPr>
          <w:rFonts w:asciiTheme="minorHAnsi" w:hAnsiTheme="minorHAnsi"/>
          <w:i/>
          <w:iCs/>
        </w:rPr>
        <w:t>1, t</w:t>
      </w:r>
      <w:r w:rsidRPr="000509A6">
        <w:rPr>
          <w:rFonts w:asciiTheme="minorHAnsi" w:hAnsiTheme="minorHAnsi"/>
          <w:i/>
          <w:iCs/>
        </w:rPr>
        <w:t>he age-adjusted</w:t>
      </w:r>
      <w:r w:rsidR="00743A36">
        <w:rPr>
          <w:rFonts w:asciiTheme="minorHAnsi" w:hAnsiTheme="minorHAnsi"/>
          <w:i/>
          <w:iCs/>
        </w:rPr>
        <w:t xml:space="preserve"> mortality rate for brain and other nervous system</w:t>
      </w:r>
      <w:r w:rsidRPr="000509A6">
        <w:rPr>
          <w:rFonts w:asciiTheme="minorHAnsi" w:hAnsiTheme="minorHAnsi"/>
          <w:i/>
          <w:iCs/>
        </w:rPr>
        <w:t xml:space="preserve"> cancer</w:t>
      </w:r>
      <w:r w:rsidR="00743A36">
        <w:rPr>
          <w:rFonts w:asciiTheme="minorHAnsi" w:hAnsiTheme="minorHAnsi"/>
          <w:i/>
          <w:iCs/>
        </w:rPr>
        <w:t>s</w:t>
      </w:r>
      <w:r w:rsidRPr="000509A6">
        <w:rPr>
          <w:rFonts w:asciiTheme="minorHAnsi" w:hAnsiTheme="minorHAnsi"/>
          <w:i/>
          <w:iCs/>
        </w:rPr>
        <w:t xml:space="preserve"> among</w:t>
      </w:r>
      <w:r w:rsidR="00743A36">
        <w:rPr>
          <w:rFonts w:asciiTheme="minorHAnsi" w:hAnsiTheme="minorHAnsi"/>
          <w:i/>
          <w:iCs/>
        </w:rPr>
        <w:t xml:space="preserve"> </w:t>
      </w:r>
      <w:r w:rsidR="00AC71E3">
        <w:rPr>
          <w:rFonts w:asciiTheme="minorHAnsi" w:hAnsiTheme="minorHAnsi"/>
          <w:i/>
          <w:iCs/>
        </w:rPr>
        <w:t>non</w:t>
      </w:r>
      <w:r w:rsidR="00743A36">
        <w:rPr>
          <w:rFonts w:asciiTheme="minorHAnsi" w:hAnsiTheme="minorHAnsi"/>
          <w:i/>
          <w:iCs/>
        </w:rPr>
        <w:t>-Hispanic Black Delawareans</w:t>
      </w:r>
      <w:r w:rsidRPr="000509A6">
        <w:rPr>
          <w:rFonts w:asciiTheme="minorHAnsi" w:hAnsiTheme="minorHAnsi"/>
          <w:i/>
          <w:iCs/>
        </w:rPr>
        <w:t xml:space="preserve"> (</w:t>
      </w:r>
      <w:r w:rsidR="006A23FF">
        <w:rPr>
          <w:rFonts w:asciiTheme="minorHAnsi" w:hAnsiTheme="minorHAnsi"/>
          <w:i/>
          <w:iCs/>
        </w:rPr>
        <w:t>2.4</w:t>
      </w:r>
      <w:r w:rsidRPr="000509A6">
        <w:rPr>
          <w:rFonts w:asciiTheme="minorHAnsi" w:hAnsiTheme="minorHAnsi"/>
          <w:i/>
          <w:iCs/>
        </w:rPr>
        <w:t xml:space="preserve"> deaths per 100,000 population) was statistically significantly lower compared to</w:t>
      </w:r>
      <w:r w:rsidR="00743A36">
        <w:rPr>
          <w:rFonts w:asciiTheme="minorHAnsi" w:hAnsiTheme="minorHAnsi"/>
          <w:i/>
          <w:iCs/>
        </w:rPr>
        <w:t xml:space="preserve"> </w:t>
      </w:r>
      <w:r w:rsidR="00AC71E3">
        <w:rPr>
          <w:rFonts w:asciiTheme="minorHAnsi" w:hAnsiTheme="minorHAnsi"/>
          <w:i/>
          <w:iCs/>
        </w:rPr>
        <w:t>non</w:t>
      </w:r>
      <w:r w:rsidR="00743A36">
        <w:rPr>
          <w:rFonts w:asciiTheme="minorHAnsi" w:hAnsiTheme="minorHAnsi"/>
          <w:i/>
          <w:iCs/>
        </w:rPr>
        <w:t>-Hispanic White Delawareans</w:t>
      </w:r>
      <w:r w:rsidRPr="000509A6">
        <w:rPr>
          <w:rFonts w:asciiTheme="minorHAnsi" w:hAnsiTheme="minorHAnsi"/>
          <w:i/>
          <w:iCs/>
        </w:rPr>
        <w:t xml:space="preserve"> (4</w:t>
      </w:r>
      <w:r w:rsidR="006A23FF">
        <w:rPr>
          <w:rFonts w:asciiTheme="minorHAnsi" w:hAnsiTheme="minorHAnsi"/>
          <w:i/>
          <w:iCs/>
        </w:rPr>
        <w:t>.5</w:t>
      </w:r>
      <w:r w:rsidRPr="000509A6">
        <w:rPr>
          <w:rFonts w:asciiTheme="minorHAnsi" w:hAnsiTheme="minorHAnsi"/>
          <w:i/>
          <w:iCs/>
        </w:rPr>
        <w:t xml:space="preserve"> deaths per 100,000 population).  </w:t>
      </w:r>
    </w:p>
    <w:p w14:paraId="5F17E10B" w14:textId="77777777" w:rsidR="00525F52" w:rsidRPr="006D51FB" w:rsidRDefault="00525F52" w:rsidP="006D51FB">
      <w:pPr>
        <w:pStyle w:val="ListParagraph"/>
        <w:spacing w:after="0" w:line="240" w:lineRule="auto"/>
        <w:rPr>
          <w:rFonts w:asciiTheme="minorHAnsi" w:hAnsiTheme="minorHAnsi"/>
          <w:sz w:val="16"/>
          <w:szCs w:val="16"/>
        </w:rPr>
      </w:pPr>
    </w:p>
    <w:p w14:paraId="33FED603" w14:textId="7ECC7383" w:rsidR="003D0BC6" w:rsidRPr="003D0BC6" w:rsidRDefault="00525F52" w:rsidP="003D0BC6">
      <w:pPr>
        <w:pStyle w:val="ListParagraph"/>
        <w:numPr>
          <w:ilvl w:val="0"/>
          <w:numId w:val="42"/>
        </w:numPr>
        <w:spacing w:after="120" w:line="240" w:lineRule="auto"/>
        <w:contextualSpacing w:val="0"/>
        <w:rPr>
          <w:rFonts w:asciiTheme="minorHAnsi" w:hAnsiTheme="minorHAnsi"/>
        </w:rPr>
      </w:pPr>
      <w:r>
        <w:rPr>
          <w:rFonts w:asciiTheme="minorHAnsi" w:hAnsiTheme="minorHAnsi"/>
        </w:rPr>
        <w:t xml:space="preserve">Non-Hispanic Black Delawareans had </w:t>
      </w:r>
      <w:r w:rsidR="00A357DD">
        <w:rPr>
          <w:rFonts w:asciiTheme="minorHAnsi" w:hAnsiTheme="minorHAnsi"/>
        </w:rPr>
        <w:t>s</w:t>
      </w:r>
      <w:r>
        <w:rPr>
          <w:rFonts w:asciiTheme="minorHAnsi" w:hAnsiTheme="minorHAnsi"/>
        </w:rPr>
        <w:t>tatistically</w:t>
      </w:r>
      <w:r w:rsidR="00A357DD">
        <w:rPr>
          <w:rFonts w:asciiTheme="minorHAnsi" w:hAnsiTheme="minorHAnsi"/>
        </w:rPr>
        <w:t xml:space="preserve"> </w:t>
      </w:r>
      <w:r w:rsidR="00A357DD" w:rsidRPr="00A357DD">
        <w:rPr>
          <w:rFonts w:asciiTheme="minorHAnsi" w:hAnsiTheme="minorHAnsi"/>
          <w:u w:val="single"/>
        </w:rPr>
        <w:t>no difference</w:t>
      </w:r>
      <w:r w:rsidR="00A357DD">
        <w:rPr>
          <w:rFonts w:asciiTheme="minorHAnsi" w:hAnsiTheme="minorHAnsi"/>
        </w:rPr>
        <w:t xml:space="preserve"> in </w:t>
      </w:r>
      <w:r w:rsidR="00A357DD" w:rsidRPr="00A357DD">
        <w:rPr>
          <w:rFonts w:asciiTheme="minorHAnsi" w:hAnsiTheme="minorHAnsi"/>
        </w:rPr>
        <w:t>age</w:t>
      </w:r>
      <w:r w:rsidRPr="00A357DD">
        <w:rPr>
          <w:rFonts w:asciiTheme="minorHAnsi" w:hAnsiTheme="minorHAnsi"/>
        </w:rPr>
        <w:t>-adjuste</w:t>
      </w:r>
      <w:r>
        <w:rPr>
          <w:rFonts w:asciiTheme="minorHAnsi" w:hAnsiTheme="minorHAnsi"/>
        </w:rPr>
        <w:t>d mortality rate</w:t>
      </w:r>
      <w:r w:rsidR="00651DEF">
        <w:rPr>
          <w:rFonts w:asciiTheme="minorHAnsi" w:hAnsiTheme="minorHAnsi"/>
        </w:rPr>
        <w:t>s</w:t>
      </w:r>
      <w:r>
        <w:rPr>
          <w:rFonts w:asciiTheme="minorHAnsi" w:hAnsiTheme="minorHAnsi"/>
        </w:rPr>
        <w:t xml:space="preserve"> compared to </w:t>
      </w:r>
      <w:r w:rsidR="00AC71E3">
        <w:rPr>
          <w:rFonts w:asciiTheme="minorHAnsi" w:hAnsiTheme="minorHAnsi"/>
        </w:rPr>
        <w:t>non</w:t>
      </w:r>
      <w:r>
        <w:rPr>
          <w:rFonts w:asciiTheme="minorHAnsi" w:hAnsiTheme="minorHAnsi"/>
        </w:rPr>
        <w:t>-Hispanic White Delawareans for</w:t>
      </w:r>
      <w:r w:rsidR="00055A2A">
        <w:rPr>
          <w:rFonts w:asciiTheme="minorHAnsi" w:hAnsiTheme="minorHAnsi"/>
        </w:rPr>
        <w:t xml:space="preserve"> oral cavity and pharynx, colon and rectum (colorectal), lung and bronchus, urinary bladder, kidney and renal pelvis, </w:t>
      </w:r>
      <w:r w:rsidR="00D73113">
        <w:rPr>
          <w:rFonts w:asciiTheme="minorHAnsi" w:hAnsiTheme="minorHAnsi"/>
        </w:rPr>
        <w:t>non-Hodgkin lymphoma, leukemia, cervical</w:t>
      </w:r>
      <w:r w:rsidR="003F4F73">
        <w:rPr>
          <w:rFonts w:asciiTheme="minorHAnsi" w:hAnsiTheme="minorHAnsi"/>
        </w:rPr>
        <w:t>,</w:t>
      </w:r>
      <w:r w:rsidR="00D73113">
        <w:rPr>
          <w:rFonts w:asciiTheme="minorHAnsi" w:hAnsiTheme="minorHAnsi"/>
        </w:rPr>
        <w:t xml:space="preserve"> and ovarian cancers.  </w:t>
      </w:r>
    </w:p>
    <w:p w14:paraId="270C3041" w14:textId="0B8FAED9" w:rsidR="00A755FC" w:rsidRPr="006D51FB" w:rsidRDefault="00A755FC" w:rsidP="00A755FC">
      <w:pPr>
        <w:pStyle w:val="ListParagraph"/>
        <w:numPr>
          <w:ilvl w:val="0"/>
          <w:numId w:val="42"/>
        </w:numPr>
        <w:spacing w:after="120" w:line="240" w:lineRule="auto"/>
        <w:ind w:left="1440"/>
        <w:rPr>
          <w:rFonts w:asciiTheme="minorHAnsi" w:hAnsiTheme="minorHAnsi"/>
          <w:i/>
          <w:iCs/>
          <w:spacing w:val="-4"/>
        </w:rPr>
      </w:pPr>
      <w:r w:rsidRPr="006D51FB">
        <w:rPr>
          <w:rFonts w:asciiTheme="minorHAnsi" w:hAnsiTheme="minorHAnsi"/>
          <w:i/>
          <w:iCs/>
          <w:spacing w:val="-4"/>
        </w:rPr>
        <w:t>Example statement</w:t>
      </w:r>
      <w:r w:rsidR="0043724F" w:rsidRPr="006D51FB">
        <w:rPr>
          <w:rFonts w:asciiTheme="minorHAnsi" w:hAnsiTheme="minorHAnsi"/>
          <w:i/>
          <w:iCs/>
          <w:spacing w:val="-4"/>
        </w:rPr>
        <w:t xml:space="preserve">: </w:t>
      </w:r>
      <w:r w:rsidR="000B3DD3">
        <w:rPr>
          <w:rFonts w:asciiTheme="minorHAnsi" w:hAnsiTheme="minorHAnsi"/>
          <w:i/>
          <w:iCs/>
          <w:spacing w:val="-4"/>
        </w:rPr>
        <w:t xml:space="preserve"> </w:t>
      </w:r>
      <w:r w:rsidR="00DD4522">
        <w:rPr>
          <w:rFonts w:asciiTheme="minorHAnsi" w:hAnsiTheme="minorHAnsi"/>
          <w:i/>
          <w:iCs/>
        </w:rPr>
        <w:t>From</w:t>
      </w:r>
      <w:r w:rsidR="00DD4522" w:rsidRPr="00EF2CC7">
        <w:rPr>
          <w:rFonts w:asciiTheme="minorHAnsi" w:hAnsiTheme="minorHAnsi"/>
          <w:i/>
          <w:iCs/>
        </w:rPr>
        <w:t xml:space="preserve"> 2017-202</w:t>
      </w:r>
      <w:r w:rsidR="00DD4522">
        <w:rPr>
          <w:rFonts w:asciiTheme="minorHAnsi" w:hAnsiTheme="minorHAnsi"/>
          <w:i/>
          <w:iCs/>
        </w:rPr>
        <w:t xml:space="preserve">1, </w:t>
      </w:r>
      <w:r w:rsidR="00DD4522">
        <w:rPr>
          <w:rFonts w:asciiTheme="minorHAnsi" w:hAnsiTheme="minorHAnsi"/>
          <w:i/>
          <w:iCs/>
          <w:spacing w:val="-4"/>
        </w:rPr>
        <w:t>t</w:t>
      </w:r>
      <w:r w:rsidRPr="006D51FB">
        <w:rPr>
          <w:rFonts w:asciiTheme="minorHAnsi" w:hAnsiTheme="minorHAnsi"/>
          <w:i/>
          <w:iCs/>
          <w:spacing w:val="-4"/>
        </w:rPr>
        <w:t>here was no statistical difference in the age-adjusted</w:t>
      </w:r>
      <w:r w:rsidR="00CD38A5" w:rsidRPr="006D51FB">
        <w:rPr>
          <w:rFonts w:asciiTheme="minorHAnsi" w:hAnsiTheme="minorHAnsi"/>
          <w:i/>
          <w:iCs/>
          <w:spacing w:val="-4"/>
        </w:rPr>
        <w:t xml:space="preserve"> mortality </w:t>
      </w:r>
      <w:r w:rsidRPr="006D51FB">
        <w:rPr>
          <w:rFonts w:asciiTheme="minorHAnsi" w:hAnsiTheme="minorHAnsi"/>
          <w:i/>
          <w:iCs/>
          <w:spacing w:val="-4"/>
        </w:rPr>
        <w:t xml:space="preserve">rates for </w:t>
      </w:r>
      <w:r w:rsidR="00CD38A5" w:rsidRPr="006D51FB">
        <w:rPr>
          <w:rFonts w:asciiTheme="minorHAnsi" w:hAnsiTheme="minorHAnsi"/>
          <w:i/>
          <w:iCs/>
          <w:spacing w:val="-4"/>
        </w:rPr>
        <w:t>colon and rectum (colorectal) cancer</w:t>
      </w:r>
      <w:r w:rsidRPr="006D51FB">
        <w:rPr>
          <w:rFonts w:asciiTheme="minorHAnsi" w:hAnsiTheme="minorHAnsi"/>
          <w:i/>
          <w:iCs/>
          <w:spacing w:val="-4"/>
        </w:rPr>
        <w:t xml:space="preserve"> among </w:t>
      </w:r>
      <w:r w:rsidR="00AC71E3">
        <w:rPr>
          <w:rFonts w:asciiTheme="minorHAnsi" w:hAnsiTheme="minorHAnsi"/>
          <w:i/>
          <w:iCs/>
          <w:spacing w:val="-4"/>
        </w:rPr>
        <w:t>non</w:t>
      </w:r>
      <w:r w:rsidR="00C44977" w:rsidRPr="006D51FB">
        <w:rPr>
          <w:rFonts w:asciiTheme="minorHAnsi" w:hAnsiTheme="minorHAnsi"/>
          <w:i/>
          <w:iCs/>
          <w:spacing w:val="-4"/>
        </w:rPr>
        <w:t xml:space="preserve">-Hispanic Black Delawareans </w:t>
      </w:r>
      <w:r w:rsidRPr="006D51FB">
        <w:rPr>
          <w:rFonts w:asciiTheme="minorHAnsi" w:hAnsiTheme="minorHAnsi"/>
          <w:i/>
          <w:iCs/>
          <w:spacing w:val="-4"/>
        </w:rPr>
        <w:t>(</w:t>
      </w:r>
      <w:r w:rsidR="00C44977" w:rsidRPr="006D51FB">
        <w:rPr>
          <w:rFonts w:asciiTheme="minorHAnsi" w:hAnsiTheme="minorHAnsi"/>
          <w:i/>
          <w:iCs/>
          <w:spacing w:val="-4"/>
        </w:rPr>
        <w:t>13.9 deaths per</w:t>
      </w:r>
      <w:r w:rsidRPr="006D51FB">
        <w:rPr>
          <w:rFonts w:asciiTheme="minorHAnsi" w:hAnsiTheme="minorHAnsi"/>
          <w:i/>
          <w:iCs/>
          <w:spacing w:val="-4"/>
        </w:rPr>
        <w:t xml:space="preserve"> 100,000 population) and </w:t>
      </w:r>
      <w:r w:rsidR="00AC71E3">
        <w:rPr>
          <w:rFonts w:asciiTheme="minorHAnsi" w:hAnsiTheme="minorHAnsi"/>
          <w:i/>
          <w:iCs/>
          <w:spacing w:val="-4"/>
        </w:rPr>
        <w:t>non</w:t>
      </w:r>
      <w:r w:rsidR="00832665" w:rsidRPr="006D51FB">
        <w:rPr>
          <w:rFonts w:asciiTheme="minorHAnsi" w:hAnsiTheme="minorHAnsi"/>
          <w:i/>
          <w:iCs/>
          <w:spacing w:val="-4"/>
        </w:rPr>
        <w:t xml:space="preserve">-Hispanic White Delawareans </w:t>
      </w:r>
      <w:r w:rsidRPr="006D51FB">
        <w:rPr>
          <w:rFonts w:asciiTheme="minorHAnsi" w:hAnsiTheme="minorHAnsi"/>
          <w:i/>
          <w:iCs/>
          <w:spacing w:val="-4"/>
        </w:rPr>
        <w:t>(</w:t>
      </w:r>
      <w:r w:rsidR="00832665" w:rsidRPr="006D51FB">
        <w:rPr>
          <w:rFonts w:asciiTheme="minorHAnsi" w:hAnsiTheme="minorHAnsi"/>
          <w:i/>
          <w:iCs/>
          <w:spacing w:val="-4"/>
        </w:rPr>
        <w:t>1</w:t>
      </w:r>
      <w:r w:rsidRPr="006D51FB">
        <w:rPr>
          <w:rFonts w:asciiTheme="minorHAnsi" w:hAnsiTheme="minorHAnsi"/>
          <w:i/>
          <w:iCs/>
          <w:spacing w:val="-4"/>
        </w:rPr>
        <w:t xml:space="preserve">2.6 </w:t>
      </w:r>
      <w:r w:rsidR="00903716" w:rsidRPr="006D51FB">
        <w:rPr>
          <w:rFonts w:asciiTheme="minorHAnsi" w:hAnsiTheme="minorHAnsi"/>
          <w:i/>
          <w:iCs/>
          <w:spacing w:val="-4"/>
        </w:rPr>
        <w:t>deaths</w:t>
      </w:r>
      <w:r w:rsidRPr="006D51FB">
        <w:rPr>
          <w:rFonts w:asciiTheme="minorHAnsi" w:hAnsiTheme="minorHAnsi"/>
          <w:i/>
          <w:iCs/>
          <w:spacing w:val="-4"/>
        </w:rPr>
        <w:t xml:space="preserve"> per 100,000 population)</w:t>
      </w:r>
      <w:r w:rsidR="0043724F" w:rsidRPr="006D51FB">
        <w:rPr>
          <w:rFonts w:asciiTheme="minorHAnsi" w:hAnsiTheme="minorHAnsi"/>
          <w:i/>
          <w:iCs/>
          <w:spacing w:val="-4"/>
        </w:rPr>
        <w:t>.</w:t>
      </w:r>
      <w:r w:rsidRPr="006D51FB">
        <w:rPr>
          <w:rFonts w:asciiTheme="minorHAnsi" w:hAnsiTheme="minorHAnsi"/>
          <w:i/>
          <w:iCs/>
          <w:spacing w:val="-4"/>
        </w:rPr>
        <w:t xml:space="preserve"> </w:t>
      </w:r>
    </w:p>
    <w:p w14:paraId="60BCCE72" w14:textId="77777777" w:rsidR="00E008B7" w:rsidRPr="006D51FB" w:rsidRDefault="00E008B7" w:rsidP="00E008B7">
      <w:pPr>
        <w:pStyle w:val="ListParagraph"/>
        <w:spacing w:after="120" w:line="240" w:lineRule="auto"/>
        <w:ind w:left="1440"/>
        <w:rPr>
          <w:rFonts w:asciiTheme="minorHAnsi" w:hAnsiTheme="minorHAnsi"/>
          <w:sz w:val="16"/>
          <w:szCs w:val="16"/>
        </w:rPr>
      </w:pPr>
    </w:p>
    <w:p w14:paraId="02EE049C" w14:textId="2B159F52" w:rsidR="00E008B7" w:rsidRPr="00962386" w:rsidRDefault="00E008B7" w:rsidP="00E008B7">
      <w:pPr>
        <w:pStyle w:val="ListParagraph"/>
        <w:numPr>
          <w:ilvl w:val="0"/>
          <w:numId w:val="42"/>
        </w:numPr>
        <w:spacing w:after="120" w:line="240" w:lineRule="auto"/>
        <w:rPr>
          <w:rFonts w:asciiTheme="minorHAnsi" w:hAnsiTheme="minorHAnsi"/>
        </w:rPr>
      </w:pPr>
      <w:r w:rsidRPr="00962386">
        <w:rPr>
          <w:rFonts w:asciiTheme="minorHAnsi" w:hAnsiTheme="minorHAnsi"/>
        </w:rPr>
        <w:t>Due to</w:t>
      </w:r>
      <w:r>
        <w:rPr>
          <w:rFonts w:asciiTheme="minorHAnsi" w:hAnsiTheme="minorHAnsi"/>
        </w:rPr>
        <w:t xml:space="preserve"> fewer than 16 deaths, significance testing could</w:t>
      </w:r>
      <w:r w:rsidR="0043724F">
        <w:rPr>
          <w:rFonts w:asciiTheme="minorHAnsi" w:hAnsiTheme="minorHAnsi"/>
        </w:rPr>
        <w:t xml:space="preserve"> </w:t>
      </w:r>
      <w:r>
        <w:rPr>
          <w:rFonts w:asciiTheme="minorHAnsi" w:hAnsiTheme="minorHAnsi"/>
        </w:rPr>
        <w:t>n</w:t>
      </w:r>
      <w:r w:rsidR="0043724F">
        <w:rPr>
          <w:rFonts w:asciiTheme="minorHAnsi" w:hAnsiTheme="minorHAnsi"/>
        </w:rPr>
        <w:t>o</w:t>
      </w:r>
      <w:r>
        <w:rPr>
          <w:rFonts w:asciiTheme="minorHAnsi" w:hAnsiTheme="minorHAnsi"/>
        </w:rPr>
        <w:t>t be completed for</w:t>
      </w:r>
      <w:r w:rsidR="004918D4">
        <w:rPr>
          <w:rFonts w:asciiTheme="minorHAnsi" w:hAnsiTheme="minorHAnsi"/>
        </w:rPr>
        <w:t xml:space="preserve"> melanoma, thyroid, Hodgkin lymphoma, and testicular cancers. </w:t>
      </w:r>
    </w:p>
    <w:p w14:paraId="6A3DFC50" w14:textId="77777777" w:rsidR="005441D7" w:rsidRPr="00D23D15" w:rsidRDefault="005441D7" w:rsidP="006D51FB">
      <w:pPr>
        <w:spacing w:after="0" w:line="240" w:lineRule="auto"/>
        <w:rPr>
          <w:rFonts w:asciiTheme="minorHAnsi" w:hAnsiTheme="minorHAnsi"/>
          <w:highlight w:val="green"/>
        </w:rPr>
      </w:pPr>
    </w:p>
    <w:p w14:paraId="133B1C9E" w14:textId="778DC92E" w:rsidR="00B666C4" w:rsidRPr="004913A2" w:rsidRDefault="00B666C4" w:rsidP="00B666C4">
      <w:pPr>
        <w:pStyle w:val="ListParagraph"/>
        <w:numPr>
          <w:ilvl w:val="0"/>
          <w:numId w:val="21"/>
        </w:numPr>
        <w:tabs>
          <w:tab w:val="left" w:pos="720"/>
        </w:tabs>
        <w:spacing w:after="120" w:line="240" w:lineRule="auto"/>
        <w:ind w:left="360"/>
        <w:contextualSpacing w:val="0"/>
        <w:rPr>
          <w:rFonts w:asciiTheme="minorHAnsi" w:hAnsiTheme="minorHAnsi" w:cstheme="minorHAnsi"/>
        </w:rPr>
      </w:pPr>
      <w:r>
        <w:rPr>
          <w:rFonts w:asciiTheme="minorHAnsi" w:hAnsiTheme="minorHAnsi" w:cstheme="minorHAnsi"/>
        </w:rPr>
        <w:t>Comparing</w:t>
      </w:r>
      <w:r w:rsidR="00093BCB">
        <w:rPr>
          <w:rFonts w:asciiTheme="minorHAnsi" w:hAnsiTheme="minorHAnsi" w:cstheme="minorHAnsi"/>
        </w:rPr>
        <w:t xml:space="preserve"> Hispanic </w:t>
      </w:r>
      <w:r>
        <w:rPr>
          <w:rFonts w:asciiTheme="minorHAnsi" w:hAnsiTheme="minorHAnsi" w:cstheme="minorHAnsi"/>
        </w:rPr>
        <w:t xml:space="preserve">Delawareans to </w:t>
      </w:r>
      <w:r w:rsidR="00AC71E3">
        <w:rPr>
          <w:rFonts w:asciiTheme="minorHAnsi" w:hAnsiTheme="minorHAnsi" w:cstheme="minorHAnsi"/>
        </w:rPr>
        <w:t>non</w:t>
      </w:r>
      <w:r>
        <w:rPr>
          <w:rFonts w:asciiTheme="minorHAnsi" w:hAnsiTheme="minorHAnsi" w:cstheme="minorHAnsi"/>
        </w:rPr>
        <w:t xml:space="preserve">-Hispanic White Delawareans </w:t>
      </w:r>
      <w:r w:rsidRPr="004913A2">
        <w:rPr>
          <w:rFonts w:asciiTheme="minorHAnsi" w:hAnsiTheme="minorHAnsi" w:cstheme="minorHAnsi"/>
        </w:rPr>
        <w:t>from 201</w:t>
      </w:r>
      <w:r>
        <w:rPr>
          <w:rFonts w:asciiTheme="minorHAnsi" w:hAnsiTheme="minorHAnsi" w:cstheme="minorHAnsi"/>
        </w:rPr>
        <w:t>7</w:t>
      </w:r>
      <w:r w:rsidRPr="004913A2">
        <w:rPr>
          <w:rFonts w:asciiTheme="minorHAnsi" w:hAnsiTheme="minorHAnsi" w:cstheme="minorHAnsi"/>
        </w:rPr>
        <w:t>-20</w:t>
      </w:r>
      <w:r>
        <w:rPr>
          <w:rFonts w:asciiTheme="minorHAnsi" w:hAnsiTheme="minorHAnsi" w:cstheme="minorHAnsi"/>
        </w:rPr>
        <w:t>21</w:t>
      </w:r>
      <w:r w:rsidRPr="004913A2">
        <w:rPr>
          <w:rFonts w:asciiTheme="minorHAnsi" w:hAnsiTheme="minorHAnsi" w:cstheme="minorHAnsi"/>
        </w:rPr>
        <w:t>:</w:t>
      </w:r>
    </w:p>
    <w:p w14:paraId="7EE0F3C1" w14:textId="156BD2FD" w:rsidR="00B666C4" w:rsidRDefault="00F52BD1" w:rsidP="006D51FB">
      <w:pPr>
        <w:pStyle w:val="ListParagraph"/>
        <w:numPr>
          <w:ilvl w:val="0"/>
          <w:numId w:val="44"/>
        </w:numPr>
        <w:spacing w:after="120" w:line="240" w:lineRule="auto"/>
        <w:ind w:left="720"/>
        <w:rPr>
          <w:rFonts w:asciiTheme="minorHAnsi" w:hAnsiTheme="minorHAnsi"/>
        </w:rPr>
      </w:pPr>
      <w:r w:rsidRPr="00F52BD1">
        <w:rPr>
          <w:rFonts w:asciiTheme="minorHAnsi" w:hAnsiTheme="minorHAnsi"/>
        </w:rPr>
        <w:t>The age-adjusted mortality rate for</w:t>
      </w:r>
      <w:r w:rsidR="004D2C3D">
        <w:rPr>
          <w:rFonts w:asciiTheme="minorHAnsi" w:hAnsiTheme="minorHAnsi"/>
        </w:rPr>
        <w:t xml:space="preserve"> stomach</w:t>
      </w:r>
      <w:r w:rsidRPr="00F52BD1">
        <w:rPr>
          <w:rFonts w:asciiTheme="minorHAnsi" w:hAnsiTheme="minorHAnsi"/>
        </w:rPr>
        <w:t xml:space="preserve"> cancer among</w:t>
      </w:r>
      <w:r w:rsidR="004D2C3D">
        <w:rPr>
          <w:rFonts w:asciiTheme="minorHAnsi" w:hAnsiTheme="minorHAnsi"/>
        </w:rPr>
        <w:t xml:space="preserve"> Hispanic </w:t>
      </w:r>
      <w:r w:rsidRPr="00F52BD1">
        <w:rPr>
          <w:rFonts w:asciiTheme="minorHAnsi" w:hAnsiTheme="minorHAnsi"/>
        </w:rPr>
        <w:t>Delawareans (</w:t>
      </w:r>
      <w:r w:rsidR="004D2C3D">
        <w:rPr>
          <w:rFonts w:asciiTheme="minorHAnsi" w:hAnsiTheme="minorHAnsi"/>
        </w:rPr>
        <w:t xml:space="preserve">9.9 </w:t>
      </w:r>
      <w:r w:rsidRPr="00F52BD1">
        <w:rPr>
          <w:rFonts w:asciiTheme="minorHAnsi" w:hAnsiTheme="minorHAnsi"/>
        </w:rPr>
        <w:t xml:space="preserve">deaths per 100,000 population) was statistically significantly </w:t>
      </w:r>
      <w:r w:rsidRPr="004D2C3D">
        <w:rPr>
          <w:rFonts w:asciiTheme="minorHAnsi" w:hAnsiTheme="minorHAnsi"/>
          <w:u w:val="single"/>
        </w:rPr>
        <w:t>higher</w:t>
      </w:r>
      <w:r w:rsidRPr="006D51FB">
        <w:rPr>
          <w:rFonts w:asciiTheme="minorHAnsi" w:hAnsiTheme="minorHAnsi"/>
        </w:rPr>
        <w:t xml:space="preserve"> </w:t>
      </w:r>
      <w:r w:rsidRPr="00F52BD1">
        <w:rPr>
          <w:rFonts w:asciiTheme="minorHAnsi" w:hAnsiTheme="minorHAnsi"/>
        </w:rPr>
        <w:t xml:space="preserve">compared to </w:t>
      </w:r>
      <w:r w:rsidR="00AC71E3">
        <w:rPr>
          <w:rFonts w:asciiTheme="minorHAnsi" w:hAnsiTheme="minorHAnsi"/>
        </w:rPr>
        <w:t>non</w:t>
      </w:r>
      <w:r w:rsidRPr="00F52BD1">
        <w:rPr>
          <w:rFonts w:asciiTheme="minorHAnsi" w:hAnsiTheme="minorHAnsi"/>
        </w:rPr>
        <w:t>-Hispanic White Delawareans (</w:t>
      </w:r>
      <w:r w:rsidR="004D2C3D">
        <w:rPr>
          <w:rFonts w:asciiTheme="minorHAnsi" w:hAnsiTheme="minorHAnsi"/>
        </w:rPr>
        <w:t>2.3</w:t>
      </w:r>
      <w:r w:rsidRPr="00F52BD1">
        <w:rPr>
          <w:rFonts w:asciiTheme="minorHAnsi" w:hAnsiTheme="minorHAnsi"/>
        </w:rPr>
        <w:t xml:space="preserve"> deaths per 100,000 population).  </w:t>
      </w:r>
    </w:p>
    <w:p w14:paraId="5AFC84F1" w14:textId="77777777" w:rsidR="000B18B0" w:rsidRPr="000B18B0" w:rsidRDefault="000B18B0" w:rsidP="000B18B0">
      <w:pPr>
        <w:pStyle w:val="ListParagraph"/>
        <w:spacing w:after="120" w:line="240" w:lineRule="auto"/>
        <w:rPr>
          <w:rFonts w:asciiTheme="minorHAnsi" w:hAnsiTheme="minorHAnsi"/>
        </w:rPr>
      </w:pPr>
    </w:p>
    <w:p w14:paraId="16F422E9" w14:textId="6489EF54" w:rsidR="00B666C4" w:rsidRDefault="00B666C4" w:rsidP="000A57A3">
      <w:pPr>
        <w:pStyle w:val="ListParagraph"/>
        <w:numPr>
          <w:ilvl w:val="0"/>
          <w:numId w:val="42"/>
        </w:numPr>
        <w:spacing w:after="120" w:line="240" w:lineRule="auto"/>
        <w:contextualSpacing w:val="0"/>
        <w:rPr>
          <w:rFonts w:asciiTheme="minorHAnsi" w:hAnsiTheme="minorHAnsi"/>
        </w:rPr>
      </w:pPr>
      <w:r>
        <w:rPr>
          <w:rFonts w:asciiTheme="minorHAnsi" w:hAnsiTheme="minorHAnsi"/>
        </w:rPr>
        <w:t>Hispanic</w:t>
      </w:r>
      <w:r w:rsidR="00E12821">
        <w:rPr>
          <w:rFonts w:asciiTheme="minorHAnsi" w:hAnsiTheme="minorHAnsi"/>
        </w:rPr>
        <w:t xml:space="preserve"> </w:t>
      </w:r>
      <w:r>
        <w:rPr>
          <w:rFonts w:asciiTheme="minorHAnsi" w:hAnsiTheme="minorHAnsi"/>
        </w:rPr>
        <w:t xml:space="preserve">Delawareans had a statistically significantly </w:t>
      </w:r>
      <w:r>
        <w:rPr>
          <w:rFonts w:asciiTheme="minorHAnsi" w:hAnsiTheme="minorHAnsi"/>
          <w:u w:val="single"/>
        </w:rPr>
        <w:t>lower</w:t>
      </w:r>
      <w:r w:rsidRPr="006D51FB">
        <w:rPr>
          <w:rFonts w:asciiTheme="minorHAnsi" w:hAnsiTheme="minorHAnsi"/>
        </w:rPr>
        <w:t xml:space="preserve"> </w:t>
      </w:r>
      <w:r>
        <w:rPr>
          <w:rFonts w:asciiTheme="minorHAnsi" w:hAnsiTheme="minorHAnsi"/>
        </w:rPr>
        <w:t xml:space="preserve">age-adjusted mortality rate compared to </w:t>
      </w:r>
      <w:r w:rsidR="00AC71E3">
        <w:rPr>
          <w:rFonts w:asciiTheme="minorHAnsi" w:hAnsiTheme="minorHAnsi"/>
        </w:rPr>
        <w:t>non</w:t>
      </w:r>
      <w:r>
        <w:rPr>
          <w:rFonts w:asciiTheme="minorHAnsi" w:hAnsiTheme="minorHAnsi"/>
        </w:rPr>
        <w:t>-Hispanic White Delawareans for</w:t>
      </w:r>
      <w:r w:rsidR="00ED7AF2">
        <w:rPr>
          <w:rFonts w:asciiTheme="minorHAnsi" w:hAnsiTheme="minorHAnsi"/>
        </w:rPr>
        <w:t xml:space="preserve"> all-sites, lung and bronchus, </w:t>
      </w:r>
      <w:r w:rsidR="00436E6C">
        <w:rPr>
          <w:rFonts w:asciiTheme="minorHAnsi" w:hAnsiTheme="minorHAnsi"/>
        </w:rPr>
        <w:t>and female breast cancers</w:t>
      </w:r>
      <w:r>
        <w:rPr>
          <w:rFonts w:asciiTheme="minorHAnsi" w:hAnsiTheme="minorHAnsi"/>
        </w:rPr>
        <w:t xml:space="preserve">. </w:t>
      </w:r>
    </w:p>
    <w:p w14:paraId="633A8709" w14:textId="07F10073" w:rsidR="00E06A67" w:rsidRPr="005C7A8A" w:rsidRDefault="00B666C4" w:rsidP="005C7A8A">
      <w:pPr>
        <w:pStyle w:val="ListParagraph"/>
        <w:numPr>
          <w:ilvl w:val="0"/>
          <w:numId w:val="42"/>
        </w:numPr>
        <w:spacing w:after="120" w:line="240" w:lineRule="auto"/>
        <w:ind w:left="1440"/>
        <w:rPr>
          <w:rFonts w:asciiTheme="minorHAnsi" w:hAnsiTheme="minorHAnsi"/>
          <w:i/>
          <w:iCs/>
        </w:rPr>
      </w:pPr>
      <w:r w:rsidRPr="000509A6">
        <w:rPr>
          <w:rFonts w:asciiTheme="minorHAnsi" w:hAnsiTheme="minorHAnsi"/>
          <w:i/>
          <w:iCs/>
        </w:rPr>
        <w:t>Example statement</w:t>
      </w:r>
      <w:r w:rsidR="0043724F">
        <w:rPr>
          <w:rFonts w:asciiTheme="minorHAnsi" w:hAnsiTheme="minorHAnsi"/>
          <w:i/>
          <w:iCs/>
        </w:rPr>
        <w:t xml:space="preserve">: </w:t>
      </w:r>
      <w:r w:rsidR="009746AA">
        <w:rPr>
          <w:rFonts w:asciiTheme="minorHAnsi" w:hAnsiTheme="minorHAnsi"/>
          <w:i/>
          <w:iCs/>
        </w:rPr>
        <w:t xml:space="preserve"> </w:t>
      </w:r>
      <w:r w:rsidR="00C93F71">
        <w:rPr>
          <w:rFonts w:asciiTheme="minorHAnsi" w:hAnsiTheme="minorHAnsi"/>
          <w:i/>
          <w:iCs/>
        </w:rPr>
        <w:t>From</w:t>
      </w:r>
      <w:r w:rsidR="00C93F71" w:rsidRPr="00EF2CC7">
        <w:rPr>
          <w:rFonts w:asciiTheme="minorHAnsi" w:hAnsiTheme="minorHAnsi"/>
          <w:i/>
          <w:iCs/>
        </w:rPr>
        <w:t xml:space="preserve"> 2017-202</w:t>
      </w:r>
      <w:r w:rsidR="00C93F71">
        <w:rPr>
          <w:rFonts w:asciiTheme="minorHAnsi" w:hAnsiTheme="minorHAnsi"/>
          <w:i/>
          <w:iCs/>
        </w:rPr>
        <w:t>1, t</w:t>
      </w:r>
      <w:r w:rsidRPr="000509A6">
        <w:rPr>
          <w:rFonts w:asciiTheme="minorHAnsi" w:hAnsiTheme="minorHAnsi"/>
          <w:i/>
          <w:iCs/>
        </w:rPr>
        <w:t>he age-adjusted</w:t>
      </w:r>
      <w:r>
        <w:rPr>
          <w:rFonts w:asciiTheme="minorHAnsi" w:hAnsiTheme="minorHAnsi"/>
          <w:i/>
          <w:iCs/>
        </w:rPr>
        <w:t xml:space="preserve"> mortality rate for</w:t>
      </w:r>
      <w:r w:rsidR="00A94AA9">
        <w:rPr>
          <w:rFonts w:asciiTheme="minorHAnsi" w:hAnsiTheme="minorHAnsi"/>
          <w:i/>
          <w:iCs/>
        </w:rPr>
        <w:t xml:space="preserve"> lung and bronchus </w:t>
      </w:r>
      <w:r w:rsidRPr="000509A6">
        <w:rPr>
          <w:rFonts w:asciiTheme="minorHAnsi" w:hAnsiTheme="minorHAnsi"/>
          <w:i/>
          <w:iCs/>
        </w:rPr>
        <w:t>cancer</w:t>
      </w:r>
      <w:r>
        <w:rPr>
          <w:rFonts w:asciiTheme="minorHAnsi" w:hAnsiTheme="minorHAnsi"/>
          <w:i/>
          <w:iCs/>
        </w:rPr>
        <w:t>s</w:t>
      </w:r>
      <w:r w:rsidRPr="000509A6">
        <w:rPr>
          <w:rFonts w:asciiTheme="minorHAnsi" w:hAnsiTheme="minorHAnsi"/>
          <w:i/>
          <w:iCs/>
        </w:rPr>
        <w:t xml:space="preserve"> among</w:t>
      </w:r>
      <w:r>
        <w:rPr>
          <w:rFonts w:asciiTheme="minorHAnsi" w:hAnsiTheme="minorHAnsi"/>
          <w:i/>
          <w:iCs/>
        </w:rPr>
        <w:t xml:space="preserve"> Hispanic Delawareans</w:t>
      </w:r>
      <w:r w:rsidRPr="000509A6">
        <w:rPr>
          <w:rFonts w:asciiTheme="minorHAnsi" w:hAnsiTheme="minorHAnsi"/>
          <w:i/>
          <w:iCs/>
        </w:rPr>
        <w:t xml:space="preserve"> (</w:t>
      </w:r>
      <w:r w:rsidR="00195293">
        <w:rPr>
          <w:rFonts w:asciiTheme="minorHAnsi" w:hAnsiTheme="minorHAnsi"/>
          <w:i/>
          <w:iCs/>
        </w:rPr>
        <w:t>16.5</w:t>
      </w:r>
      <w:r w:rsidRPr="000509A6">
        <w:rPr>
          <w:rFonts w:asciiTheme="minorHAnsi" w:hAnsiTheme="minorHAnsi"/>
          <w:i/>
          <w:iCs/>
        </w:rPr>
        <w:t xml:space="preserve"> deaths per 100,000 population) was statistically significantly lower compared to</w:t>
      </w:r>
      <w:r>
        <w:rPr>
          <w:rFonts w:asciiTheme="minorHAnsi" w:hAnsiTheme="minorHAnsi"/>
          <w:i/>
          <w:iCs/>
        </w:rPr>
        <w:t xml:space="preserve"> </w:t>
      </w:r>
      <w:r w:rsidR="00AC71E3">
        <w:rPr>
          <w:rFonts w:asciiTheme="minorHAnsi" w:hAnsiTheme="minorHAnsi"/>
          <w:i/>
          <w:iCs/>
        </w:rPr>
        <w:t>non</w:t>
      </w:r>
      <w:r>
        <w:rPr>
          <w:rFonts w:asciiTheme="minorHAnsi" w:hAnsiTheme="minorHAnsi"/>
          <w:i/>
          <w:iCs/>
        </w:rPr>
        <w:t>-Hispanic White Delawareans</w:t>
      </w:r>
      <w:r w:rsidRPr="000509A6">
        <w:rPr>
          <w:rFonts w:asciiTheme="minorHAnsi" w:hAnsiTheme="minorHAnsi"/>
          <w:i/>
          <w:iCs/>
        </w:rPr>
        <w:t xml:space="preserve"> (</w:t>
      </w:r>
      <w:r w:rsidR="00195293">
        <w:rPr>
          <w:rFonts w:asciiTheme="minorHAnsi" w:hAnsiTheme="minorHAnsi"/>
          <w:i/>
          <w:iCs/>
        </w:rPr>
        <w:t>38.3</w:t>
      </w:r>
      <w:r w:rsidRPr="000509A6">
        <w:rPr>
          <w:rFonts w:asciiTheme="minorHAnsi" w:hAnsiTheme="minorHAnsi"/>
          <w:i/>
          <w:iCs/>
        </w:rPr>
        <w:t xml:space="preserve"> deaths per 100,000 population).  </w:t>
      </w:r>
    </w:p>
    <w:p w14:paraId="2F60BA80" w14:textId="77777777" w:rsidR="00B666C4" w:rsidRPr="006D51FB" w:rsidRDefault="00B666C4" w:rsidP="006D51FB">
      <w:pPr>
        <w:pStyle w:val="ListParagraph"/>
        <w:spacing w:after="0" w:line="240" w:lineRule="auto"/>
        <w:rPr>
          <w:rFonts w:asciiTheme="minorHAnsi" w:hAnsiTheme="minorHAnsi"/>
          <w:sz w:val="16"/>
          <w:szCs w:val="16"/>
        </w:rPr>
      </w:pPr>
    </w:p>
    <w:p w14:paraId="2CDF9AF1" w14:textId="41D64E07" w:rsidR="00B666C4" w:rsidRPr="003D0BC6" w:rsidRDefault="007C4044" w:rsidP="000A57A3">
      <w:pPr>
        <w:pStyle w:val="ListParagraph"/>
        <w:numPr>
          <w:ilvl w:val="0"/>
          <w:numId w:val="42"/>
        </w:numPr>
        <w:spacing w:after="120" w:line="240" w:lineRule="auto"/>
        <w:contextualSpacing w:val="0"/>
        <w:rPr>
          <w:rFonts w:asciiTheme="minorHAnsi" w:hAnsiTheme="minorHAnsi"/>
        </w:rPr>
      </w:pPr>
      <w:r>
        <w:rPr>
          <w:rFonts w:asciiTheme="minorHAnsi" w:hAnsiTheme="minorHAnsi"/>
        </w:rPr>
        <w:t xml:space="preserve">Hispanic </w:t>
      </w:r>
      <w:r w:rsidR="00B666C4">
        <w:rPr>
          <w:rFonts w:asciiTheme="minorHAnsi" w:hAnsiTheme="minorHAnsi"/>
        </w:rPr>
        <w:t>Delawareans had statistically</w:t>
      </w:r>
      <w:r>
        <w:rPr>
          <w:rFonts w:asciiTheme="minorHAnsi" w:hAnsiTheme="minorHAnsi"/>
        </w:rPr>
        <w:t xml:space="preserve"> </w:t>
      </w:r>
      <w:r w:rsidR="00B666C4" w:rsidRPr="00A357DD">
        <w:rPr>
          <w:rFonts w:asciiTheme="minorHAnsi" w:hAnsiTheme="minorHAnsi"/>
          <w:u w:val="single"/>
        </w:rPr>
        <w:t>no difference</w:t>
      </w:r>
      <w:r w:rsidR="00B666C4">
        <w:rPr>
          <w:rFonts w:asciiTheme="minorHAnsi" w:hAnsiTheme="minorHAnsi"/>
        </w:rPr>
        <w:t xml:space="preserve"> in </w:t>
      </w:r>
      <w:r w:rsidR="00B666C4" w:rsidRPr="00A357DD">
        <w:rPr>
          <w:rFonts w:asciiTheme="minorHAnsi" w:hAnsiTheme="minorHAnsi"/>
        </w:rPr>
        <w:t>age-adjuste</w:t>
      </w:r>
      <w:r w:rsidR="00B666C4">
        <w:rPr>
          <w:rFonts w:asciiTheme="minorHAnsi" w:hAnsiTheme="minorHAnsi"/>
        </w:rPr>
        <w:t xml:space="preserve">d mortality rates compared to </w:t>
      </w:r>
      <w:r w:rsidR="00AC71E3">
        <w:rPr>
          <w:rFonts w:asciiTheme="minorHAnsi" w:hAnsiTheme="minorHAnsi"/>
        </w:rPr>
        <w:t>non</w:t>
      </w:r>
      <w:r w:rsidR="00B666C4">
        <w:rPr>
          <w:rFonts w:asciiTheme="minorHAnsi" w:hAnsiTheme="minorHAnsi"/>
        </w:rPr>
        <w:t>-Hispanic White Delawareans for colon and rectum (colorectal),</w:t>
      </w:r>
      <w:r w:rsidR="00140C62">
        <w:rPr>
          <w:rFonts w:asciiTheme="minorHAnsi" w:hAnsiTheme="minorHAnsi"/>
        </w:rPr>
        <w:t xml:space="preserve"> </w:t>
      </w:r>
      <w:r w:rsidR="00140C62" w:rsidRPr="00661549">
        <w:rPr>
          <w:rFonts w:asciiTheme="minorHAnsi" w:hAnsiTheme="minorHAnsi"/>
        </w:rPr>
        <w:t>liver and intrahepatic bile duct</w:t>
      </w:r>
      <w:r w:rsidR="004056DF">
        <w:rPr>
          <w:rFonts w:asciiTheme="minorHAnsi" w:hAnsiTheme="minorHAnsi"/>
        </w:rPr>
        <w:t>,</w:t>
      </w:r>
      <w:r>
        <w:rPr>
          <w:rFonts w:asciiTheme="minorHAnsi" w:hAnsiTheme="minorHAnsi"/>
        </w:rPr>
        <w:t xml:space="preserve"> and non-Hodgkin lymphoma cancers.</w:t>
      </w:r>
      <w:r w:rsidR="00B666C4">
        <w:rPr>
          <w:rFonts w:asciiTheme="minorHAnsi" w:hAnsiTheme="minorHAnsi"/>
        </w:rPr>
        <w:t xml:space="preserve"> </w:t>
      </w:r>
    </w:p>
    <w:p w14:paraId="1947CC3F" w14:textId="0F735110" w:rsidR="00B666C4" w:rsidRPr="00A755FC" w:rsidRDefault="00B666C4" w:rsidP="00B666C4">
      <w:pPr>
        <w:pStyle w:val="ListParagraph"/>
        <w:numPr>
          <w:ilvl w:val="0"/>
          <w:numId w:val="42"/>
        </w:numPr>
        <w:spacing w:after="120" w:line="240" w:lineRule="auto"/>
        <w:ind w:left="1440"/>
        <w:rPr>
          <w:rFonts w:asciiTheme="minorHAnsi" w:hAnsiTheme="minorHAnsi"/>
          <w:i/>
          <w:iCs/>
        </w:rPr>
      </w:pPr>
      <w:r w:rsidRPr="00A755FC">
        <w:rPr>
          <w:rFonts w:asciiTheme="minorHAnsi" w:hAnsiTheme="minorHAnsi"/>
          <w:i/>
          <w:iCs/>
        </w:rPr>
        <w:t>Example statement</w:t>
      </w:r>
      <w:r w:rsidR="004056DF">
        <w:rPr>
          <w:rFonts w:asciiTheme="minorHAnsi" w:hAnsiTheme="minorHAnsi"/>
          <w:i/>
          <w:iCs/>
        </w:rPr>
        <w:t xml:space="preserve">: </w:t>
      </w:r>
      <w:r w:rsidR="009746AA">
        <w:rPr>
          <w:rFonts w:asciiTheme="minorHAnsi" w:hAnsiTheme="minorHAnsi"/>
          <w:i/>
          <w:iCs/>
        </w:rPr>
        <w:t xml:space="preserve"> </w:t>
      </w:r>
      <w:r w:rsidR="00867235">
        <w:rPr>
          <w:rFonts w:asciiTheme="minorHAnsi" w:hAnsiTheme="minorHAnsi"/>
          <w:i/>
          <w:iCs/>
        </w:rPr>
        <w:t>From</w:t>
      </w:r>
      <w:r w:rsidR="00867235" w:rsidRPr="00EF2CC7">
        <w:rPr>
          <w:rFonts w:asciiTheme="minorHAnsi" w:hAnsiTheme="minorHAnsi"/>
          <w:i/>
          <w:iCs/>
        </w:rPr>
        <w:t xml:space="preserve"> 2017-202</w:t>
      </w:r>
      <w:r w:rsidR="00867235">
        <w:rPr>
          <w:rFonts w:asciiTheme="minorHAnsi" w:hAnsiTheme="minorHAnsi"/>
          <w:i/>
          <w:iCs/>
        </w:rPr>
        <w:t>1, t</w:t>
      </w:r>
      <w:r w:rsidRPr="005C46B8">
        <w:rPr>
          <w:rFonts w:asciiTheme="minorHAnsi" w:hAnsiTheme="minorHAnsi"/>
          <w:i/>
          <w:iCs/>
        </w:rPr>
        <w:t>here was no statistical difference in the</w:t>
      </w:r>
      <w:r w:rsidRPr="00B71502">
        <w:rPr>
          <w:rFonts w:asciiTheme="minorHAnsi" w:hAnsiTheme="minorHAnsi"/>
          <w:i/>
          <w:iCs/>
        </w:rPr>
        <w:t xml:space="preserve"> age-adjusted</w:t>
      </w:r>
      <w:r>
        <w:rPr>
          <w:rFonts w:asciiTheme="minorHAnsi" w:hAnsiTheme="minorHAnsi"/>
          <w:i/>
          <w:iCs/>
        </w:rPr>
        <w:t xml:space="preserve"> mortality </w:t>
      </w:r>
      <w:r w:rsidRPr="00B71502">
        <w:rPr>
          <w:rFonts w:asciiTheme="minorHAnsi" w:hAnsiTheme="minorHAnsi"/>
          <w:i/>
          <w:iCs/>
        </w:rPr>
        <w:t>rate</w:t>
      </w:r>
      <w:r>
        <w:rPr>
          <w:rFonts w:asciiTheme="minorHAnsi" w:hAnsiTheme="minorHAnsi"/>
          <w:i/>
          <w:iCs/>
        </w:rPr>
        <w:t>s</w:t>
      </w:r>
      <w:r w:rsidRPr="00B71502">
        <w:rPr>
          <w:rFonts w:asciiTheme="minorHAnsi" w:hAnsiTheme="minorHAnsi"/>
          <w:i/>
          <w:iCs/>
        </w:rPr>
        <w:t xml:space="preserve"> for</w:t>
      </w:r>
      <w:r>
        <w:rPr>
          <w:rFonts w:asciiTheme="minorHAnsi" w:hAnsiTheme="minorHAnsi"/>
          <w:i/>
          <w:iCs/>
        </w:rPr>
        <w:t xml:space="preserve"> colon and rectum (colorectal) cancer</w:t>
      </w:r>
      <w:r w:rsidRPr="00B71502">
        <w:rPr>
          <w:rFonts w:asciiTheme="minorHAnsi" w:hAnsiTheme="minorHAnsi"/>
          <w:i/>
          <w:iCs/>
        </w:rPr>
        <w:t xml:space="preserve"> among </w:t>
      </w:r>
      <w:r>
        <w:rPr>
          <w:rFonts w:asciiTheme="minorHAnsi" w:hAnsiTheme="minorHAnsi"/>
          <w:i/>
          <w:iCs/>
        </w:rPr>
        <w:t>Hispanic</w:t>
      </w:r>
      <w:r w:rsidR="009D7290">
        <w:rPr>
          <w:rFonts w:asciiTheme="minorHAnsi" w:hAnsiTheme="minorHAnsi"/>
          <w:i/>
          <w:iCs/>
        </w:rPr>
        <w:t xml:space="preserve"> </w:t>
      </w:r>
      <w:r>
        <w:rPr>
          <w:rFonts w:asciiTheme="minorHAnsi" w:hAnsiTheme="minorHAnsi"/>
          <w:i/>
          <w:iCs/>
        </w:rPr>
        <w:t>Delawareans</w:t>
      </w:r>
      <w:r w:rsidRPr="000509A6">
        <w:rPr>
          <w:rFonts w:asciiTheme="minorHAnsi" w:hAnsiTheme="minorHAnsi"/>
          <w:i/>
          <w:iCs/>
        </w:rPr>
        <w:t xml:space="preserve"> </w:t>
      </w:r>
      <w:r w:rsidRPr="00B71502">
        <w:rPr>
          <w:rFonts w:asciiTheme="minorHAnsi" w:hAnsiTheme="minorHAnsi"/>
          <w:i/>
          <w:iCs/>
        </w:rPr>
        <w:t>(</w:t>
      </w:r>
      <w:r w:rsidR="00C421BF">
        <w:rPr>
          <w:rFonts w:asciiTheme="minorHAnsi" w:hAnsiTheme="minorHAnsi"/>
          <w:i/>
          <w:iCs/>
        </w:rPr>
        <w:t>8.5</w:t>
      </w:r>
      <w:r>
        <w:rPr>
          <w:rFonts w:asciiTheme="minorHAnsi" w:hAnsiTheme="minorHAnsi"/>
          <w:i/>
          <w:iCs/>
        </w:rPr>
        <w:t xml:space="preserve"> deaths </w:t>
      </w:r>
      <w:r w:rsidRPr="00B71502">
        <w:rPr>
          <w:rFonts w:asciiTheme="minorHAnsi" w:hAnsiTheme="minorHAnsi"/>
          <w:i/>
          <w:iCs/>
        </w:rPr>
        <w:t>per 100,000 population)</w:t>
      </w:r>
      <w:r>
        <w:rPr>
          <w:rFonts w:asciiTheme="minorHAnsi" w:hAnsiTheme="minorHAnsi"/>
          <w:i/>
          <w:iCs/>
        </w:rPr>
        <w:t xml:space="preserve"> and</w:t>
      </w:r>
      <w:r w:rsidRPr="00B71502">
        <w:rPr>
          <w:rFonts w:asciiTheme="minorHAnsi" w:hAnsiTheme="minorHAnsi"/>
          <w:i/>
          <w:iCs/>
        </w:rPr>
        <w:t xml:space="preserve"> </w:t>
      </w:r>
      <w:r w:rsidR="00AC71E3">
        <w:rPr>
          <w:rFonts w:asciiTheme="minorHAnsi" w:hAnsiTheme="minorHAnsi"/>
          <w:i/>
          <w:iCs/>
        </w:rPr>
        <w:t>non</w:t>
      </w:r>
      <w:r>
        <w:rPr>
          <w:rFonts w:asciiTheme="minorHAnsi" w:hAnsiTheme="minorHAnsi"/>
          <w:i/>
          <w:iCs/>
        </w:rPr>
        <w:t>-Hispanic White Delawareans</w:t>
      </w:r>
      <w:r w:rsidRPr="000509A6">
        <w:rPr>
          <w:rFonts w:asciiTheme="minorHAnsi" w:hAnsiTheme="minorHAnsi"/>
          <w:i/>
          <w:iCs/>
        </w:rPr>
        <w:t xml:space="preserve"> </w:t>
      </w:r>
      <w:r w:rsidRPr="00B71502">
        <w:rPr>
          <w:rFonts w:asciiTheme="minorHAnsi" w:hAnsiTheme="minorHAnsi"/>
          <w:i/>
          <w:iCs/>
        </w:rPr>
        <w:t>(</w:t>
      </w:r>
      <w:r>
        <w:rPr>
          <w:rFonts w:asciiTheme="minorHAnsi" w:hAnsiTheme="minorHAnsi"/>
          <w:i/>
          <w:iCs/>
        </w:rPr>
        <w:t>12.6</w:t>
      </w:r>
      <w:r w:rsidRPr="00B71502">
        <w:rPr>
          <w:rFonts w:asciiTheme="minorHAnsi" w:hAnsiTheme="minorHAnsi"/>
          <w:i/>
          <w:iCs/>
        </w:rPr>
        <w:t xml:space="preserve"> </w:t>
      </w:r>
      <w:r>
        <w:rPr>
          <w:rFonts w:asciiTheme="minorHAnsi" w:hAnsiTheme="minorHAnsi"/>
          <w:i/>
          <w:iCs/>
        </w:rPr>
        <w:t>deaths</w:t>
      </w:r>
      <w:r w:rsidRPr="00B71502">
        <w:rPr>
          <w:rFonts w:asciiTheme="minorHAnsi" w:hAnsiTheme="minorHAnsi"/>
          <w:i/>
          <w:iCs/>
        </w:rPr>
        <w:t xml:space="preserve"> per 100,000 population)</w:t>
      </w:r>
      <w:r w:rsidR="004056DF">
        <w:rPr>
          <w:rFonts w:asciiTheme="minorHAnsi" w:hAnsiTheme="minorHAnsi"/>
          <w:i/>
          <w:iCs/>
        </w:rPr>
        <w:t>.</w:t>
      </w:r>
      <w:r>
        <w:rPr>
          <w:rFonts w:asciiTheme="minorHAnsi" w:hAnsiTheme="minorHAnsi"/>
          <w:i/>
          <w:iCs/>
        </w:rPr>
        <w:t xml:space="preserve"> </w:t>
      </w:r>
    </w:p>
    <w:p w14:paraId="4B36B8EC" w14:textId="330DC20D" w:rsidR="00B666C4" w:rsidRPr="000A57A3" w:rsidRDefault="00B666C4" w:rsidP="00B666C4">
      <w:pPr>
        <w:pStyle w:val="ListParagraph"/>
        <w:numPr>
          <w:ilvl w:val="0"/>
          <w:numId w:val="42"/>
        </w:numPr>
        <w:spacing w:after="120" w:line="240" w:lineRule="auto"/>
        <w:rPr>
          <w:rFonts w:asciiTheme="minorHAnsi" w:hAnsiTheme="minorHAnsi"/>
        </w:rPr>
      </w:pPr>
      <w:r w:rsidRPr="000A57A3">
        <w:rPr>
          <w:rFonts w:asciiTheme="minorHAnsi" w:hAnsiTheme="minorHAnsi"/>
        </w:rPr>
        <w:lastRenderedPageBreak/>
        <w:t>Due to fewer than 16 deaths, significance testing could</w:t>
      </w:r>
      <w:r w:rsidR="004056DF" w:rsidRPr="000A57A3">
        <w:rPr>
          <w:rFonts w:asciiTheme="minorHAnsi" w:hAnsiTheme="minorHAnsi"/>
        </w:rPr>
        <w:t xml:space="preserve"> </w:t>
      </w:r>
      <w:r w:rsidRPr="000A57A3">
        <w:rPr>
          <w:rFonts w:asciiTheme="minorHAnsi" w:hAnsiTheme="minorHAnsi"/>
        </w:rPr>
        <w:t>n</w:t>
      </w:r>
      <w:r w:rsidR="004056DF" w:rsidRPr="000A57A3">
        <w:rPr>
          <w:rFonts w:asciiTheme="minorHAnsi" w:hAnsiTheme="minorHAnsi"/>
        </w:rPr>
        <w:t>o</w:t>
      </w:r>
      <w:r w:rsidRPr="000A57A3">
        <w:rPr>
          <w:rFonts w:asciiTheme="minorHAnsi" w:hAnsiTheme="minorHAnsi"/>
        </w:rPr>
        <w:t>t be completed fo</w:t>
      </w:r>
      <w:r w:rsidR="00596F38" w:rsidRPr="000A57A3">
        <w:rPr>
          <w:rFonts w:asciiTheme="minorHAnsi" w:hAnsiTheme="minorHAnsi"/>
        </w:rPr>
        <w:t xml:space="preserve">r </w:t>
      </w:r>
      <w:r w:rsidR="0075279F" w:rsidRPr="000A57A3">
        <w:rPr>
          <w:rFonts w:asciiTheme="minorHAnsi" w:hAnsiTheme="minorHAnsi"/>
        </w:rPr>
        <w:t>brain and other nervous system, cervix</w:t>
      </w:r>
      <w:r w:rsidR="0036637C">
        <w:rPr>
          <w:rFonts w:asciiTheme="minorHAnsi" w:hAnsiTheme="minorHAnsi"/>
        </w:rPr>
        <w:t>,</w:t>
      </w:r>
      <w:r w:rsidR="0075279F" w:rsidRPr="000A57A3">
        <w:rPr>
          <w:rFonts w:asciiTheme="minorHAnsi" w:hAnsiTheme="minorHAnsi"/>
        </w:rPr>
        <w:t xml:space="preserve"> esophagus, Hodgkin lymphoma, kidney and renal pelvis, larynx, leukemia,</w:t>
      </w:r>
      <w:r w:rsidR="008A089B" w:rsidRPr="000A57A3">
        <w:rPr>
          <w:rFonts w:asciiTheme="minorHAnsi" w:hAnsiTheme="minorHAnsi"/>
        </w:rPr>
        <w:t xml:space="preserve"> </w:t>
      </w:r>
      <w:r w:rsidR="0075279F" w:rsidRPr="000A57A3">
        <w:rPr>
          <w:rFonts w:asciiTheme="minorHAnsi" w:hAnsiTheme="minorHAnsi"/>
        </w:rPr>
        <w:t>melanoma, myeloma,</w:t>
      </w:r>
      <w:r w:rsidR="00E74F9C" w:rsidRPr="000A57A3">
        <w:rPr>
          <w:rFonts w:asciiTheme="minorHAnsi" w:hAnsiTheme="minorHAnsi"/>
        </w:rPr>
        <w:t xml:space="preserve"> </w:t>
      </w:r>
      <w:r w:rsidR="0075279F" w:rsidRPr="000A57A3">
        <w:rPr>
          <w:rFonts w:asciiTheme="minorHAnsi" w:hAnsiTheme="minorHAnsi"/>
        </w:rPr>
        <w:t>ovary, oral cavity and pharynx, pancreas, prostate, testis, thyroid, uterine, and urinary bladder</w:t>
      </w:r>
      <w:r w:rsidR="00E74F9C" w:rsidRPr="000A57A3">
        <w:rPr>
          <w:rFonts w:asciiTheme="minorHAnsi" w:hAnsiTheme="minorHAnsi"/>
        </w:rPr>
        <w:t xml:space="preserve"> cancers. </w:t>
      </w:r>
    </w:p>
    <w:p w14:paraId="38EA59C7" w14:textId="77777777" w:rsidR="002A7213" w:rsidRPr="002A7213" w:rsidRDefault="002A7213" w:rsidP="00B21C83">
      <w:pPr>
        <w:pStyle w:val="Heading1"/>
        <w:numPr>
          <w:ilvl w:val="0"/>
          <w:numId w:val="19"/>
        </w:numPr>
        <w:spacing w:after="40"/>
        <w:rPr>
          <w:rFonts w:asciiTheme="minorHAnsi" w:hAnsiTheme="minorHAnsi"/>
        </w:rPr>
      </w:pPr>
      <w:bookmarkStart w:id="5339" w:name="_Toc179276353"/>
      <w:r w:rsidRPr="002A7213">
        <w:rPr>
          <w:rFonts w:asciiTheme="minorHAnsi" w:hAnsiTheme="minorHAnsi"/>
        </w:rPr>
        <w:lastRenderedPageBreak/>
        <w:t>Data Sources and Methodology</w:t>
      </w:r>
      <w:bookmarkEnd w:id="5335"/>
      <w:bookmarkEnd w:id="5336"/>
      <w:bookmarkEnd w:id="5337"/>
      <w:bookmarkEnd w:id="5338"/>
      <w:bookmarkEnd w:id="5339"/>
    </w:p>
    <w:p w14:paraId="1182FF90" w14:textId="77777777" w:rsidR="002A7213" w:rsidRPr="00342589" w:rsidRDefault="002A7213" w:rsidP="00E01C9E">
      <w:pPr>
        <w:pStyle w:val="Heading2"/>
      </w:pPr>
      <w:r w:rsidRPr="00342589">
        <w:t>Cancer Incidence Data</w:t>
      </w:r>
    </w:p>
    <w:p w14:paraId="6992E9BD" w14:textId="77777777" w:rsidR="002A7213" w:rsidRPr="002A7213" w:rsidRDefault="002A7213" w:rsidP="002A7213">
      <w:pPr>
        <w:pStyle w:val="Heading3"/>
        <w:spacing w:before="120" w:after="120"/>
        <w:rPr>
          <w:rFonts w:asciiTheme="minorHAnsi" w:hAnsiTheme="minorHAnsi"/>
          <w:b/>
        </w:rPr>
      </w:pPr>
      <w:r w:rsidRPr="002A7213">
        <w:rPr>
          <w:rFonts w:asciiTheme="minorHAnsi" w:hAnsiTheme="minorHAnsi"/>
          <w:b/>
        </w:rPr>
        <w:t>Delaware Cancer Registry</w:t>
      </w:r>
    </w:p>
    <w:p w14:paraId="441DDADE" w14:textId="0CCD977B" w:rsidR="002A7213" w:rsidRPr="00FE308C" w:rsidRDefault="002A7213" w:rsidP="0008272E">
      <w:pPr>
        <w:spacing w:after="120" w:line="240" w:lineRule="auto"/>
        <w:rPr>
          <w:rFonts w:asciiTheme="minorHAnsi" w:hAnsiTheme="minorHAnsi" w:cs="Arial"/>
          <w:szCs w:val="20"/>
        </w:rPr>
      </w:pPr>
      <w:r w:rsidRPr="00FE308C">
        <w:rPr>
          <w:rFonts w:asciiTheme="minorHAnsi" w:hAnsiTheme="minorHAnsi" w:cs="Arial"/>
          <w:szCs w:val="20"/>
        </w:rPr>
        <w:t xml:space="preserve">This report covers data on cancer cases diagnosed among Delawareans from January 1, </w:t>
      </w:r>
      <w:proofErr w:type="gramStart"/>
      <w:r w:rsidR="00E74072" w:rsidRPr="00FE308C">
        <w:rPr>
          <w:rFonts w:asciiTheme="minorHAnsi" w:hAnsiTheme="minorHAnsi" w:cs="Arial"/>
          <w:szCs w:val="20"/>
        </w:rPr>
        <w:t>201</w:t>
      </w:r>
      <w:r w:rsidR="00030B72">
        <w:rPr>
          <w:rFonts w:asciiTheme="minorHAnsi" w:hAnsiTheme="minorHAnsi" w:cs="Arial"/>
          <w:szCs w:val="20"/>
        </w:rPr>
        <w:t>7</w:t>
      </w:r>
      <w:proofErr w:type="gramEnd"/>
      <w:r w:rsidR="00E74072" w:rsidRPr="00FE308C">
        <w:rPr>
          <w:rFonts w:asciiTheme="minorHAnsi" w:hAnsiTheme="minorHAnsi" w:cs="Arial"/>
          <w:szCs w:val="20"/>
        </w:rPr>
        <w:t xml:space="preserve"> </w:t>
      </w:r>
      <w:r w:rsidRPr="00FE308C">
        <w:rPr>
          <w:rFonts w:asciiTheme="minorHAnsi" w:hAnsiTheme="minorHAnsi" w:cs="Arial"/>
          <w:szCs w:val="20"/>
        </w:rPr>
        <w:t>to December 31, 20</w:t>
      </w:r>
      <w:r w:rsidR="00D379E0">
        <w:rPr>
          <w:rFonts w:asciiTheme="minorHAnsi" w:hAnsiTheme="minorHAnsi" w:cs="Arial"/>
          <w:szCs w:val="20"/>
        </w:rPr>
        <w:t>2</w:t>
      </w:r>
      <w:r w:rsidR="00030B72">
        <w:rPr>
          <w:rFonts w:asciiTheme="minorHAnsi" w:hAnsiTheme="minorHAnsi" w:cs="Arial"/>
          <w:szCs w:val="20"/>
        </w:rPr>
        <w:t>1</w:t>
      </w:r>
      <w:r w:rsidR="009E59D0">
        <w:rPr>
          <w:rFonts w:asciiTheme="minorHAnsi" w:hAnsiTheme="minorHAnsi" w:cs="Arial"/>
          <w:szCs w:val="20"/>
        </w:rPr>
        <w:t>,</w:t>
      </w:r>
      <w:r w:rsidRPr="00FE308C">
        <w:rPr>
          <w:rFonts w:asciiTheme="minorHAnsi" w:hAnsiTheme="minorHAnsi" w:cs="Arial"/>
          <w:szCs w:val="20"/>
        </w:rPr>
        <w:t xml:space="preserve"> that were reported to the D</w:t>
      </w:r>
      <w:r w:rsidR="00C2076A" w:rsidRPr="00FE308C">
        <w:rPr>
          <w:rFonts w:asciiTheme="minorHAnsi" w:hAnsiTheme="minorHAnsi" w:cs="Arial"/>
          <w:szCs w:val="20"/>
        </w:rPr>
        <w:t>elaware Cancer Registry (D</w:t>
      </w:r>
      <w:r w:rsidRPr="00FE308C">
        <w:rPr>
          <w:rFonts w:asciiTheme="minorHAnsi" w:hAnsiTheme="minorHAnsi" w:cs="Arial"/>
          <w:szCs w:val="20"/>
        </w:rPr>
        <w:t>CR</w:t>
      </w:r>
      <w:r w:rsidR="00C2076A" w:rsidRPr="00FE308C">
        <w:rPr>
          <w:rFonts w:asciiTheme="minorHAnsi" w:hAnsiTheme="minorHAnsi" w:cs="Arial"/>
          <w:szCs w:val="20"/>
        </w:rPr>
        <w:t>)</w:t>
      </w:r>
      <w:r w:rsidRPr="00FE308C">
        <w:rPr>
          <w:rFonts w:asciiTheme="minorHAnsi" w:hAnsiTheme="minorHAnsi" w:cs="Arial"/>
          <w:szCs w:val="20"/>
        </w:rPr>
        <w:t xml:space="preserve"> by </w:t>
      </w:r>
      <w:r w:rsidR="008326EB" w:rsidRPr="00FE308C">
        <w:rPr>
          <w:rFonts w:asciiTheme="minorHAnsi" w:hAnsiTheme="minorHAnsi" w:cs="Arial"/>
          <w:szCs w:val="20"/>
        </w:rPr>
        <w:t>November 20</w:t>
      </w:r>
      <w:r w:rsidR="00026759" w:rsidRPr="00FE308C">
        <w:rPr>
          <w:rFonts w:asciiTheme="minorHAnsi" w:hAnsiTheme="minorHAnsi" w:cs="Arial"/>
          <w:szCs w:val="20"/>
        </w:rPr>
        <w:t>2</w:t>
      </w:r>
      <w:r w:rsidR="00030B72">
        <w:rPr>
          <w:rFonts w:asciiTheme="minorHAnsi" w:hAnsiTheme="minorHAnsi" w:cs="Arial"/>
          <w:szCs w:val="20"/>
        </w:rPr>
        <w:t>3</w:t>
      </w:r>
      <w:r w:rsidRPr="00FE308C">
        <w:rPr>
          <w:rFonts w:asciiTheme="minorHAnsi" w:hAnsiTheme="minorHAnsi" w:cs="Arial"/>
          <w:szCs w:val="20"/>
        </w:rPr>
        <w:t xml:space="preserve">.  Trends in incidence rates are based on cancers diagnosed from January 1, </w:t>
      </w:r>
      <w:proofErr w:type="gramStart"/>
      <w:r w:rsidR="00D379E0">
        <w:rPr>
          <w:rFonts w:asciiTheme="minorHAnsi" w:hAnsiTheme="minorHAnsi" w:cs="Arial"/>
          <w:szCs w:val="20"/>
        </w:rPr>
        <w:t>200</w:t>
      </w:r>
      <w:r w:rsidR="00030B72">
        <w:rPr>
          <w:rFonts w:asciiTheme="minorHAnsi" w:hAnsiTheme="minorHAnsi" w:cs="Arial"/>
          <w:szCs w:val="20"/>
        </w:rPr>
        <w:t>7</w:t>
      </w:r>
      <w:proofErr w:type="gramEnd"/>
      <w:r w:rsidRPr="00FE308C">
        <w:rPr>
          <w:rFonts w:asciiTheme="minorHAnsi" w:hAnsiTheme="minorHAnsi" w:cs="Arial"/>
          <w:szCs w:val="20"/>
        </w:rPr>
        <w:t xml:space="preserve"> to December 31, </w:t>
      </w:r>
      <w:r w:rsidR="008326EB" w:rsidRPr="00FE308C">
        <w:rPr>
          <w:rFonts w:asciiTheme="minorHAnsi" w:hAnsiTheme="minorHAnsi" w:cs="Arial"/>
          <w:szCs w:val="20"/>
        </w:rPr>
        <w:t>20</w:t>
      </w:r>
      <w:r w:rsidR="00030B72">
        <w:rPr>
          <w:rFonts w:asciiTheme="minorHAnsi" w:hAnsiTheme="minorHAnsi" w:cs="Arial"/>
          <w:szCs w:val="20"/>
        </w:rPr>
        <w:t>21</w:t>
      </w:r>
      <w:r w:rsidRPr="00FE308C">
        <w:rPr>
          <w:rFonts w:asciiTheme="minorHAnsi" w:hAnsiTheme="minorHAnsi" w:cs="Arial"/>
          <w:szCs w:val="20"/>
        </w:rPr>
        <w:t>.</w:t>
      </w:r>
      <w:r w:rsidR="00D379E0">
        <w:rPr>
          <w:rFonts w:asciiTheme="minorHAnsi" w:hAnsiTheme="minorHAnsi" w:cs="Arial"/>
          <w:szCs w:val="20"/>
        </w:rPr>
        <w:t xml:space="preserve"> </w:t>
      </w:r>
      <w:r w:rsidR="00D6334A">
        <w:rPr>
          <w:rFonts w:asciiTheme="minorHAnsi" w:hAnsiTheme="minorHAnsi" w:cs="Arial"/>
          <w:szCs w:val="20"/>
        </w:rPr>
        <w:t xml:space="preserve"> </w:t>
      </w:r>
      <w:r w:rsidR="001F310E">
        <w:rPr>
          <w:rFonts w:asciiTheme="minorHAnsi" w:hAnsiTheme="minorHAnsi" w:cs="Arial"/>
          <w:szCs w:val="20"/>
        </w:rPr>
        <w:t>The</w:t>
      </w:r>
      <w:r w:rsidR="00D379E0">
        <w:rPr>
          <w:rFonts w:asciiTheme="minorHAnsi" w:hAnsiTheme="minorHAnsi" w:cs="Arial"/>
          <w:szCs w:val="20"/>
        </w:rPr>
        <w:t xml:space="preserve"> COVID-19 pandemic</w:t>
      </w:r>
      <w:r w:rsidR="001F310E">
        <w:rPr>
          <w:rFonts w:asciiTheme="minorHAnsi" w:hAnsiTheme="minorHAnsi" w:cs="Arial"/>
          <w:szCs w:val="20"/>
        </w:rPr>
        <w:t xml:space="preserve"> resulted in delays and reductions in cancer screening and diagnosis, which subsequently led to a decline in 2020 incidence counts and rates</w:t>
      </w:r>
      <w:r w:rsidR="0042673E">
        <w:rPr>
          <w:rFonts w:asciiTheme="minorHAnsi" w:hAnsiTheme="minorHAnsi" w:cs="Arial"/>
          <w:szCs w:val="20"/>
        </w:rPr>
        <w:t xml:space="preserve">. </w:t>
      </w:r>
      <w:r w:rsidR="00120C71">
        <w:rPr>
          <w:rFonts w:asciiTheme="minorHAnsi" w:hAnsiTheme="minorHAnsi" w:cs="Arial"/>
          <w:szCs w:val="20"/>
        </w:rPr>
        <w:t xml:space="preserve"> </w:t>
      </w:r>
      <w:r w:rsidR="0042673E">
        <w:rPr>
          <w:rFonts w:asciiTheme="minorHAnsi" w:hAnsiTheme="minorHAnsi" w:cs="Arial"/>
          <w:szCs w:val="20"/>
        </w:rPr>
        <w:t xml:space="preserve">For this reason, </w:t>
      </w:r>
      <w:r w:rsidR="009C2D8E">
        <w:rPr>
          <w:rFonts w:asciiTheme="minorHAnsi" w:hAnsiTheme="minorHAnsi" w:cs="Arial"/>
          <w:szCs w:val="20"/>
        </w:rPr>
        <w:t xml:space="preserve">researchers </w:t>
      </w:r>
      <w:r w:rsidR="00A16BD5">
        <w:rPr>
          <w:rFonts w:asciiTheme="minorHAnsi" w:hAnsiTheme="minorHAnsi" w:cs="Arial"/>
          <w:szCs w:val="20"/>
        </w:rPr>
        <w:t>consider 2020</w:t>
      </w:r>
      <w:r w:rsidR="00093821">
        <w:rPr>
          <w:rFonts w:asciiTheme="minorHAnsi" w:hAnsiTheme="minorHAnsi" w:cs="Arial"/>
          <w:szCs w:val="20"/>
        </w:rPr>
        <w:t xml:space="preserve"> an anomaly</w:t>
      </w:r>
      <w:r w:rsidR="001F310E">
        <w:rPr>
          <w:rFonts w:asciiTheme="minorHAnsi" w:hAnsiTheme="minorHAnsi" w:cs="Arial"/>
          <w:szCs w:val="20"/>
        </w:rPr>
        <w:t xml:space="preserve">. </w:t>
      </w:r>
      <w:r w:rsidR="0008462E">
        <w:rPr>
          <w:rFonts w:asciiTheme="minorHAnsi" w:hAnsiTheme="minorHAnsi" w:cs="Arial"/>
          <w:szCs w:val="20"/>
        </w:rPr>
        <w:t xml:space="preserve"> </w:t>
      </w:r>
      <w:r w:rsidR="00093821">
        <w:rPr>
          <w:rFonts w:asciiTheme="minorHAnsi" w:hAnsiTheme="minorHAnsi" w:cs="Arial"/>
          <w:szCs w:val="20"/>
        </w:rPr>
        <w:t>I</w:t>
      </w:r>
      <w:r w:rsidR="001F310E">
        <w:rPr>
          <w:rFonts w:asciiTheme="minorHAnsi" w:hAnsiTheme="minorHAnsi" w:cs="Arial"/>
          <w:szCs w:val="20"/>
        </w:rPr>
        <w:t>nclusion of 2020 rates would bias the estimates</w:t>
      </w:r>
      <w:r w:rsidR="00093821">
        <w:rPr>
          <w:rFonts w:asciiTheme="minorHAnsi" w:hAnsiTheme="minorHAnsi" w:cs="Arial"/>
          <w:szCs w:val="20"/>
        </w:rPr>
        <w:t xml:space="preserve"> of trends over time</w:t>
      </w:r>
      <w:r w:rsidR="001F310E">
        <w:rPr>
          <w:rFonts w:asciiTheme="minorHAnsi" w:hAnsiTheme="minorHAnsi" w:cs="Arial"/>
          <w:szCs w:val="20"/>
        </w:rPr>
        <w:t xml:space="preserve"> and therefore</w:t>
      </w:r>
      <w:r w:rsidR="00120C71">
        <w:rPr>
          <w:rFonts w:asciiTheme="minorHAnsi" w:hAnsiTheme="minorHAnsi" w:cs="Arial"/>
          <w:szCs w:val="20"/>
        </w:rPr>
        <w:t>,</w:t>
      </w:r>
      <w:r w:rsidR="001F310E">
        <w:rPr>
          <w:rFonts w:asciiTheme="minorHAnsi" w:hAnsiTheme="minorHAnsi" w:cs="Arial"/>
          <w:szCs w:val="20"/>
        </w:rPr>
        <w:t xml:space="preserve"> 2020 rates were not included in trend analysis.</w:t>
      </w:r>
      <w:r w:rsidR="001F310E">
        <w:rPr>
          <w:rStyle w:val="FootnoteReference"/>
          <w:rFonts w:asciiTheme="minorHAnsi" w:hAnsiTheme="minorHAnsi" w:cs="Arial"/>
          <w:szCs w:val="20"/>
        </w:rPr>
        <w:footnoteReference w:id="14"/>
      </w:r>
      <w:r w:rsidR="001F310E">
        <w:rPr>
          <w:rFonts w:asciiTheme="minorHAnsi" w:hAnsiTheme="minorHAnsi" w:cs="Arial"/>
          <w:szCs w:val="20"/>
        </w:rPr>
        <w:t xml:space="preserve"> </w:t>
      </w:r>
    </w:p>
    <w:p w14:paraId="48623D02" w14:textId="4E0E5004" w:rsidR="002A7213" w:rsidRPr="00FE308C" w:rsidRDefault="002A7213" w:rsidP="002A7213">
      <w:pPr>
        <w:spacing w:after="120" w:line="240" w:lineRule="auto"/>
        <w:rPr>
          <w:rFonts w:asciiTheme="minorHAnsi" w:hAnsiTheme="minorHAnsi" w:cs="Arial"/>
          <w:szCs w:val="20"/>
        </w:rPr>
      </w:pPr>
      <w:r w:rsidRPr="00FE308C">
        <w:rPr>
          <w:rFonts w:asciiTheme="minorHAnsi" w:hAnsiTheme="minorHAnsi" w:cs="Arial"/>
          <w:szCs w:val="20"/>
        </w:rPr>
        <w:t xml:space="preserve">During </w:t>
      </w:r>
      <w:r w:rsidR="0018530E">
        <w:rPr>
          <w:rFonts w:asciiTheme="minorHAnsi" w:hAnsiTheme="minorHAnsi" w:cs="Arial"/>
          <w:szCs w:val="20"/>
        </w:rPr>
        <w:t>2017-2021</w:t>
      </w:r>
      <w:r w:rsidRPr="00FE308C">
        <w:rPr>
          <w:rFonts w:asciiTheme="minorHAnsi" w:hAnsiTheme="minorHAnsi" w:cs="Arial"/>
          <w:szCs w:val="20"/>
        </w:rPr>
        <w:t xml:space="preserve">, there were </w:t>
      </w:r>
      <w:r w:rsidR="0018530E">
        <w:rPr>
          <w:rFonts w:ascii="Calibri" w:hAnsi="Calibri" w:cs="Calibri"/>
          <w:color w:val="000000"/>
        </w:rPr>
        <w:t>30,849</w:t>
      </w:r>
      <w:r w:rsidR="004D3358" w:rsidRPr="00FE308C">
        <w:rPr>
          <w:rFonts w:ascii="Calibri" w:hAnsi="Calibri" w:cs="Calibri"/>
          <w:color w:val="000000"/>
        </w:rPr>
        <w:t xml:space="preserve"> </w:t>
      </w:r>
      <w:r w:rsidRPr="00FE308C">
        <w:rPr>
          <w:rFonts w:asciiTheme="minorHAnsi" w:hAnsiTheme="minorHAnsi" w:cs="Arial"/>
        </w:rPr>
        <w:t>cancer</w:t>
      </w:r>
      <w:r w:rsidRPr="00FE308C">
        <w:rPr>
          <w:rFonts w:asciiTheme="minorHAnsi" w:hAnsiTheme="minorHAnsi" w:cs="Arial"/>
          <w:szCs w:val="20"/>
        </w:rPr>
        <w:t xml:space="preserve"> cases diagnosed among Delawareans, which includes individuals with cancers diagnosed at more than one site (known as multiple primaries).  With the exception of urinary bladder cancer, only malignant tumors are included in the analyses.  </w:t>
      </w:r>
      <w:r w:rsidRPr="00FE308C">
        <w:rPr>
          <w:rFonts w:asciiTheme="minorHAnsi" w:hAnsiTheme="minorHAnsi" w:cs="Arial"/>
          <w:i/>
          <w:szCs w:val="20"/>
        </w:rPr>
        <w:t>In situ</w:t>
      </w:r>
      <w:r w:rsidRPr="00FE308C">
        <w:rPr>
          <w:rFonts w:asciiTheme="minorHAnsi" w:hAnsiTheme="minorHAnsi" w:cs="Arial"/>
          <w:szCs w:val="20"/>
        </w:rPr>
        <w:t xml:space="preserve"> urinary bladder cancer cases are included because, based on language used by pathologists, it is difficult to distinguish them from malignant cancers.</w:t>
      </w:r>
    </w:p>
    <w:p w14:paraId="7BCB3EB4" w14:textId="6C043B16" w:rsidR="002A7213" w:rsidRPr="00FE308C" w:rsidRDefault="002A7213" w:rsidP="002A7213">
      <w:pPr>
        <w:spacing w:after="120" w:line="240" w:lineRule="auto"/>
        <w:rPr>
          <w:rFonts w:asciiTheme="minorHAnsi" w:hAnsiTheme="minorHAnsi" w:cs="Arial"/>
          <w:szCs w:val="20"/>
        </w:rPr>
      </w:pPr>
      <w:r w:rsidRPr="00FE308C">
        <w:rPr>
          <w:rFonts w:asciiTheme="minorHAnsi" w:hAnsiTheme="minorHAnsi" w:cs="Arial"/>
          <w:szCs w:val="20"/>
        </w:rPr>
        <w:t>The International Classification of Diseases for Oncology, Second Edition (ICD-O-2), describes the topography (primary anatomic site) and morphology (histology) for cancers reported from 1988 through 2000.  Cancers diagnosed from 2001 through the present are coded using the International Classification of Diseases for Oncology, Third Edition (ICD-O-3)</w:t>
      </w:r>
      <w:r w:rsidRPr="00FE308C">
        <w:rPr>
          <w:rStyle w:val="FootnoteReference"/>
          <w:rFonts w:asciiTheme="minorHAnsi" w:hAnsiTheme="minorHAnsi" w:cs="Arial"/>
          <w:szCs w:val="20"/>
        </w:rPr>
        <w:footnoteReference w:id="15"/>
      </w:r>
      <w:r w:rsidRPr="00FE308C">
        <w:rPr>
          <w:rFonts w:asciiTheme="minorHAnsi" w:hAnsiTheme="minorHAnsi" w:cs="Arial"/>
          <w:szCs w:val="20"/>
        </w:rPr>
        <w:t xml:space="preserve">.  Relevant codes for this report are in Appendix B.  The topography code defines both the site of the tumor and the type of cancer.  The first four digits of the morphology code define the histology of the cancer and the fifth digit indicates whether the cancer is malignant, benign, </w:t>
      </w:r>
      <w:r w:rsidRPr="00FE308C">
        <w:rPr>
          <w:rFonts w:asciiTheme="minorHAnsi" w:hAnsiTheme="minorHAnsi" w:cs="Arial"/>
          <w:i/>
          <w:szCs w:val="20"/>
        </w:rPr>
        <w:t>in situ</w:t>
      </w:r>
      <w:r w:rsidRPr="00FE308C">
        <w:rPr>
          <w:rFonts w:asciiTheme="minorHAnsi" w:hAnsiTheme="minorHAnsi" w:cs="Arial"/>
          <w:szCs w:val="20"/>
        </w:rPr>
        <w:t xml:space="preserve">, or uncertain.  Consistent with </w:t>
      </w:r>
      <w:r w:rsidR="003C1B02" w:rsidRPr="00FE308C">
        <w:rPr>
          <w:rFonts w:asciiTheme="minorHAnsi" w:hAnsiTheme="minorHAnsi" w:cs="Arial"/>
          <w:szCs w:val="20"/>
        </w:rPr>
        <w:t xml:space="preserve">the CDC’s </w:t>
      </w:r>
      <w:r w:rsidRPr="00FE308C">
        <w:rPr>
          <w:rFonts w:asciiTheme="minorHAnsi" w:hAnsiTheme="minorHAnsi" w:cs="Arial"/>
          <w:szCs w:val="20"/>
        </w:rPr>
        <w:t xml:space="preserve">publication of the </w:t>
      </w:r>
      <w:r w:rsidRPr="00FE308C">
        <w:rPr>
          <w:rFonts w:asciiTheme="minorHAnsi" w:hAnsiTheme="minorHAnsi" w:cs="Arial"/>
          <w:i/>
          <w:szCs w:val="20"/>
        </w:rPr>
        <w:t>U.S. Cancer Statistics</w:t>
      </w:r>
      <w:r w:rsidRPr="00FE308C">
        <w:rPr>
          <w:rFonts w:asciiTheme="minorHAnsi" w:hAnsiTheme="minorHAnsi" w:cs="Arial"/>
          <w:szCs w:val="20"/>
        </w:rPr>
        <w:t>, Kaposi’s sarcoma and mesothelioma are considered separate sites based on distinct histology codes.</w:t>
      </w:r>
    </w:p>
    <w:p w14:paraId="3F317C72" w14:textId="574E03A8" w:rsidR="002A7213" w:rsidRPr="00FE308C" w:rsidRDefault="00151BB8" w:rsidP="002A7213">
      <w:pPr>
        <w:pStyle w:val="Heading3"/>
        <w:spacing w:before="120" w:after="120"/>
        <w:rPr>
          <w:rFonts w:asciiTheme="minorHAnsi" w:hAnsiTheme="minorHAnsi"/>
          <w:b/>
        </w:rPr>
      </w:pPr>
      <w:r w:rsidRPr="00FE308C">
        <w:rPr>
          <w:rFonts w:asciiTheme="minorHAnsi" w:hAnsiTheme="minorHAnsi"/>
          <w:b/>
        </w:rPr>
        <w:t>United States Cancer Statistics (USCS)</w:t>
      </w:r>
    </w:p>
    <w:p w14:paraId="1A448BDB" w14:textId="153D8995" w:rsidR="0082245B" w:rsidRPr="00FE308C" w:rsidRDefault="0082245B" w:rsidP="0082245B">
      <w:pPr>
        <w:pStyle w:val="NormalWeb"/>
        <w:rPr>
          <w:rFonts w:asciiTheme="minorHAnsi" w:hAnsiTheme="minorHAnsi" w:cstheme="minorHAnsi"/>
          <w:color w:val="000000"/>
          <w:sz w:val="22"/>
          <w:szCs w:val="22"/>
        </w:rPr>
      </w:pPr>
      <w:r w:rsidRPr="00FE308C">
        <w:rPr>
          <w:rFonts w:asciiTheme="minorHAnsi" w:hAnsiTheme="minorHAnsi" w:cstheme="minorHAnsi"/>
          <w:color w:val="000000"/>
          <w:sz w:val="22"/>
          <w:szCs w:val="22"/>
        </w:rPr>
        <w:t xml:space="preserve">U.S. incidence data were obtained from United States Cancer Statistics (USCS) which consists of data from cancer registries participating in the Centers for Disease Control and Prevention’s (CDC’s) National Program </w:t>
      </w:r>
      <w:r w:rsidR="00E95315">
        <w:rPr>
          <w:rFonts w:asciiTheme="minorHAnsi" w:hAnsiTheme="minorHAnsi" w:cstheme="minorHAnsi"/>
          <w:color w:val="000000"/>
          <w:sz w:val="22"/>
          <w:szCs w:val="22"/>
        </w:rPr>
        <w:t xml:space="preserve">of Cancer Registries (NPCR) </w:t>
      </w:r>
      <w:r w:rsidRPr="00FE308C">
        <w:rPr>
          <w:rFonts w:asciiTheme="minorHAnsi" w:hAnsiTheme="minorHAnsi" w:cstheme="minorHAnsi"/>
          <w:color w:val="000000"/>
          <w:sz w:val="22"/>
          <w:szCs w:val="22"/>
        </w:rPr>
        <w:t xml:space="preserve">and </w:t>
      </w:r>
      <w:r w:rsidR="00105926">
        <w:rPr>
          <w:rFonts w:asciiTheme="minorHAnsi" w:hAnsiTheme="minorHAnsi" w:cstheme="minorHAnsi"/>
          <w:color w:val="000000"/>
          <w:sz w:val="22"/>
          <w:szCs w:val="22"/>
        </w:rPr>
        <w:t xml:space="preserve">the </w:t>
      </w:r>
      <w:r w:rsidRPr="00FE308C">
        <w:rPr>
          <w:rFonts w:asciiTheme="minorHAnsi" w:hAnsiTheme="minorHAnsi" w:cstheme="minorHAnsi"/>
          <w:color w:val="000000"/>
          <w:sz w:val="22"/>
          <w:szCs w:val="22"/>
        </w:rPr>
        <w:t xml:space="preserve">National Cancer Institute’s (NCI) Surveillance, Epidemiology, and End Results (SEER) Program. </w:t>
      </w:r>
      <w:r w:rsidR="00517B1C">
        <w:rPr>
          <w:rFonts w:asciiTheme="minorHAnsi" w:hAnsiTheme="minorHAnsi" w:cstheme="minorHAnsi"/>
          <w:color w:val="000000"/>
          <w:sz w:val="22"/>
          <w:szCs w:val="22"/>
        </w:rPr>
        <w:t xml:space="preserve"> </w:t>
      </w:r>
      <w:r w:rsidRPr="00FE308C">
        <w:rPr>
          <w:rFonts w:asciiTheme="minorHAnsi" w:hAnsiTheme="minorHAnsi" w:cstheme="minorHAnsi"/>
          <w:color w:val="000000"/>
          <w:sz w:val="22"/>
          <w:szCs w:val="22"/>
        </w:rPr>
        <w:t>Incidence data are included from selected cancer registries meeting U.S. Cancer Statistics data quality criteria covering 99% of the U.S. population.</w:t>
      </w:r>
    </w:p>
    <w:p w14:paraId="56A97F42" w14:textId="61B00C48" w:rsidR="00CD233D" w:rsidRDefault="0082245B" w:rsidP="00804086">
      <w:pPr>
        <w:spacing w:before="100" w:beforeAutospacing="1" w:after="100" w:afterAutospacing="1" w:line="240" w:lineRule="auto"/>
        <w:rPr>
          <w:rFonts w:asciiTheme="minorHAnsi" w:eastAsia="Times New Roman" w:hAnsiTheme="minorHAnsi" w:cstheme="minorHAnsi"/>
          <w:color w:val="000000"/>
        </w:rPr>
      </w:pPr>
      <w:r w:rsidRPr="00FE308C">
        <w:rPr>
          <w:rFonts w:asciiTheme="minorHAnsi" w:eastAsia="Times New Roman" w:hAnsiTheme="minorHAnsi" w:cstheme="minorHAnsi"/>
          <w:color w:val="000000"/>
        </w:rPr>
        <w:t xml:space="preserve">Historically, Delaware’s cancer incidence rates were compared to cancer incidence rates calculated using data from the SEER program, which began in 1973 with data collected from nine SEER program cancer registries (SEER-9). </w:t>
      </w:r>
      <w:r w:rsidR="00517B1C">
        <w:rPr>
          <w:rFonts w:asciiTheme="minorHAnsi" w:eastAsia="Times New Roman" w:hAnsiTheme="minorHAnsi" w:cstheme="minorHAnsi"/>
          <w:color w:val="000000"/>
        </w:rPr>
        <w:t xml:space="preserve"> </w:t>
      </w:r>
      <w:r w:rsidRPr="00FE308C">
        <w:rPr>
          <w:rFonts w:asciiTheme="minorHAnsi" w:eastAsia="Times New Roman" w:hAnsiTheme="minorHAnsi" w:cstheme="minorHAnsi"/>
          <w:color w:val="000000"/>
        </w:rPr>
        <w:t xml:space="preserve">Over time, the number of SEER program registries expanded. </w:t>
      </w:r>
      <w:r w:rsidR="00517B1C">
        <w:rPr>
          <w:rFonts w:asciiTheme="minorHAnsi" w:eastAsia="Times New Roman" w:hAnsiTheme="minorHAnsi" w:cstheme="minorHAnsi"/>
          <w:color w:val="000000"/>
        </w:rPr>
        <w:t xml:space="preserve"> </w:t>
      </w:r>
      <w:r w:rsidRPr="00FE308C">
        <w:rPr>
          <w:rFonts w:asciiTheme="minorHAnsi" w:eastAsia="Times New Roman" w:hAnsiTheme="minorHAnsi" w:cstheme="minorHAnsi"/>
          <w:color w:val="000000"/>
        </w:rPr>
        <w:t xml:space="preserve">In 2009, the </w:t>
      </w:r>
      <w:r w:rsidR="00517B1C">
        <w:rPr>
          <w:rFonts w:asciiTheme="minorHAnsi" w:eastAsia="Times New Roman" w:hAnsiTheme="minorHAnsi" w:cstheme="minorHAnsi"/>
          <w:color w:val="000000"/>
        </w:rPr>
        <w:t xml:space="preserve">Delaware Department of Health and Social Services (DHSS), </w:t>
      </w:r>
      <w:r w:rsidRPr="00FE308C">
        <w:rPr>
          <w:rFonts w:asciiTheme="minorHAnsi" w:eastAsia="Times New Roman" w:hAnsiTheme="minorHAnsi" w:cstheme="minorHAnsi"/>
          <w:color w:val="000000"/>
        </w:rPr>
        <w:t xml:space="preserve">Division of Public Health (DPH) and the Delaware Cancer Consortium (DCC) began using cancer incidence rates based on 18 population-based registries as a comparison for Delaware’s cancer incidence rates. </w:t>
      </w:r>
      <w:r w:rsidR="00517B1C">
        <w:rPr>
          <w:rFonts w:asciiTheme="minorHAnsi" w:eastAsia="Times New Roman" w:hAnsiTheme="minorHAnsi" w:cstheme="minorHAnsi"/>
          <w:color w:val="000000"/>
        </w:rPr>
        <w:t xml:space="preserve"> </w:t>
      </w:r>
      <w:r w:rsidRPr="00FE308C">
        <w:rPr>
          <w:rFonts w:asciiTheme="minorHAnsi" w:eastAsia="Times New Roman" w:hAnsiTheme="minorHAnsi" w:cstheme="minorHAnsi"/>
          <w:color w:val="000000"/>
        </w:rPr>
        <w:t xml:space="preserve">Starting with the </w:t>
      </w:r>
      <w:r w:rsidR="00804086" w:rsidRPr="006D51FB">
        <w:rPr>
          <w:rFonts w:asciiTheme="minorHAnsi" w:eastAsia="Times New Roman" w:hAnsiTheme="minorHAnsi" w:cstheme="minorHAnsi"/>
          <w:i/>
          <w:iCs/>
          <w:color w:val="000000"/>
        </w:rPr>
        <w:t>C</w:t>
      </w:r>
      <w:r w:rsidR="0038029B" w:rsidRPr="006D51FB">
        <w:rPr>
          <w:rFonts w:asciiTheme="minorHAnsi" w:eastAsia="Times New Roman" w:hAnsiTheme="minorHAnsi" w:cstheme="minorHAnsi"/>
          <w:i/>
          <w:iCs/>
          <w:color w:val="000000"/>
        </w:rPr>
        <w:t xml:space="preserve">ancer </w:t>
      </w:r>
      <w:r w:rsidR="00804086" w:rsidRPr="006D51FB">
        <w:rPr>
          <w:rFonts w:asciiTheme="minorHAnsi" w:eastAsia="Times New Roman" w:hAnsiTheme="minorHAnsi" w:cstheme="minorHAnsi"/>
          <w:i/>
          <w:iCs/>
          <w:color w:val="000000"/>
        </w:rPr>
        <w:t>I</w:t>
      </w:r>
      <w:r w:rsidR="0038029B" w:rsidRPr="006D51FB">
        <w:rPr>
          <w:rFonts w:asciiTheme="minorHAnsi" w:eastAsia="Times New Roman" w:hAnsiTheme="minorHAnsi" w:cstheme="minorHAnsi"/>
          <w:i/>
          <w:iCs/>
          <w:color w:val="000000"/>
        </w:rPr>
        <w:t>ncidence</w:t>
      </w:r>
      <w:r w:rsidR="00804086" w:rsidRPr="006D51FB">
        <w:rPr>
          <w:rFonts w:asciiTheme="minorHAnsi" w:eastAsia="Times New Roman" w:hAnsiTheme="minorHAnsi" w:cstheme="minorHAnsi"/>
          <w:i/>
          <w:iCs/>
          <w:color w:val="000000"/>
        </w:rPr>
        <w:t xml:space="preserve"> </w:t>
      </w:r>
      <w:r w:rsidR="0038029B" w:rsidRPr="006D51FB">
        <w:rPr>
          <w:rFonts w:asciiTheme="minorHAnsi" w:eastAsia="Times New Roman" w:hAnsiTheme="minorHAnsi" w:cstheme="minorHAnsi"/>
          <w:i/>
          <w:iCs/>
          <w:color w:val="000000"/>
        </w:rPr>
        <w:t>and</w:t>
      </w:r>
      <w:r w:rsidR="00804086" w:rsidRPr="006D51FB">
        <w:rPr>
          <w:rFonts w:asciiTheme="minorHAnsi" w:eastAsia="Times New Roman" w:hAnsiTheme="minorHAnsi" w:cstheme="minorHAnsi"/>
          <w:i/>
          <w:iCs/>
          <w:color w:val="000000"/>
        </w:rPr>
        <w:t xml:space="preserve"> M</w:t>
      </w:r>
      <w:r w:rsidR="0038029B" w:rsidRPr="006D51FB">
        <w:rPr>
          <w:rFonts w:asciiTheme="minorHAnsi" w:eastAsia="Times New Roman" w:hAnsiTheme="minorHAnsi" w:cstheme="minorHAnsi"/>
          <w:i/>
          <w:iCs/>
          <w:color w:val="000000"/>
        </w:rPr>
        <w:t xml:space="preserve">ortality in </w:t>
      </w:r>
      <w:r w:rsidR="00804086" w:rsidRPr="006D51FB">
        <w:rPr>
          <w:rFonts w:asciiTheme="minorHAnsi" w:eastAsia="Times New Roman" w:hAnsiTheme="minorHAnsi" w:cstheme="minorHAnsi"/>
          <w:i/>
          <w:iCs/>
          <w:color w:val="000000"/>
        </w:rPr>
        <w:t>D</w:t>
      </w:r>
      <w:r w:rsidR="0038029B" w:rsidRPr="006D51FB">
        <w:rPr>
          <w:rFonts w:asciiTheme="minorHAnsi" w:eastAsia="Times New Roman" w:hAnsiTheme="minorHAnsi" w:cstheme="minorHAnsi"/>
          <w:i/>
          <w:iCs/>
          <w:color w:val="000000"/>
        </w:rPr>
        <w:t>elaware</w:t>
      </w:r>
      <w:r w:rsidR="00804086" w:rsidRPr="006D51FB">
        <w:rPr>
          <w:rFonts w:asciiTheme="minorHAnsi" w:eastAsia="Times New Roman" w:hAnsiTheme="minorHAnsi" w:cstheme="minorHAnsi"/>
          <w:i/>
          <w:iCs/>
          <w:color w:val="000000"/>
        </w:rPr>
        <w:t>, 2015-2019</w:t>
      </w:r>
      <w:r w:rsidR="00804086">
        <w:rPr>
          <w:rFonts w:asciiTheme="minorHAnsi" w:eastAsia="Times New Roman" w:hAnsiTheme="minorHAnsi" w:cstheme="minorHAnsi"/>
          <w:color w:val="000000"/>
        </w:rPr>
        <w:t xml:space="preserve"> report</w:t>
      </w:r>
      <w:r w:rsidRPr="00FE308C">
        <w:rPr>
          <w:rFonts w:asciiTheme="minorHAnsi" w:eastAsia="Times New Roman" w:hAnsiTheme="minorHAnsi" w:cstheme="minorHAnsi"/>
          <w:color w:val="000000"/>
        </w:rPr>
        <w:t>, USCS data was used to align with national statistics presented by national standard</w:t>
      </w:r>
      <w:r w:rsidR="00DB1926">
        <w:rPr>
          <w:rFonts w:asciiTheme="minorHAnsi" w:eastAsia="Times New Roman" w:hAnsiTheme="minorHAnsi" w:cstheme="minorHAnsi"/>
          <w:color w:val="000000"/>
        </w:rPr>
        <w:t>-</w:t>
      </w:r>
      <w:r w:rsidRPr="00FE308C">
        <w:rPr>
          <w:rFonts w:asciiTheme="minorHAnsi" w:eastAsia="Times New Roman" w:hAnsiTheme="minorHAnsi" w:cstheme="minorHAnsi"/>
          <w:color w:val="000000"/>
        </w:rPr>
        <w:t xml:space="preserve">setters that includes the most comprehensive data covering </w:t>
      </w:r>
      <w:proofErr w:type="gramStart"/>
      <w:r w:rsidRPr="00FE308C">
        <w:rPr>
          <w:rFonts w:asciiTheme="minorHAnsi" w:eastAsia="Times New Roman" w:hAnsiTheme="minorHAnsi" w:cstheme="minorHAnsi"/>
          <w:color w:val="000000"/>
        </w:rPr>
        <w:t>a majority of</w:t>
      </w:r>
      <w:proofErr w:type="gramEnd"/>
      <w:r w:rsidRPr="00FE308C">
        <w:rPr>
          <w:rFonts w:asciiTheme="minorHAnsi" w:eastAsia="Times New Roman" w:hAnsiTheme="minorHAnsi" w:cstheme="minorHAnsi"/>
          <w:color w:val="000000"/>
        </w:rPr>
        <w:t xml:space="preserve"> the U.S. population.</w:t>
      </w:r>
    </w:p>
    <w:p w14:paraId="06C80396" w14:textId="500915F0" w:rsidR="00C17B3D" w:rsidRDefault="00C17B3D">
      <w:pPr>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14:paraId="079B7ED8" w14:textId="77777777" w:rsidR="00517B1C" w:rsidRPr="00AC43E4" w:rsidRDefault="00517B1C" w:rsidP="00AC43E4">
      <w:pPr>
        <w:spacing w:before="100" w:beforeAutospacing="1" w:after="100" w:afterAutospacing="1" w:line="240" w:lineRule="auto"/>
        <w:rPr>
          <w:rFonts w:asciiTheme="minorHAnsi" w:eastAsia="Times New Roman" w:hAnsiTheme="minorHAnsi" w:cstheme="minorHAnsi"/>
          <w:color w:val="000000"/>
        </w:rPr>
      </w:pPr>
    </w:p>
    <w:p w14:paraId="6BDCBAF1" w14:textId="59EA8688" w:rsidR="002A7213" w:rsidRPr="00342589" w:rsidRDefault="002A7213" w:rsidP="00E01C9E">
      <w:pPr>
        <w:pStyle w:val="Heading2"/>
      </w:pPr>
      <w:bookmarkStart w:id="5340" w:name="_Toc135759758"/>
      <w:bookmarkStart w:id="5341" w:name="_Toc139340420"/>
      <w:bookmarkStart w:id="5342" w:name="_Toc140394119"/>
      <w:bookmarkStart w:id="5343" w:name="_Toc140396385"/>
      <w:r w:rsidRPr="00342589">
        <w:t>Cancer Mortality Data</w:t>
      </w:r>
      <w:bookmarkEnd w:id="5340"/>
      <w:bookmarkEnd w:id="5341"/>
      <w:bookmarkEnd w:id="5342"/>
      <w:bookmarkEnd w:id="5343"/>
    </w:p>
    <w:p w14:paraId="0DFC9C80" w14:textId="77777777" w:rsidR="002A7213" w:rsidRPr="002A7213" w:rsidRDefault="002A7213" w:rsidP="002A7213">
      <w:pPr>
        <w:pStyle w:val="Heading3"/>
        <w:spacing w:before="120" w:after="120"/>
        <w:rPr>
          <w:rFonts w:asciiTheme="minorHAnsi" w:hAnsiTheme="minorHAnsi"/>
          <w:b/>
        </w:rPr>
      </w:pPr>
      <w:r w:rsidRPr="002A7213">
        <w:rPr>
          <w:rFonts w:asciiTheme="minorHAnsi" w:hAnsiTheme="minorHAnsi"/>
          <w:b/>
        </w:rPr>
        <w:t>Delaware Health Statistics Center</w:t>
      </w:r>
    </w:p>
    <w:p w14:paraId="2F0C922C" w14:textId="74D3E87A" w:rsidR="002A7213" w:rsidRPr="00FE308C" w:rsidRDefault="002A7213" w:rsidP="002A7213">
      <w:pPr>
        <w:tabs>
          <w:tab w:val="left" w:pos="2113"/>
        </w:tabs>
        <w:spacing w:after="120" w:line="240" w:lineRule="auto"/>
        <w:rPr>
          <w:rFonts w:asciiTheme="minorHAnsi" w:hAnsiTheme="minorHAnsi" w:cs="Arial"/>
          <w:szCs w:val="20"/>
        </w:rPr>
      </w:pPr>
      <w:r w:rsidRPr="00FE308C">
        <w:rPr>
          <w:rFonts w:asciiTheme="minorHAnsi" w:hAnsiTheme="minorHAnsi" w:cs="Arial"/>
          <w:szCs w:val="20"/>
        </w:rPr>
        <w:t xml:space="preserve">Mortality data are provided by the Delaware Health Statistics Center </w:t>
      </w:r>
      <w:r w:rsidR="003C1B02" w:rsidRPr="00FE308C">
        <w:rPr>
          <w:rFonts w:asciiTheme="minorHAnsi" w:hAnsiTheme="minorHAnsi" w:cs="Arial"/>
          <w:szCs w:val="20"/>
        </w:rPr>
        <w:t xml:space="preserve">(DHSC) </w:t>
      </w:r>
      <w:r w:rsidRPr="00FE308C">
        <w:rPr>
          <w:rFonts w:asciiTheme="minorHAnsi" w:hAnsiTheme="minorHAnsi" w:cs="Arial"/>
          <w:szCs w:val="20"/>
        </w:rPr>
        <w:t xml:space="preserve">for all death certificates filed in Delaware </w:t>
      </w:r>
      <w:r w:rsidR="002A308B" w:rsidRPr="00FE308C">
        <w:rPr>
          <w:rFonts w:asciiTheme="minorHAnsi" w:hAnsiTheme="minorHAnsi" w:cs="Arial"/>
          <w:szCs w:val="20"/>
        </w:rPr>
        <w:t>from 20</w:t>
      </w:r>
      <w:r w:rsidR="00784AB0" w:rsidRPr="00FE308C">
        <w:rPr>
          <w:rFonts w:asciiTheme="minorHAnsi" w:hAnsiTheme="minorHAnsi" w:cs="Arial"/>
          <w:szCs w:val="20"/>
        </w:rPr>
        <w:t>0</w:t>
      </w:r>
      <w:r w:rsidR="007C2BAE">
        <w:rPr>
          <w:rFonts w:asciiTheme="minorHAnsi" w:hAnsiTheme="minorHAnsi" w:cs="Arial"/>
          <w:szCs w:val="20"/>
        </w:rPr>
        <w:t>7</w:t>
      </w:r>
      <w:r w:rsidR="002A308B" w:rsidRPr="00FE308C">
        <w:rPr>
          <w:rFonts w:asciiTheme="minorHAnsi" w:hAnsiTheme="minorHAnsi" w:cs="Arial"/>
          <w:szCs w:val="20"/>
        </w:rPr>
        <w:t xml:space="preserve"> through 20</w:t>
      </w:r>
      <w:r w:rsidR="002F581B">
        <w:rPr>
          <w:rFonts w:asciiTheme="minorHAnsi" w:hAnsiTheme="minorHAnsi" w:cs="Arial"/>
          <w:szCs w:val="20"/>
        </w:rPr>
        <w:t>2</w:t>
      </w:r>
      <w:r w:rsidR="007C2BAE">
        <w:rPr>
          <w:rFonts w:asciiTheme="minorHAnsi" w:hAnsiTheme="minorHAnsi" w:cs="Arial"/>
          <w:szCs w:val="20"/>
        </w:rPr>
        <w:t>1</w:t>
      </w:r>
      <w:r w:rsidRPr="00FE308C">
        <w:rPr>
          <w:rFonts w:asciiTheme="minorHAnsi" w:hAnsiTheme="minorHAnsi" w:cs="Arial"/>
          <w:szCs w:val="20"/>
        </w:rPr>
        <w:t xml:space="preserve">.  </w:t>
      </w:r>
      <w:r w:rsidR="002A308B" w:rsidRPr="00FE308C">
        <w:rPr>
          <w:rFonts w:asciiTheme="minorHAnsi" w:hAnsiTheme="minorHAnsi" w:cs="Arial"/>
          <w:szCs w:val="20"/>
        </w:rPr>
        <w:t>Trend analys</w:t>
      </w:r>
      <w:r w:rsidR="00784AB0" w:rsidRPr="00FE308C">
        <w:rPr>
          <w:rFonts w:asciiTheme="minorHAnsi" w:hAnsiTheme="minorHAnsi" w:cs="Arial"/>
          <w:szCs w:val="20"/>
        </w:rPr>
        <w:t>e</w:t>
      </w:r>
      <w:r w:rsidR="002A308B" w:rsidRPr="00FE308C">
        <w:rPr>
          <w:rFonts w:asciiTheme="minorHAnsi" w:hAnsiTheme="minorHAnsi" w:cs="Arial"/>
          <w:szCs w:val="20"/>
        </w:rPr>
        <w:t>s</w:t>
      </w:r>
      <w:r w:rsidRPr="00FE308C">
        <w:rPr>
          <w:rFonts w:asciiTheme="minorHAnsi" w:hAnsiTheme="minorHAnsi" w:cs="Arial"/>
          <w:szCs w:val="20"/>
        </w:rPr>
        <w:t xml:space="preserve"> </w:t>
      </w:r>
      <w:r w:rsidR="00442F96" w:rsidRPr="00FE308C">
        <w:rPr>
          <w:rFonts w:asciiTheme="minorHAnsi" w:hAnsiTheme="minorHAnsi" w:cs="Arial"/>
          <w:szCs w:val="20"/>
        </w:rPr>
        <w:t xml:space="preserve">for cancer mortality </w:t>
      </w:r>
      <w:r w:rsidRPr="00FE308C">
        <w:rPr>
          <w:rFonts w:asciiTheme="minorHAnsi" w:hAnsiTheme="minorHAnsi" w:cs="Arial"/>
          <w:szCs w:val="20"/>
        </w:rPr>
        <w:t xml:space="preserve">are based on deaths that occurred </w:t>
      </w:r>
      <w:r w:rsidR="00784AB0" w:rsidRPr="00FE308C">
        <w:rPr>
          <w:rFonts w:asciiTheme="minorHAnsi" w:hAnsiTheme="minorHAnsi" w:cs="Arial"/>
          <w:szCs w:val="20"/>
        </w:rPr>
        <w:t>f</w:t>
      </w:r>
      <w:r w:rsidRPr="00FE308C">
        <w:rPr>
          <w:rFonts w:asciiTheme="minorHAnsi" w:hAnsiTheme="minorHAnsi" w:cs="Arial"/>
          <w:szCs w:val="20"/>
        </w:rPr>
        <w:t xml:space="preserve">rom January 1, </w:t>
      </w:r>
      <w:proofErr w:type="gramStart"/>
      <w:r w:rsidR="00E74072" w:rsidRPr="00FE308C">
        <w:rPr>
          <w:rFonts w:asciiTheme="minorHAnsi" w:hAnsiTheme="minorHAnsi" w:cs="Arial"/>
          <w:szCs w:val="20"/>
        </w:rPr>
        <w:t>20</w:t>
      </w:r>
      <w:r w:rsidR="00784AB0" w:rsidRPr="00FE308C">
        <w:rPr>
          <w:rFonts w:asciiTheme="minorHAnsi" w:hAnsiTheme="minorHAnsi" w:cs="Arial"/>
          <w:szCs w:val="20"/>
        </w:rPr>
        <w:t>0</w:t>
      </w:r>
      <w:r w:rsidR="007C2BAE">
        <w:rPr>
          <w:rFonts w:asciiTheme="minorHAnsi" w:hAnsiTheme="minorHAnsi" w:cs="Arial"/>
          <w:szCs w:val="20"/>
        </w:rPr>
        <w:t>7</w:t>
      </w:r>
      <w:proofErr w:type="gramEnd"/>
      <w:r w:rsidR="00E74072" w:rsidRPr="00FE308C">
        <w:rPr>
          <w:rFonts w:asciiTheme="minorHAnsi" w:hAnsiTheme="minorHAnsi" w:cs="Arial"/>
          <w:szCs w:val="20"/>
        </w:rPr>
        <w:t xml:space="preserve"> </w:t>
      </w:r>
      <w:r w:rsidRPr="00FE308C">
        <w:rPr>
          <w:rFonts w:asciiTheme="minorHAnsi" w:hAnsiTheme="minorHAnsi" w:cs="Arial"/>
          <w:szCs w:val="20"/>
        </w:rPr>
        <w:t>to December 31, 20</w:t>
      </w:r>
      <w:r w:rsidR="002F581B">
        <w:rPr>
          <w:rFonts w:asciiTheme="minorHAnsi" w:hAnsiTheme="minorHAnsi" w:cs="Arial"/>
          <w:szCs w:val="20"/>
        </w:rPr>
        <w:t>2</w:t>
      </w:r>
      <w:r w:rsidR="007C2BAE">
        <w:rPr>
          <w:rFonts w:asciiTheme="minorHAnsi" w:hAnsiTheme="minorHAnsi" w:cs="Arial"/>
          <w:szCs w:val="20"/>
        </w:rPr>
        <w:t>1</w:t>
      </w:r>
      <w:r w:rsidRPr="00FE308C">
        <w:rPr>
          <w:rFonts w:asciiTheme="minorHAnsi" w:hAnsiTheme="minorHAnsi" w:cs="Arial"/>
          <w:szCs w:val="20"/>
        </w:rPr>
        <w:t xml:space="preserve">.  </w:t>
      </w:r>
    </w:p>
    <w:p w14:paraId="10507A41" w14:textId="1DC744EB" w:rsidR="002A7213" w:rsidRPr="00FE308C" w:rsidRDefault="002A7213" w:rsidP="002A7213">
      <w:pPr>
        <w:spacing w:after="120" w:line="240" w:lineRule="auto"/>
        <w:rPr>
          <w:rFonts w:asciiTheme="minorHAnsi" w:hAnsiTheme="minorHAnsi" w:cs="Arial"/>
          <w:szCs w:val="20"/>
        </w:rPr>
      </w:pPr>
      <w:r w:rsidRPr="00FE308C">
        <w:rPr>
          <w:rFonts w:asciiTheme="minorHAnsi" w:hAnsiTheme="minorHAnsi" w:cs="Arial"/>
          <w:szCs w:val="20"/>
        </w:rPr>
        <w:t>For deaths that occurred from 1999 to the present, the International Classification of Diseases, Tenth Edition (ICD-10) is used to code cause of death.  To determine the underlying cause of death, the sequence of events leading to the individual’s death are recorded on the death certificate and run through the Automated Classification of Medical Entities (ACME) software used by the National Center for Health Statistics</w:t>
      </w:r>
      <w:r w:rsidR="00A03C3D" w:rsidRPr="00FE308C">
        <w:rPr>
          <w:rFonts w:asciiTheme="minorHAnsi" w:hAnsiTheme="minorHAnsi" w:cs="Arial"/>
          <w:szCs w:val="20"/>
        </w:rPr>
        <w:t xml:space="preserve"> (NCHS)</w:t>
      </w:r>
      <w:r w:rsidRPr="00FE308C">
        <w:rPr>
          <w:rFonts w:asciiTheme="minorHAnsi" w:hAnsiTheme="minorHAnsi" w:cs="Arial"/>
          <w:szCs w:val="20"/>
        </w:rPr>
        <w:t xml:space="preserve">.  This program uses a series of rules and hierarchies of events to select the most appropriate underlying cause of death. </w:t>
      </w:r>
    </w:p>
    <w:p w14:paraId="7A6EC209" w14:textId="77777777" w:rsidR="002A7213" w:rsidRPr="002A7213" w:rsidRDefault="002A7213" w:rsidP="002A7213">
      <w:pPr>
        <w:pStyle w:val="Heading3"/>
        <w:spacing w:before="120" w:after="120"/>
        <w:rPr>
          <w:rFonts w:asciiTheme="minorHAnsi" w:hAnsiTheme="minorHAnsi"/>
          <w:b/>
        </w:rPr>
      </w:pPr>
      <w:r w:rsidRPr="002A7213">
        <w:rPr>
          <w:rFonts w:asciiTheme="minorHAnsi" w:hAnsiTheme="minorHAnsi"/>
          <w:b/>
        </w:rPr>
        <w:t>National Center for Health Statistics</w:t>
      </w:r>
    </w:p>
    <w:p w14:paraId="0616DCD7" w14:textId="2CC80433" w:rsidR="002A7213" w:rsidRPr="00990EBC" w:rsidRDefault="002A7213" w:rsidP="002A7213">
      <w:pPr>
        <w:spacing w:after="120" w:line="240" w:lineRule="auto"/>
        <w:rPr>
          <w:rFonts w:asciiTheme="minorHAnsi" w:hAnsiTheme="minorHAnsi" w:cs="Arial"/>
          <w:bCs/>
          <w:szCs w:val="20"/>
        </w:rPr>
      </w:pPr>
      <w:r w:rsidRPr="00FE308C">
        <w:rPr>
          <w:rFonts w:asciiTheme="minorHAnsi" w:hAnsiTheme="minorHAnsi" w:cs="Arial"/>
          <w:bCs/>
          <w:szCs w:val="20"/>
        </w:rPr>
        <w:t>U.S. mortality data were obtained from the NCHS.  U.S. mortality data are compiled from all death certificates filed in the 50 states and the District of Columbia from 1980 through 20</w:t>
      </w:r>
      <w:r w:rsidR="00FE308C">
        <w:rPr>
          <w:rFonts w:asciiTheme="minorHAnsi" w:hAnsiTheme="minorHAnsi" w:cs="Arial"/>
          <w:bCs/>
          <w:szCs w:val="20"/>
        </w:rPr>
        <w:t>2</w:t>
      </w:r>
      <w:r w:rsidR="007C2BAE">
        <w:rPr>
          <w:rFonts w:asciiTheme="minorHAnsi" w:hAnsiTheme="minorHAnsi" w:cs="Arial"/>
          <w:bCs/>
          <w:szCs w:val="20"/>
        </w:rPr>
        <w:t>2</w:t>
      </w:r>
      <w:r w:rsidRPr="00FE308C">
        <w:rPr>
          <w:rFonts w:asciiTheme="minorHAnsi" w:hAnsiTheme="minorHAnsi" w:cs="Arial"/>
          <w:bCs/>
          <w:szCs w:val="20"/>
        </w:rPr>
        <w:t>.  Cause of death was coded by NCHS in accordance with World Health Organization regulations that stipulate that cancer deaths be coded using the most current revision of the International Classification of Diseases.  As in Delaware, deaths that occurred prior to 1999 in the U.S. are coded using ICD-9 and beginning with 1999 deaths are coded using ICD-1</w:t>
      </w:r>
      <w:r w:rsidRPr="00990EBC">
        <w:rPr>
          <w:rFonts w:asciiTheme="minorHAnsi" w:hAnsiTheme="minorHAnsi" w:cs="Arial"/>
          <w:bCs/>
          <w:szCs w:val="20"/>
        </w:rPr>
        <w:t>0.  These U.S. mortality data were accessed through SEER*Stat</w:t>
      </w:r>
      <w:r w:rsidRPr="00990EBC">
        <w:rPr>
          <w:rStyle w:val="FootnoteReference"/>
          <w:rFonts w:asciiTheme="minorHAnsi" w:hAnsiTheme="minorHAnsi" w:cs="Arial"/>
          <w:bCs/>
          <w:szCs w:val="20"/>
        </w:rPr>
        <w:footnoteReference w:id="16"/>
      </w:r>
      <w:r w:rsidRPr="00990EBC">
        <w:rPr>
          <w:rFonts w:asciiTheme="minorHAnsi" w:hAnsiTheme="minorHAnsi" w:cs="Arial"/>
          <w:bCs/>
          <w:szCs w:val="20"/>
        </w:rPr>
        <w:t>.</w:t>
      </w:r>
    </w:p>
    <w:p w14:paraId="3622EA77" w14:textId="297388D1" w:rsidR="002A7213" w:rsidRPr="00990EBC" w:rsidRDefault="002A7213" w:rsidP="00E01C9E">
      <w:pPr>
        <w:pStyle w:val="Heading2"/>
      </w:pPr>
      <w:r w:rsidRPr="00990EBC">
        <w:t xml:space="preserve">Population Estimates, </w:t>
      </w:r>
      <w:r w:rsidR="007C2BAE">
        <w:t>2017-2021</w:t>
      </w:r>
    </w:p>
    <w:p w14:paraId="1AB9A9F9" w14:textId="78CEA4D6" w:rsidR="00960603" w:rsidRPr="00DE5E8C" w:rsidRDefault="002A7213" w:rsidP="00960603">
      <w:pPr>
        <w:pStyle w:val="pf0"/>
        <w:rPr>
          <w:rFonts w:asciiTheme="minorHAnsi" w:hAnsiTheme="minorHAnsi" w:cstheme="minorHAnsi"/>
          <w:sz w:val="22"/>
          <w:szCs w:val="22"/>
        </w:rPr>
      </w:pPr>
      <w:r w:rsidRPr="00DE5E8C">
        <w:rPr>
          <w:rFonts w:asciiTheme="minorHAnsi" w:hAnsiTheme="minorHAnsi" w:cstheme="minorHAnsi"/>
          <w:sz w:val="22"/>
          <w:szCs w:val="22"/>
        </w:rPr>
        <w:t>Cancer incidence and mortality rates for the U.S. are calculated using population totals estimated by the U.S. Census.  Delaware rates are based on population estimates released by the U.S. Census Bureau.</w:t>
      </w:r>
      <w:r w:rsidR="00990EBC" w:rsidRPr="00DE5E8C">
        <w:rPr>
          <w:rFonts w:asciiTheme="minorHAnsi" w:hAnsiTheme="minorHAnsi" w:cstheme="minorHAnsi"/>
          <w:sz w:val="22"/>
          <w:szCs w:val="22"/>
        </w:rPr>
        <w:t xml:space="preserve"> </w:t>
      </w:r>
      <w:r w:rsidR="00517B1C" w:rsidRPr="00DE5E8C">
        <w:rPr>
          <w:rFonts w:asciiTheme="minorHAnsi" w:hAnsiTheme="minorHAnsi" w:cstheme="minorHAnsi"/>
          <w:sz w:val="22"/>
          <w:szCs w:val="22"/>
        </w:rPr>
        <w:t xml:space="preserve"> </w:t>
      </w:r>
      <w:r w:rsidR="00990EBC" w:rsidRPr="00DE5E8C">
        <w:rPr>
          <w:rFonts w:asciiTheme="minorHAnsi" w:hAnsiTheme="minorHAnsi" w:cstheme="minorHAnsi"/>
          <w:sz w:val="22"/>
          <w:szCs w:val="22"/>
        </w:rPr>
        <w:t>Population files are obtained from the</w:t>
      </w:r>
      <w:r w:rsidR="00B35F23" w:rsidRPr="00DE5E8C">
        <w:rPr>
          <w:rFonts w:asciiTheme="minorHAnsi" w:hAnsiTheme="minorHAnsi" w:cstheme="minorHAnsi"/>
          <w:sz w:val="22"/>
          <w:szCs w:val="22"/>
        </w:rPr>
        <w:t xml:space="preserve"> NCI</w:t>
      </w:r>
      <w:r w:rsidR="00990EBC" w:rsidRPr="00DE5E8C">
        <w:rPr>
          <w:rFonts w:asciiTheme="minorHAnsi" w:hAnsiTheme="minorHAnsi" w:cstheme="minorHAnsi"/>
          <w:sz w:val="22"/>
          <w:szCs w:val="22"/>
        </w:rPr>
        <w:t xml:space="preserve"> SEER website.</w:t>
      </w:r>
      <w:r w:rsidR="00990EBC" w:rsidRPr="00DE5E8C">
        <w:rPr>
          <w:rStyle w:val="FootnoteReference"/>
          <w:rFonts w:asciiTheme="minorHAnsi" w:hAnsiTheme="minorHAnsi" w:cstheme="minorHAnsi"/>
          <w:sz w:val="22"/>
          <w:szCs w:val="22"/>
        </w:rPr>
        <w:footnoteReference w:id="17"/>
      </w:r>
      <w:r w:rsidR="008B62BB" w:rsidRPr="00DE5E8C">
        <w:rPr>
          <w:rFonts w:asciiTheme="minorHAnsi" w:hAnsiTheme="minorHAnsi" w:cstheme="minorHAnsi"/>
          <w:sz w:val="22"/>
          <w:szCs w:val="22"/>
        </w:rPr>
        <w:t xml:space="preserve"> </w:t>
      </w:r>
      <w:r w:rsidR="00D402BC">
        <w:rPr>
          <w:rFonts w:asciiTheme="minorHAnsi" w:hAnsiTheme="minorHAnsi" w:cstheme="minorHAnsi"/>
          <w:sz w:val="22"/>
          <w:szCs w:val="22"/>
        </w:rPr>
        <w:t xml:space="preserve"> </w:t>
      </w:r>
      <w:r w:rsidR="008B62BB" w:rsidRPr="00DE5E8C">
        <w:rPr>
          <w:rFonts w:asciiTheme="minorHAnsi" w:hAnsiTheme="minorHAnsi" w:cstheme="minorHAnsi"/>
          <w:sz w:val="22"/>
          <w:szCs w:val="22"/>
        </w:rPr>
        <w:t>W</w:t>
      </w:r>
      <w:r w:rsidR="008B62BB" w:rsidRPr="00DE5E8C">
        <w:rPr>
          <w:rStyle w:val="cf01"/>
          <w:rFonts w:asciiTheme="minorHAnsi" w:hAnsiTheme="minorHAnsi" w:cstheme="minorHAnsi"/>
          <w:sz w:val="22"/>
          <w:szCs w:val="22"/>
        </w:rPr>
        <w:t>hen calculating age-adjusted mortality rates, the CDC utilizes SEER population estimates derived from the U.S. Census</w:t>
      </w:r>
      <w:r w:rsidR="001206D2" w:rsidRPr="00DE5E8C">
        <w:rPr>
          <w:rStyle w:val="cf01"/>
          <w:rFonts w:asciiTheme="minorHAnsi" w:hAnsiTheme="minorHAnsi" w:cstheme="minorHAnsi"/>
          <w:sz w:val="22"/>
          <w:szCs w:val="22"/>
        </w:rPr>
        <w:t xml:space="preserve"> for the denominator</w:t>
      </w:r>
      <w:r w:rsidR="00E6746A" w:rsidRPr="00DE5E8C">
        <w:rPr>
          <w:rStyle w:val="FootnoteReference"/>
          <w:rFonts w:asciiTheme="minorHAnsi" w:hAnsiTheme="minorHAnsi" w:cstheme="minorHAnsi"/>
          <w:sz w:val="22"/>
          <w:szCs w:val="22"/>
        </w:rPr>
        <w:footnoteReference w:id="18"/>
      </w:r>
      <w:r w:rsidR="001B6A83" w:rsidRPr="00DE5E8C">
        <w:rPr>
          <w:rStyle w:val="cf01"/>
          <w:rFonts w:asciiTheme="minorHAnsi" w:hAnsiTheme="minorHAnsi" w:cstheme="minorHAnsi"/>
          <w:sz w:val="22"/>
          <w:szCs w:val="22"/>
        </w:rPr>
        <w:t>.</w:t>
      </w:r>
      <w:r w:rsidR="001206D2" w:rsidRPr="00DE5E8C">
        <w:rPr>
          <w:rStyle w:val="cf01"/>
          <w:rFonts w:asciiTheme="minorHAnsi" w:hAnsiTheme="minorHAnsi" w:cstheme="minorHAnsi"/>
          <w:sz w:val="22"/>
          <w:szCs w:val="22"/>
        </w:rPr>
        <w:t xml:space="preserve">  </w:t>
      </w:r>
      <w:r w:rsidR="00960603" w:rsidRPr="00DE5E8C">
        <w:rPr>
          <w:rStyle w:val="cf01"/>
          <w:rFonts w:asciiTheme="minorHAnsi" w:hAnsiTheme="minorHAnsi" w:cstheme="minorHAnsi"/>
          <w:sz w:val="22"/>
          <w:szCs w:val="22"/>
        </w:rPr>
        <w:t xml:space="preserve">To remain consistent with national reporting of cancer statistics, DPH utilizes </w:t>
      </w:r>
      <w:r w:rsidR="00E6746A" w:rsidRPr="00DE5E8C">
        <w:rPr>
          <w:rStyle w:val="cf01"/>
          <w:rFonts w:asciiTheme="minorHAnsi" w:hAnsiTheme="minorHAnsi" w:cstheme="minorHAnsi"/>
          <w:sz w:val="22"/>
          <w:szCs w:val="22"/>
        </w:rPr>
        <w:t xml:space="preserve">U.S. </w:t>
      </w:r>
      <w:r w:rsidR="00960603" w:rsidRPr="00DE5E8C">
        <w:rPr>
          <w:rStyle w:val="cf01"/>
          <w:rFonts w:asciiTheme="minorHAnsi" w:hAnsiTheme="minorHAnsi" w:cstheme="minorHAnsi"/>
          <w:sz w:val="22"/>
          <w:szCs w:val="22"/>
        </w:rPr>
        <w:t>Census data from SEER.</w:t>
      </w:r>
      <w:r w:rsidR="001B6A83" w:rsidRPr="00DE5E8C">
        <w:rPr>
          <w:rStyle w:val="FootnoteReference"/>
          <w:rFonts w:asciiTheme="minorHAnsi" w:hAnsiTheme="minorHAnsi" w:cstheme="minorHAnsi"/>
          <w:sz w:val="22"/>
          <w:szCs w:val="22"/>
        </w:rPr>
        <w:footnoteReference w:id="19"/>
      </w:r>
      <w:r w:rsidR="00960603" w:rsidRPr="00DE5E8C">
        <w:rPr>
          <w:rStyle w:val="cf01"/>
          <w:rFonts w:asciiTheme="minorHAnsi" w:hAnsiTheme="minorHAnsi" w:cstheme="minorHAnsi"/>
          <w:sz w:val="22"/>
          <w:szCs w:val="22"/>
        </w:rPr>
        <w:t xml:space="preserve"> </w:t>
      </w:r>
    </w:p>
    <w:p w14:paraId="5ED40E4F" w14:textId="77777777" w:rsidR="002A7213" w:rsidRPr="00573F79" w:rsidRDefault="002A7213" w:rsidP="00E01C9E">
      <w:pPr>
        <w:pStyle w:val="Heading2"/>
      </w:pPr>
      <w:r w:rsidRPr="00573F79">
        <w:rPr>
          <w:szCs w:val="20"/>
        </w:rPr>
        <w:t xml:space="preserve"> </w:t>
      </w:r>
      <w:bookmarkStart w:id="5344" w:name="_Toc135759760"/>
      <w:bookmarkStart w:id="5345" w:name="_Toc139340422"/>
      <w:bookmarkStart w:id="5346" w:name="_Toc140394121"/>
      <w:bookmarkStart w:id="5347" w:name="_Toc140396387"/>
      <w:r w:rsidRPr="00573F79">
        <w:t>Risk Factors and Early Detection</w:t>
      </w:r>
      <w:bookmarkEnd w:id="5344"/>
      <w:bookmarkEnd w:id="5345"/>
      <w:bookmarkEnd w:id="5346"/>
      <w:bookmarkEnd w:id="5347"/>
    </w:p>
    <w:p w14:paraId="22D9C593" w14:textId="27DA56D8" w:rsidR="00990EBC" w:rsidRPr="000A315C" w:rsidRDefault="000D6BD7" w:rsidP="00DE5E8C">
      <w:pPr>
        <w:pStyle w:val="ListParagraph"/>
        <w:spacing w:after="120" w:line="240" w:lineRule="auto"/>
        <w:ind w:left="0"/>
        <w:contextualSpacing w:val="0"/>
        <w:rPr>
          <w:rFonts w:asciiTheme="minorHAnsi" w:hAnsiTheme="minorHAnsi" w:cs="Arial"/>
        </w:rPr>
      </w:pPr>
      <w:r w:rsidRPr="000A315C">
        <w:rPr>
          <w:rFonts w:asciiTheme="minorHAnsi" w:hAnsiTheme="minorHAnsi" w:cs="Arial"/>
          <w:spacing w:val="3"/>
        </w:rPr>
        <w:t xml:space="preserve">The </w:t>
      </w:r>
      <w:r w:rsidR="00517B1C">
        <w:rPr>
          <w:rFonts w:asciiTheme="minorHAnsi" w:hAnsiTheme="minorHAnsi" w:cs="Arial"/>
          <w:spacing w:val="3"/>
        </w:rPr>
        <w:t>Behavioral Risk Factor Survey (</w:t>
      </w:r>
      <w:r w:rsidRPr="000A315C">
        <w:rPr>
          <w:rFonts w:asciiTheme="minorHAnsi" w:hAnsiTheme="minorHAnsi" w:cs="Arial"/>
          <w:spacing w:val="3"/>
        </w:rPr>
        <w:t>BRFS</w:t>
      </w:r>
      <w:r w:rsidR="00517B1C">
        <w:rPr>
          <w:rFonts w:asciiTheme="minorHAnsi" w:hAnsiTheme="minorHAnsi" w:cs="Arial"/>
          <w:spacing w:val="3"/>
        </w:rPr>
        <w:t>)</w:t>
      </w:r>
      <w:r w:rsidRPr="000A315C">
        <w:rPr>
          <w:rFonts w:asciiTheme="minorHAnsi" w:hAnsiTheme="minorHAnsi" w:cs="Arial"/>
          <w:spacing w:val="3"/>
        </w:rPr>
        <w:t xml:space="preserve"> </w:t>
      </w:r>
      <w:r w:rsidRPr="000A315C">
        <w:rPr>
          <w:rFonts w:asciiTheme="minorHAnsi" w:hAnsiTheme="minorHAnsi" w:cs="Arial"/>
        </w:rPr>
        <w:t xml:space="preserve">is the world’s largest ongoing telephone health survey tracking health conditions and risk behaviors in the United States yearly since 1984.  Currently, data are collected in all 50 states and four territories.  The survey </w:t>
      </w:r>
      <w:r w:rsidRPr="000A315C">
        <w:rPr>
          <w:rFonts w:asciiTheme="minorHAnsi" w:hAnsiTheme="minorHAnsi" w:cs="Arial"/>
          <w:spacing w:val="3"/>
        </w:rPr>
        <w:t xml:space="preserve">was developed to monitor the </w:t>
      </w:r>
      <w:r w:rsidRPr="000A315C">
        <w:rPr>
          <w:rFonts w:asciiTheme="minorHAnsi" w:hAnsiTheme="minorHAnsi" w:cs="Arial"/>
        </w:rPr>
        <w:t xml:space="preserve">statewide prevalence of behavioral risk factors influencing premature morbidity and mortality.  The BRFS includes a core set of questions developed by the </w:t>
      </w:r>
      <w:r w:rsidRPr="000A315C">
        <w:rPr>
          <w:rFonts w:asciiTheme="minorHAnsi" w:hAnsiTheme="minorHAnsi" w:cs="Arial"/>
          <w:spacing w:val="1"/>
        </w:rPr>
        <w:t xml:space="preserve">CDC and is administered to adults 18 years of age and older.  Delaware’s BRFS is a collaborative effort between DPH and </w:t>
      </w:r>
      <w:r w:rsidRPr="000A315C">
        <w:rPr>
          <w:rFonts w:asciiTheme="minorHAnsi" w:hAnsiTheme="minorHAnsi" w:cs="Arial"/>
        </w:rPr>
        <w:t xml:space="preserve">the CDC.  </w:t>
      </w:r>
      <w:r w:rsidRPr="000A315C">
        <w:rPr>
          <w:rFonts w:asciiTheme="minorHAnsi" w:hAnsiTheme="minorHAnsi" w:cs="Arial"/>
          <w:spacing w:val="1"/>
        </w:rPr>
        <w:t xml:space="preserve">BRFS questions target lifestyle behaviors (including tobacco use, </w:t>
      </w:r>
      <w:r w:rsidRPr="000A315C">
        <w:rPr>
          <w:rFonts w:asciiTheme="minorHAnsi" w:hAnsiTheme="minorHAnsi" w:cs="Arial"/>
          <w:spacing w:val="-1"/>
        </w:rPr>
        <w:t xml:space="preserve">fruit and vegetable consumption, exercise, and weight control); cancer screening practices; health status; </w:t>
      </w:r>
      <w:r w:rsidRPr="000A315C">
        <w:rPr>
          <w:rFonts w:asciiTheme="minorHAnsi" w:hAnsiTheme="minorHAnsi" w:cs="Arial"/>
        </w:rPr>
        <w:t>and health care access and use</w:t>
      </w:r>
      <w:r w:rsidRPr="000A315C">
        <w:rPr>
          <w:rStyle w:val="FootnoteReference"/>
          <w:rFonts w:asciiTheme="minorHAnsi" w:hAnsiTheme="minorHAnsi" w:cs="Arial"/>
        </w:rPr>
        <w:footnoteReference w:id="20"/>
      </w:r>
      <w:r w:rsidRPr="000A315C">
        <w:rPr>
          <w:rFonts w:asciiTheme="minorHAnsi" w:hAnsiTheme="minorHAnsi" w:cs="Arial"/>
        </w:rPr>
        <w:t>.</w:t>
      </w:r>
      <w:r w:rsidR="00990EBC" w:rsidRPr="000A315C">
        <w:rPr>
          <w:rFonts w:asciiTheme="minorHAnsi" w:hAnsiTheme="minorHAnsi" w:cs="Arial"/>
        </w:rPr>
        <w:t xml:space="preserve"> </w:t>
      </w:r>
      <w:r w:rsidR="00517B1C">
        <w:rPr>
          <w:rFonts w:asciiTheme="minorHAnsi" w:hAnsiTheme="minorHAnsi" w:cs="Arial"/>
        </w:rPr>
        <w:t xml:space="preserve"> </w:t>
      </w:r>
      <w:r w:rsidRPr="000A315C">
        <w:rPr>
          <w:rFonts w:asciiTheme="minorHAnsi" w:hAnsiTheme="minorHAnsi" w:cs="Arial"/>
        </w:rPr>
        <w:t xml:space="preserve">Technological and cultural changes are posing challenges to survey research.  One of the most significant challenges </w:t>
      </w:r>
      <w:r w:rsidR="00517B1C">
        <w:rPr>
          <w:rFonts w:asciiTheme="minorHAnsi" w:hAnsiTheme="minorHAnsi" w:cs="Arial"/>
        </w:rPr>
        <w:t xml:space="preserve">is </w:t>
      </w:r>
      <w:r w:rsidRPr="000A315C">
        <w:rPr>
          <w:rFonts w:asciiTheme="minorHAnsi" w:hAnsiTheme="minorHAnsi" w:cs="Arial"/>
        </w:rPr>
        <w:t xml:space="preserve">the rapid increase in households where telephone service </w:t>
      </w:r>
      <w:r w:rsidRPr="000A315C">
        <w:rPr>
          <w:rFonts w:asciiTheme="minorHAnsi" w:hAnsiTheme="minorHAnsi" w:cs="Arial"/>
        </w:rPr>
        <w:lastRenderedPageBreak/>
        <w:t>is provided primarily, or only, via cell phone service.  These "cell phone" households are, at least currently, more common among young adults and minority populations.</w:t>
      </w:r>
      <w:r w:rsidR="007B2764">
        <w:rPr>
          <w:rStyle w:val="FootnoteReference"/>
          <w:rFonts w:asciiTheme="minorHAnsi" w:hAnsiTheme="minorHAnsi" w:cs="Arial"/>
        </w:rPr>
        <w:footnoteReference w:id="21"/>
      </w:r>
    </w:p>
    <w:p w14:paraId="03405041" w14:textId="7294EF72" w:rsidR="00E6795C" w:rsidRDefault="000D6BD7" w:rsidP="001916B4">
      <w:pPr>
        <w:pStyle w:val="ListParagraph"/>
        <w:spacing w:after="120" w:line="240" w:lineRule="auto"/>
        <w:ind w:left="0"/>
        <w:contextualSpacing w:val="0"/>
        <w:rPr>
          <w:rFonts w:asciiTheme="minorHAnsi" w:hAnsiTheme="minorHAnsi" w:cs="Arial"/>
        </w:rPr>
      </w:pPr>
      <w:r w:rsidRPr="000A315C">
        <w:rPr>
          <w:rFonts w:asciiTheme="minorHAnsi" w:hAnsiTheme="minorHAnsi" w:cs="Arial"/>
        </w:rPr>
        <w:t>Originally, the BRFS survey was administered by a random-digit-dial telephone survey.  Starting with reporting 2011 data, the BRFS became a "multi-mode survey," using several modes of data collection — including landline telephone interviews, cell phone interviews, and online follow-up surveys for some respondents who did not want to respond by phone.  Also, the BRFS uses a new method for weighting data</w:t>
      </w:r>
      <w:r w:rsidRPr="000A315C">
        <w:rPr>
          <w:rStyle w:val="Hyperlink"/>
          <w:rFonts w:asciiTheme="minorHAnsi" w:hAnsiTheme="minorHAnsi" w:cs="Arial"/>
        </w:rPr>
        <w:t>,</w:t>
      </w:r>
      <w:r w:rsidRPr="000A315C">
        <w:rPr>
          <w:rFonts w:asciiTheme="minorHAnsi" w:hAnsiTheme="minorHAnsi" w:cs="Arial"/>
        </w:rPr>
        <w:t xml:space="preserve"> called “</w:t>
      </w:r>
      <w:r w:rsidR="00744715" w:rsidRPr="000A315C">
        <w:rPr>
          <w:rFonts w:asciiTheme="minorHAnsi" w:hAnsiTheme="minorHAnsi" w:cs="Arial"/>
        </w:rPr>
        <w:t>raking</w:t>
      </w:r>
      <w:r w:rsidRPr="000A315C">
        <w:rPr>
          <w:rFonts w:asciiTheme="minorHAnsi" w:hAnsiTheme="minorHAnsi" w:cs="Arial"/>
        </w:rPr>
        <w:t>,” which more accurately reflects the actual population of each state</w:t>
      </w:r>
      <w:r w:rsidR="00654D2C">
        <w:rPr>
          <w:rFonts w:asciiTheme="minorHAnsi" w:hAnsiTheme="minorHAnsi" w:cs="Arial"/>
        </w:rPr>
        <w:t>.</w:t>
      </w:r>
      <w:r w:rsidRPr="000A315C">
        <w:rPr>
          <w:rStyle w:val="FootnoteReference"/>
          <w:rFonts w:asciiTheme="minorHAnsi" w:hAnsiTheme="minorHAnsi" w:cs="Arial"/>
        </w:rPr>
        <w:footnoteReference w:id="22"/>
      </w:r>
      <w:r w:rsidR="00990EBC" w:rsidRPr="000A315C">
        <w:rPr>
          <w:rFonts w:asciiTheme="minorHAnsi" w:hAnsiTheme="minorHAnsi" w:cs="Arial"/>
        </w:rPr>
        <w:t xml:space="preserve"> </w:t>
      </w:r>
      <w:r w:rsidR="00517B1C">
        <w:rPr>
          <w:rFonts w:asciiTheme="minorHAnsi" w:hAnsiTheme="minorHAnsi" w:cs="Arial"/>
        </w:rPr>
        <w:t xml:space="preserve"> </w:t>
      </w:r>
      <w:r w:rsidRPr="000A315C">
        <w:rPr>
          <w:rFonts w:asciiTheme="minorHAnsi" w:hAnsiTheme="minorHAnsi" w:cs="Arial"/>
        </w:rPr>
        <w:t>Because cell phones are quickly replacing landline phones, it was difficult to obtain a true representative sample of some population subgroups during the late 2000s.  The response rate problems likely resulted in less accurate prevalence estimates for some behaviors or conditions more prevalent in populations who primarily use</w:t>
      </w:r>
      <w:r w:rsidR="00626000">
        <w:rPr>
          <w:rFonts w:asciiTheme="minorHAnsi" w:hAnsiTheme="minorHAnsi" w:cs="Arial"/>
        </w:rPr>
        <w:t>d</w:t>
      </w:r>
      <w:r w:rsidRPr="000A315C">
        <w:rPr>
          <w:rFonts w:asciiTheme="minorHAnsi" w:hAnsiTheme="minorHAnsi" w:cs="Arial"/>
        </w:rPr>
        <w:t xml:space="preserve"> cell phones.  For example, the prevalence of cigarette smoking, known to be more prevalent among young adults, may have been under-estimated for several years.</w:t>
      </w:r>
      <w:r w:rsidR="00C87764">
        <w:rPr>
          <w:rStyle w:val="FootnoteReference"/>
          <w:rFonts w:asciiTheme="minorHAnsi" w:hAnsiTheme="minorHAnsi" w:cs="Arial"/>
        </w:rPr>
        <w:footnoteReference w:id="23"/>
      </w:r>
      <w:r w:rsidR="00990EBC" w:rsidRPr="000A315C">
        <w:rPr>
          <w:rFonts w:asciiTheme="minorHAnsi" w:hAnsiTheme="minorHAnsi" w:cs="Arial"/>
        </w:rPr>
        <w:t xml:space="preserve"> </w:t>
      </w:r>
      <w:r w:rsidR="00517B1C">
        <w:rPr>
          <w:rFonts w:asciiTheme="minorHAnsi" w:hAnsiTheme="minorHAnsi" w:cs="Arial"/>
        </w:rPr>
        <w:t xml:space="preserve"> </w:t>
      </w:r>
    </w:p>
    <w:p w14:paraId="76B86BFC" w14:textId="18B40169" w:rsidR="00FE154E" w:rsidRDefault="000D6BD7" w:rsidP="001916B4">
      <w:pPr>
        <w:pStyle w:val="ListParagraph"/>
        <w:spacing w:after="120" w:line="240" w:lineRule="auto"/>
        <w:ind w:left="0"/>
        <w:contextualSpacing w:val="0"/>
      </w:pPr>
      <w:r w:rsidRPr="000A315C">
        <w:rPr>
          <w:rFonts w:asciiTheme="minorHAnsi" w:hAnsiTheme="minorHAnsi" w:cs="Arial"/>
        </w:rPr>
        <w:t xml:space="preserve">The data </w:t>
      </w:r>
      <w:r w:rsidR="00990EBC" w:rsidRPr="000A315C">
        <w:rPr>
          <w:rFonts w:asciiTheme="minorHAnsi" w:hAnsiTheme="minorHAnsi" w:cs="Arial"/>
        </w:rPr>
        <w:t>in Appendix D and E</w:t>
      </w:r>
      <w:r w:rsidRPr="000A315C">
        <w:rPr>
          <w:rFonts w:asciiTheme="minorHAnsi" w:hAnsiTheme="minorHAnsi" w:cs="Arial"/>
        </w:rPr>
        <w:t xml:space="preserve"> relate to cancer screening and risk factor prevalence among Delawareans.  Data on breast, cervical, colorectal, and prostate cancer screening patterns among Delawareans are provided in relevant cancer site chapters earlier in this document.  Data on overweight and obesity, physical activity, and consumption of dietary fruits and vegetables are provided </w:t>
      </w:r>
      <w:r w:rsidR="00EA7E44">
        <w:rPr>
          <w:rFonts w:asciiTheme="minorHAnsi" w:hAnsiTheme="minorHAnsi" w:cs="Arial"/>
        </w:rPr>
        <w:t>in Appendix E</w:t>
      </w:r>
      <w:r w:rsidR="0057415D">
        <w:rPr>
          <w:rFonts w:asciiTheme="minorHAnsi" w:hAnsiTheme="minorHAnsi" w:cs="Arial"/>
        </w:rPr>
        <w:t>.</w:t>
      </w:r>
      <w:r w:rsidRPr="000A315C">
        <w:rPr>
          <w:rStyle w:val="FootnoteReference"/>
          <w:rFonts w:asciiTheme="minorHAnsi" w:hAnsiTheme="minorHAnsi" w:cs="Arial"/>
        </w:rPr>
        <w:footnoteReference w:id="24"/>
      </w:r>
      <w:r w:rsidR="00E6795C">
        <w:rPr>
          <w:rFonts w:asciiTheme="minorHAnsi" w:hAnsiTheme="minorHAnsi" w:cs="Arial"/>
        </w:rPr>
        <w:t xml:space="preserve">  </w:t>
      </w:r>
      <w:r w:rsidR="002A7213" w:rsidRPr="000A315C">
        <w:rPr>
          <w:rFonts w:asciiTheme="minorHAnsi" w:hAnsiTheme="minorHAnsi" w:cs="Arial"/>
          <w:szCs w:val="20"/>
        </w:rPr>
        <w:t>Data on known and suspected cancer risk factors</w:t>
      </w:r>
      <w:r w:rsidR="00725CEA" w:rsidRPr="000A315C">
        <w:rPr>
          <w:rFonts w:asciiTheme="minorHAnsi" w:hAnsiTheme="minorHAnsi" w:cs="Arial"/>
          <w:szCs w:val="20"/>
        </w:rPr>
        <w:t xml:space="preserve"> and </w:t>
      </w:r>
      <w:r w:rsidR="002A7213" w:rsidRPr="000A315C">
        <w:rPr>
          <w:rFonts w:asciiTheme="minorHAnsi" w:hAnsiTheme="minorHAnsi" w:cs="Arial"/>
          <w:szCs w:val="20"/>
        </w:rPr>
        <w:t xml:space="preserve">screening recommendations are </w:t>
      </w:r>
      <w:r w:rsidR="002A308B" w:rsidRPr="000A315C">
        <w:rPr>
          <w:rFonts w:asciiTheme="minorHAnsi" w:hAnsiTheme="minorHAnsi" w:cs="Arial"/>
          <w:szCs w:val="20"/>
        </w:rPr>
        <w:t>in Appendices D and E</w:t>
      </w:r>
      <w:r w:rsidR="002A7213" w:rsidRPr="000A315C">
        <w:rPr>
          <w:rFonts w:asciiTheme="minorHAnsi" w:hAnsiTheme="minorHAnsi" w:cs="Arial"/>
          <w:szCs w:val="20"/>
        </w:rPr>
        <w:t xml:space="preserve">.  </w:t>
      </w:r>
      <w:r w:rsidR="002A7213" w:rsidRPr="000A315C">
        <w:rPr>
          <w:rFonts w:asciiTheme="minorHAnsi" w:hAnsiTheme="minorHAnsi" w:cs="Arial"/>
          <w:bCs/>
          <w:szCs w:val="20"/>
        </w:rPr>
        <w:t xml:space="preserve">The </w:t>
      </w:r>
      <w:r w:rsidR="008E3074">
        <w:rPr>
          <w:rFonts w:asciiTheme="minorHAnsi" w:hAnsiTheme="minorHAnsi" w:cs="Arial"/>
          <w:bCs/>
          <w:szCs w:val="20"/>
        </w:rPr>
        <w:t>202</w:t>
      </w:r>
      <w:r w:rsidR="007C2BAE">
        <w:rPr>
          <w:rFonts w:asciiTheme="minorHAnsi" w:hAnsiTheme="minorHAnsi" w:cs="Arial"/>
          <w:bCs/>
          <w:szCs w:val="20"/>
        </w:rPr>
        <w:t>2</w:t>
      </w:r>
      <w:r w:rsidR="008E3074">
        <w:rPr>
          <w:rFonts w:asciiTheme="minorHAnsi" w:hAnsiTheme="minorHAnsi" w:cs="Arial"/>
          <w:bCs/>
          <w:szCs w:val="20"/>
        </w:rPr>
        <w:t xml:space="preserve"> </w:t>
      </w:r>
      <w:r w:rsidR="00DD10AA">
        <w:rPr>
          <w:rFonts w:asciiTheme="minorHAnsi" w:hAnsiTheme="minorHAnsi" w:cs="Arial"/>
          <w:bCs/>
          <w:szCs w:val="20"/>
        </w:rPr>
        <w:t>BRFS</w:t>
      </w:r>
      <w:r w:rsidR="002A7213" w:rsidRPr="000A315C">
        <w:rPr>
          <w:rFonts w:asciiTheme="minorHAnsi" w:hAnsiTheme="minorHAnsi" w:cs="Arial"/>
          <w:bCs/>
          <w:szCs w:val="20"/>
        </w:rPr>
        <w:t xml:space="preserve"> data </w:t>
      </w:r>
      <w:r w:rsidR="0075030A">
        <w:rPr>
          <w:rFonts w:asciiTheme="minorHAnsi" w:hAnsiTheme="minorHAnsi" w:cs="Arial"/>
          <w:bCs/>
          <w:szCs w:val="20"/>
        </w:rPr>
        <w:t>include s</w:t>
      </w:r>
      <w:r w:rsidR="00725CEA" w:rsidRPr="000A315C">
        <w:rPr>
          <w:rFonts w:asciiTheme="minorHAnsi" w:hAnsiTheme="minorHAnsi" w:cs="Arial"/>
          <w:bCs/>
          <w:szCs w:val="20"/>
        </w:rPr>
        <w:t xml:space="preserve">creening compliance data </w:t>
      </w:r>
      <w:r w:rsidR="006B6654">
        <w:rPr>
          <w:rFonts w:asciiTheme="minorHAnsi" w:hAnsiTheme="minorHAnsi" w:cs="Arial"/>
          <w:bCs/>
          <w:szCs w:val="20"/>
        </w:rPr>
        <w:t>(</w:t>
      </w:r>
      <w:r w:rsidR="002A7213" w:rsidRPr="000A315C">
        <w:rPr>
          <w:rFonts w:asciiTheme="minorHAnsi" w:hAnsiTheme="minorHAnsi" w:cs="Arial"/>
          <w:bCs/>
          <w:szCs w:val="20"/>
        </w:rPr>
        <w:t>Appendix D</w:t>
      </w:r>
      <w:r w:rsidR="006B6654">
        <w:rPr>
          <w:rFonts w:asciiTheme="minorHAnsi" w:hAnsiTheme="minorHAnsi" w:cs="Arial"/>
          <w:bCs/>
          <w:szCs w:val="20"/>
        </w:rPr>
        <w:t>)</w:t>
      </w:r>
      <w:r w:rsidR="0075030A">
        <w:rPr>
          <w:rFonts w:asciiTheme="minorHAnsi" w:hAnsiTheme="minorHAnsi" w:cs="Arial"/>
          <w:bCs/>
          <w:szCs w:val="20"/>
        </w:rPr>
        <w:t xml:space="preserve"> and </w:t>
      </w:r>
      <w:bookmarkStart w:id="5348" w:name="_Toc135759762"/>
      <w:bookmarkStart w:id="5349" w:name="_Toc139340424"/>
      <w:bookmarkStart w:id="5350" w:name="_Toc140394123"/>
      <w:bookmarkStart w:id="5351" w:name="_Toc140396389"/>
      <w:r w:rsidR="0075030A">
        <w:rPr>
          <w:rFonts w:asciiTheme="minorHAnsi" w:hAnsiTheme="minorHAnsi" w:cs="Arial"/>
          <w:bCs/>
          <w:szCs w:val="20"/>
        </w:rPr>
        <w:t>r</w:t>
      </w:r>
      <w:r w:rsidR="00AC43E4" w:rsidRPr="000A315C">
        <w:rPr>
          <w:rFonts w:asciiTheme="minorHAnsi" w:hAnsiTheme="minorHAnsi" w:cs="Arial"/>
          <w:bCs/>
          <w:szCs w:val="20"/>
        </w:rPr>
        <w:t xml:space="preserve">isk factor data </w:t>
      </w:r>
      <w:r w:rsidR="006B6654">
        <w:rPr>
          <w:rFonts w:asciiTheme="minorHAnsi" w:hAnsiTheme="minorHAnsi" w:cs="Arial"/>
          <w:bCs/>
          <w:szCs w:val="20"/>
        </w:rPr>
        <w:t>(</w:t>
      </w:r>
      <w:r w:rsidR="00AC43E4" w:rsidRPr="000A315C">
        <w:rPr>
          <w:rFonts w:asciiTheme="minorHAnsi" w:hAnsiTheme="minorHAnsi" w:cs="Arial"/>
          <w:bCs/>
          <w:szCs w:val="20"/>
        </w:rPr>
        <w:t>Appendix E</w:t>
      </w:r>
      <w:r w:rsidR="006B6654">
        <w:rPr>
          <w:rFonts w:asciiTheme="minorHAnsi" w:hAnsiTheme="minorHAnsi" w:cs="Arial"/>
          <w:bCs/>
          <w:szCs w:val="20"/>
        </w:rPr>
        <w:t>)</w:t>
      </w:r>
      <w:r w:rsidR="00AC43E4" w:rsidRPr="000A315C">
        <w:rPr>
          <w:rFonts w:asciiTheme="minorHAnsi" w:hAnsiTheme="minorHAnsi" w:cs="Arial"/>
          <w:bCs/>
          <w:szCs w:val="20"/>
        </w:rPr>
        <w:t>.</w:t>
      </w:r>
      <w:r w:rsidR="00AC43E4" w:rsidRPr="00564ADC">
        <w:rPr>
          <w:rFonts w:asciiTheme="minorHAnsi" w:hAnsiTheme="minorHAnsi" w:cs="Arial"/>
          <w:bCs/>
          <w:szCs w:val="20"/>
        </w:rPr>
        <w:t xml:space="preserve"> </w:t>
      </w:r>
      <w:r w:rsidR="00AC43E4">
        <w:rPr>
          <w:rFonts w:asciiTheme="minorHAnsi" w:hAnsiTheme="minorHAnsi" w:cs="Arial"/>
          <w:bCs/>
          <w:szCs w:val="20"/>
        </w:rPr>
        <w:t xml:space="preserve"> </w:t>
      </w:r>
    </w:p>
    <w:p w14:paraId="473B7361" w14:textId="77777777" w:rsidR="00DB1926" w:rsidRDefault="00DB1926">
      <w:pPr>
        <w:rPr>
          <w:rFonts w:asciiTheme="minorHAnsi" w:hAnsiTheme="minorHAnsi"/>
          <w:b/>
          <w:caps/>
          <w:color w:val="1B4171" w:themeColor="accent2" w:themeShade="80"/>
          <w:spacing w:val="15"/>
          <w:sz w:val="24"/>
          <w:szCs w:val="24"/>
        </w:rPr>
      </w:pPr>
      <w:r>
        <w:br w:type="page"/>
      </w:r>
    </w:p>
    <w:p w14:paraId="21253C43" w14:textId="5D60020C" w:rsidR="002A7213" w:rsidRPr="00342589" w:rsidRDefault="002A7213" w:rsidP="00E01C9E">
      <w:pPr>
        <w:pStyle w:val="Heading2"/>
      </w:pPr>
      <w:r w:rsidRPr="00342589">
        <w:lastRenderedPageBreak/>
        <w:t>Statistical Methodology and Technical Terms</w:t>
      </w:r>
      <w:bookmarkEnd w:id="5348"/>
      <w:bookmarkEnd w:id="5349"/>
      <w:bookmarkEnd w:id="5350"/>
      <w:bookmarkEnd w:id="5351"/>
    </w:p>
    <w:p w14:paraId="2C859CEC" w14:textId="77777777" w:rsidR="002A7213" w:rsidRPr="002A7213" w:rsidRDefault="002A7213" w:rsidP="002A7213">
      <w:pPr>
        <w:pStyle w:val="Heading3"/>
        <w:spacing w:before="120" w:after="120"/>
        <w:rPr>
          <w:rFonts w:asciiTheme="minorHAnsi" w:hAnsiTheme="minorHAnsi"/>
          <w:b/>
        </w:rPr>
      </w:pPr>
      <w:bookmarkStart w:id="5352" w:name="_Toc135759763"/>
      <w:bookmarkStart w:id="5353" w:name="_Toc139340425"/>
      <w:bookmarkStart w:id="5354" w:name="_Toc140394124"/>
      <w:bookmarkStart w:id="5355" w:name="_Toc140396390"/>
      <w:r w:rsidRPr="002A7213">
        <w:rPr>
          <w:rFonts w:asciiTheme="minorHAnsi" w:hAnsiTheme="minorHAnsi"/>
          <w:b/>
        </w:rPr>
        <w:t>Age-Adjustment of Incidence and Mortality Rates</w:t>
      </w:r>
      <w:bookmarkEnd w:id="5352"/>
      <w:bookmarkEnd w:id="5353"/>
      <w:bookmarkEnd w:id="5354"/>
      <w:bookmarkEnd w:id="5355"/>
    </w:p>
    <w:p w14:paraId="1CE1E79F" w14:textId="4ADBE9B9" w:rsidR="002A7213" w:rsidRPr="00342589" w:rsidRDefault="002A7213" w:rsidP="00E6795C">
      <w:pPr>
        <w:widowControl w:val="0"/>
        <w:spacing w:after="120" w:line="240" w:lineRule="auto"/>
        <w:rPr>
          <w:rFonts w:asciiTheme="minorHAnsi" w:hAnsiTheme="minorHAnsi" w:cs="Arial"/>
          <w:szCs w:val="20"/>
        </w:rPr>
      </w:pPr>
      <w:r w:rsidRPr="00342589">
        <w:rPr>
          <w:rFonts w:asciiTheme="minorHAnsi" w:hAnsiTheme="minorHAnsi" w:cs="Arial"/>
          <w:szCs w:val="20"/>
        </w:rPr>
        <w:t xml:space="preserve">The age distribution of a population is an important determinant of the burden of cancer. </w:t>
      </w:r>
      <w:r>
        <w:rPr>
          <w:rFonts w:asciiTheme="minorHAnsi" w:hAnsiTheme="minorHAnsi" w:cs="Arial"/>
          <w:szCs w:val="20"/>
        </w:rPr>
        <w:t xml:space="preserve"> </w:t>
      </w:r>
      <w:r w:rsidRPr="00342589">
        <w:rPr>
          <w:rFonts w:asciiTheme="minorHAnsi" w:hAnsiTheme="minorHAnsi" w:cs="Arial"/>
          <w:szCs w:val="20"/>
        </w:rPr>
        <w:t xml:space="preserve">Because cancer incidence and mortality increase with age, crude rates cannot be used for comparisons of cancer statistics between sexes, racial or ethnic groups, or geographic entities across different time spans. </w:t>
      </w:r>
    </w:p>
    <w:p w14:paraId="627C1986" w14:textId="3712F547" w:rsidR="000E1E77" w:rsidRPr="00EA7E44" w:rsidRDefault="002A7213" w:rsidP="00EA7E44">
      <w:pPr>
        <w:widowControl w:val="0"/>
        <w:spacing w:after="120" w:line="240" w:lineRule="auto"/>
        <w:rPr>
          <w:rFonts w:asciiTheme="minorHAnsi" w:hAnsiTheme="minorHAnsi" w:cs="Arial"/>
          <w:szCs w:val="20"/>
        </w:rPr>
      </w:pPr>
      <w:r w:rsidRPr="00342589">
        <w:rPr>
          <w:rFonts w:asciiTheme="minorHAnsi" w:hAnsiTheme="minorHAnsi" w:cs="Arial"/>
          <w:szCs w:val="20"/>
        </w:rPr>
        <w:t>Age adjustment is useful when comparing two or more populations with different age distributions at one point in time or one populatio</w:t>
      </w:r>
      <w:r>
        <w:rPr>
          <w:rFonts w:asciiTheme="minorHAnsi" w:hAnsiTheme="minorHAnsi" w:cs="Arial"/>
          <w:szCs w:val="20"/>
        </w:rPr>
        <w:t>n at two or more points in time</w:t>
      </w:r>
      <w:r w:rsidR="0057415D">
        <w:rPr>
          <w:rFonts w:asciiTheme="minorHAnsi" w:hAnsiTheme="minorHAnsi" w:cs="Arial"/>
          <w:szCs w:val="20"/>
        </w:rPr>
        <w:t>.</w:t>
      </w:r>
      <w:r w:rsidRPr="00342589">
        <w:rPr>
          <w:rStyle w:val="FootnoteReference"/>
          <w:rFonts w:asciiTheme="minorHAnsi" w:hAnsiTheme="minorHAnsi" w:cs="Arial"/>
          <w:szCs w:val="20"/>
        </w:rPr>
        <w:footnoteReference w:id="25"/>
      </w:r>
      <w:r w:rsidRPr="00342589">
        <w:rPr>
          <w:rFonts w:asciiTheme="minorHAnsi" w:hAnsiTheme="minorHAnsi" w:cs="Arial"/>
          <w:szCs w:val="20"/>
        </w:rPr>
        <w:t xml:space="preserve">  To calculate an age-adjusted incidence rate, the crude incidence rate for each of 18 five-year age groups is multiplied by a fixed population weight for that specific age group using the appropriate 2000 U.S. Standard Population (Table A-1)</w:t>
      </w:r>
      <w:r w:rsidR="00772429">
        <w:rPr>
          <w:rFonts w:asciiTheme="minorHAnsi" w:hAnsiTheme="minorHAnsi" w:cs="Arial"/>
          <w:szCs w:val="20"/>
        </w:rPr>
        <w:t>.</w:t>
      </w:r>
      <w:r w:rsidRPr="00342589">
        <w:rPr>
          <w:rStyle w:val="FootnoteReference"/>
          <w:rFonts w:asciiTheme="minorHAnsi" w:hAnsiTheme="minorHAnsi" w:cs="Arial"/>
          <w:szCs w:val="20"/>
        </w:rPr>
        <w:footnoteReference w:id="26"/>
      </w:r>
      <w:r w:rsidRPr="00342589">
        <w:rPr>
          <w:rFonts w:asciiTheme="minorHAnsi" w:hAnsiTheme="minorHAnsi" w:cs="Arial"/>
          <w:szCs w:val="20"/>
        </w:rPr>
        <w:t xml:space="preserve">  Individual age-specific rates are then summed to obtain the overall age-adjusted rate.</w:t>
      </w:r>
    </w:p>
    <w:p w14:paraId="34BB1863" w14:textId="6F342ECD" w:rsidR="002A7213" w:rsidRPr="00A64337" w:rsidRDefault="002A7213" w:rsidP="002A7213">
      <w:pPr>
        <w:widowControl w:val="0"/>
        <w:spacing w:after="120" w:line="240" w:lineRule="auto"/>
        <w:jc w:val="center"/>
        <w:rPr>
          <w:rFonts w:asciiTheme="minorHAnsi" w:hAnsiTheme="minorHAnsi" w:cs="Arial"/>
          <w:b/>
        </w:rPr>
      </w:pPr>
      <w:r w:rsidRPr="00A64337">
        <w:rPr>
          <w:rFonts w:asciiTheme="minorHAnsi" w:hAnsiTheme="minorHAnsi"/>
          <w:b/>
        </w:rPr>
        <w:t xml:space="preserve">TABLE </w:t>
      </w:r>
      <w:r>
        <w:rPr>
          <w:rFonts w:asciiTheme="minorHAnsi" w:hAnsiTheme="minorHAnsi"/>
          <w:b/>
        </w:rPr>
        <w:fldChar w:fldCharType="begin"/>
      </w:r>
      <w:r>
        <w:rPr>
          <w:rFonts w:asciiTheme="minorHAnsi" w:hAnsiTheme="minorHAnsi"/>
          <w:b/>
        </w:rPr>
        <w:instrText xml:space="preserve"> STYLEREF 1 \s </w:instrText>
      </w:r>
      <w:r>
        <w:rPr>
          <w:rFonts w:asciiTheme="minorHAnsi" w:hAnsiTheme="minorHAnsi"/>
          <w:b/>
        </w:rPr>
        <w:fldChar w:fldCharType="separate"/>
      </w:r>
      <w:r w:rsidR="006C24CC">
        <w:rPr>
          <w:rFonts w:asciiTheme="minorHAnsi" w:hAnsiTheme="minorHAnsi"/>
          <w:b/>
          <w:noProof/>
        </w:rPr>
        <w:t>A</w:t>
      </w:r>
      <w:r>
        <w:rPr>
          <w:rFonts w:asciiTheme="minorHAnsi" w:hAnsiTheme="minorHAnsi"/>
          <w:b/>
        </w:rPr>
        <w:fldChar w:fldCharType="end"/>
      </w:r>
      <w:r>
        <w:rPr>
          <w:rFonts w:asciiTheme="minorHAnsi" w:hAnsiTheme="minorHAnsi"/>
          <w:b/>
        </w:rPr>
        <w:noBreakHyphen/>
      </w:r>
      <w:r>
        <w:rPr>
          <w:rFonts w:asciiTheme="minorHAnsi" w:hAnsiTheme="minorHAnsi"/>
          <w:b/>
        </w:rPr>
        <w:fldChar w:fldCharType="begin"/>
      </w:r>
      <w:r>
        <w:rPr>
          <w:rFonts w:asciiTheme="minorHAnsi" w:hAnsiTheme="minorHAnsi"/>
          <w:b/>
        </w:rPr>
        <w:instrText xml:space="preserve"> SEQ Table \* ARABIC \s 1 </w:instrText>
      </w:r>
      <w:r>
        <w:rPr>
          <w:rFonts w:asciiTheme="minorHAnsi" w:hAnsiTheme="minorHAnsi"/>
          <w:b/>
        </w:rPr>
        <w:fldChar w:fldCharType="separate"/>
      </w:r>
      <w:r w:rsidR="006C24CC">
        <w:rPr>
          <w:rFonts w:asciiTheme="minorHAnsi" w:hAnsiTheme="minorHAnsi"/>
          <w:b/>
          <w:noProof/>
        </w:rPr>
        <w:t>1</w:t>
      </w:r>
      <w:r>
        <w:rPr>
          <w:rFonts w:asciiTheme="minorHAnsi" w:hAnsiTheme="minorHAnsi"/>
          <w:b/>
        </w:rPr>
        <w:fldChar w:fldCharType="end"/>
      </w:r>
      <w:r w:rsidRPr="00A64337">
        <w:rPr>
          <w:rFonts w:asciiTheme="minorHAnsi" w:hAnsiTheme="minorHAnsi"/>
          <w:b/>
        </w:rPr>
        <w:t xml:space="preserve">: </w:t>
      </w:r>
      <w:r w:rsidRPr="00A64337">
        <w:rPr>
          <w:rFonts w:asciiTheme="minorHAnsi" w:hAnsiTheme="minorHAnsi" w:cs="Arial"/>
          <w:b/>
        </w:rPr>
        <w:t>U.S. STANDARD YEAR 2000 POPULATION WEIGHTS, BY AGE GROUP</w:t>
      </w:r>
    </w:p>
    <w:tbl>
      <w:tblPr>
        <w:tblStyle w:val="MediumGrid1-Accent21"/>
        <w:tblW w:w="0" w:type="auto"/>
        <w:jc w:val="center"/>
        <w:tblLayout w:type="fixed"/>
        <w:tblLook w:val="04A0" w:firstRow="1" w:lastRow="0" w:firstColumn="1" w:lastColumn="0" w:noHBand="0" w:noVBand="1"/>
      </w:tblPr>
      <w:tblGrid>
        <w:gridCol w:w="1079"/>
        <w:gridCol w:w="1503"/>
        <w:gridCol w:w="1017"/>
        <w:gridCol w:w="1801"/>
      </w:tblGrid>
      <w:tr w:rsidR="002A7213" w:rsidRPr="00303072" w14:paraId="1780BAC7" w14:textId="77777777" w:rsidTr="002A7213">
        <w:trPr>
          <w:cnfStyle w:val="100000000000" w:firstRow="1" w:lastRow="0" w:firstColumn="0" w:lastColumn="0" w:oddVBand="0" w:evenVBand="0" w:oddHBand="0"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079" w:type="dxa"/>
          </w:tcPr>
          <w:p w14:paraId="08A3706D" w14:textId="77777777" w:rsidR="002A7213" w:rsidRPr="00303072" w:rsidRDefault="002A7213" w:rsidP="002A7213">
            <w:pPr>
              <w:jc w:val="center"/>
              <w:rPr>
                <w:rFonts w:asciiTheme="minorHAnsi" w:hAnsiTheme="minorHAnsi"/>
              </w:rPr>
            </w:pPr>
            <w:r>
              <w:rPr>
                <w:rFonts w:asciiTheme="minorHAnsi" w:hAnsiTheme="minorHAnsi"/>
              </w:rPr>
              <w:t>Age Group</w:t>
            </w:r>
          </w:p>
        </w:tc>
        <w:tc>
          <w:tcPr>
            <w:tcW w:w="1503" w:type="dxa"/>
          </w:tcPr>
          <w:p w14:paraId="011CACA4" w14:textId="77777777" w:rsidR="002A7213" w:rsidRPr="00303072" w:rsidRDefault="002A7213" w:rsidP="002A72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Pr>
                <w:rFonts w:asciiTheme="minorHAnsi" w:hAnsiTheme="minorHAnsi"/>
              </w:rPr>
              <w:t>Population Weight</w:t>
            </w:r>
          </w:p>
        </w:tc>
        <w:tc>
          <w:tcPr>
            <w:tcW w:w="1017" w:type="dxa"/>
          </w:tcPr>
          <w:p w14:paraId="4417B50B" w14:textId="77777777" w:rsidR="002A7213" w:rsidRPr="007864CF" w:rsidRDefault="002A7213" w:rsidP="002A72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rPr>
            </w:pPr>
            <w:r w:rsidRPr="007864CF">
              <w:rPr>
                <w:rFonts w:asciiTheme="minorHAnsi" w:hAnsiTheme="minorHAnsi"/>
              </w:rPr>
              <w:t>Age Group</w:t>
            </w:r>
          </w:p>
        </w:tc>
        <w:tc>
          <w:tcPr>
            <w:tcW w:w="1801" w:type="dxa"/>
          </w:tcPr>
          <w:p w14:paraId="5C8939F1" w14:textId="77777777" w:rsidR="002A7213" w:rsidRPr="00303072" w:rsidRDefault="002A7213" w:rsidP="002A72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Pr>
                <w:rFonts w:asciiTheme="minorHAnsi" w:hAnsiTheme="minorHAnsi"/>
              </w:rPr>
              <w:t>Population Weight</w:t>
            </w:r>
          </w:p>
        </w:tc>
      </w:tr>
      <w:tr w:rsidR="002A7213" w:rsidRPr="00303072" w14:paraId="7ABF2B9E" w14:textId="77777777" w:rsidTr="002A7213">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079" w:type="dxa"/>
          </w:tcPr>
          <w:p w14:paraId="408A312B" w14:textId="77777777" w:rsidR="002A7213" w:rsidRPr="004A6EEF" w:rsidRDefault="002A7213" w:rsidP="002A7213">
            <w:pPr>
              <w:jc w:val="center"/>
              <w:rPr>
                <w:rFonts w:asciiTheme="minorHAnsi" w:hAnsiTheme="minorHAnsi"/>
                <w:b w:val="0"/>
              </w:rPr>
            </w:pPr>
            <w:r w:rsidRPr="004A6EEF">
              <w:rPr>
                <w:rFonts w:asciiTheme="minorHAnsi" w:hAnsiTheme="minorHAnsi"/>
              </w:rPr>
              <w:t>0-4</w:t>
            </w:r>
          </w:p>
        </w:tc>
        <w:tc>
          <w:tcPr>
            <w:tcW w:w="1503" w:type="dxa"/>
          </w:tcPr>
          <w:p w14:paraId="108D2666" w14:textId="77777777" w:rsidR="002A7213" w:rsidRPr="004A6EEF" w:rsidRDefault="002A7213" w:rsidP="002A72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0.0691</w:t>
            </w:r>
          </w:p>
        </w:tc>
        <w:tc>
          <w:tcPr>
            <w:tcW w:w="1017" w:type="dxa"/>
          </w:tcPr>
          <w:p w14:paraId="1206E07D" w14:textId="77777777" w:rsidR="002A7213" w:rsidRPr="007864CF" w:rsidRDefault="002A7213" w:rsidP="002A72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rPr>
            </w:pPr>
            <w:r w:rsidRPr="007864CF">
              <w:rPr>
                <w:rFonts w:asciiTheme="minorHAnsi" w:hAnsiTheme="minorHAnsi"/>
                <w:b/>
                <w:color w:val="000000"/>
              </w:rPr>
              <w:t>45-49</w:t>
            </w:r>
          </w:p>
        </w:tc>
        <w:tc>
          <w:tcPr>
            <w:tcW w:w="1801" w:type="dxa"/>
          </w:tcPr>
          <w:p w14:paraId="2CDECF30" w14:textId="77777777" w:rsidR="002A7213" w:rsidRPr="004A6EEF" w:rsidRDefault="002A7213" w:rsidP="002A72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Pr>
                <w:rFonts w:asciiTheme="minorHAnsi" w:hAnsiTheme="minorHAnsi"/>
                <w:color w:val="000000"/>
              </w:rPr>
              <w:t>0.0721</w:t>
            </w:r>
          </w:p>
        </w:tc>
      </w:tr>
      <w:tr w:rsidR="002A7213" w:rsidRPr="00303072" w14:paraId="653BFD3B" w14:textId="77777777" w:rsidTr="002A7213">
        <w:trPr>
          <w:trHeight w:val="242"/>
          <w:jc w:val="center"/>
        </w:trPr>
        <w:tc>
          <w:tcPr>
            <w:cnfStyle w:val="001000000000" w:firstRow="0" w:lastRow="0" w:firstColumn="1" w:lastColumn="0" w:oddVBand="0" w:evenVBand="0" w:oddHBand="0" w:evenHBand="0" w:firstRowFirstColumn="0" w:firstRowLastColumn="0" w:lastRowFirstColumn="0" w:lastRowLastColumn="0"/>
            <w:tcW w:w="1079" w:type="dxa"/>
          </w:tcPr>
          <w:p w14:paraId="12F93BAC" w14:textId="77777777" w:rsidR="002A7213" w:rsidRPr="004A6EEF" w:rsidRDefault="002A7213" w:rsidP="002A7213">
            <w:pPr>
              <w:jc w:val="center"/>
              <w:rPr>
                <w:rFonts w:asciiTheme="minorHAnsi" w:hAnsiTheme="minorHAnsi"/>
              </w:rPr>
            </w:pPr>
            <w:r w:rsidRPr="004A6EEF">
              <w:rPr>
                <w:rFonts w:asciiTheme="minorHAnsi" w:hAnsiTheme="minorHAnsi"/>
              </w:rPr>
              <w:t>5-9</w:t>
            </w:r>
          </w:p>
        </w:tc>
        <w:tc>
          <w:tcPr>
            <w:tcW w:w="1503" w:type="dxa"/>
          </w:tcPr>
          <w:p w14:paraId="7E72DEEB" w14:textId="77777777" w:rsidR="002A7213" w:rsidRDefault="002A7213" w:rsidP="002A72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0.0725</w:t>
            </w:r>
          </w:p>
        </w:tc>
        <w:tc>
          <w:tcPr>
            <w:tcW w:w="1017" w:type="dxa"/>
          </w:tcPr>
          <w:p w14:paraId="17DEC85F" w14:textId="77777777" w:rsidR="002A7213" w:rsidRPr="007864CF" w:rsidRDefault="002A7213" w:rsidP="002A72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r w:rsidRPr="007864CF">
              <w:rPr>
                <w:rFonts w:asciiTheme="minorHAnsi" w:hAnsiTheme="minorHAnsi"/>
                <w:b/>
                <w:color w:val="000000"/>
              </w:rPr>
              <w:t>50-54</w:t>
            </w:r>
          </w:p>
        </w:tc>
        <w:tc>
          <w:tcPr>
            <w:tcW w:w="1801" w:type="dxa"/>
          </w:tcPr>
          <w:p w14:paraId="58B9A6AC" w14:textId="77777777" w:rsidR="002A7213" w:rsidRDefault="002A7213" w:rsidP="002A72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Pr>
                <w:rFonts w:asciiTheme="minorHAnsi" w:hAnsiTheme="minorHAnsi"/>
                <w:color w:val="000000"/>
              </w:rPr>
              <w:t>0.0627</w:t>
            </w:r>
          </w:p>
        </w:tc>
      </w:tr>
      <w:tr w:rsidR="002A7213" w:rsidRPr="00303072" w14:paraId="6FC48E39" w14:textId="77777777" w:rsidTr="002A7213">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079" w:type="dxa"/>
          </w:tcPr>
          <w:p w14:paraId="496EBE17" w14:textId="77777777" w:rsidR="002A7213" w:rsidRPr="004A6EEF" w:rsidRDefault="002A7213" w:rsidP="002A7213">
            <w:pPr>
              <w:jc w:val="center"/>
              <w:rPr>
                <w:rFonts w:asciiTheme="minorHAnsi" w:hAnsiTheme="minorHAnsi"/>
              </w:rPr>
            </w:pPr>
            <w:r w:rsidRPr="004A6EEF">
              <w:rPr>
                <w:rFonts w:asciiTheme="minorHAnsi" w:hAnsiTheme="minorHAnsi"/>
              </w:rPr>
              <w:t>10-14</w:t>
            </w:r>
          </w:p>
        </w:tc>
        <w:tc>
          <w:tcPr>
            <w:tcW w:w="1503" w:type="dxa"/>
          </w:tcPr>
          <w:p w14:paraId="387F4349" w14:textId="77777777" w:rsidR="002A7213" w:rsidRDefault="002A7213" w:rsidP="002A72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0.0730</w:t>
            </w:r>
          </w:p>
        </w:tc>
        <w:tc>
          <w:tcPr>
            <w:tcW w:w="1017" w:type="dxa"/>
          </w:tcPr>
          <w:p w14:paraId="05451393" w14:textId="77777777" w:rsidR="002A7213" w:rsidRPr="007864CF" w:rsidRDefault="002A7213" w:rsidP="002A72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rPr>
            </w:pPr>
            <w:r w:rsidRPr="007864CF">
              <w:rPr>
                <w:rFonts w:asciiTheme="minorHAnsi" w:hAnsiTheme="minorHAnsi"/>
                <w:b/>
                <w:color w:val="000000"/>
              </w:rPr>
              <w:t>55-59</w:t>
            </w:r>
          </w:p>
        </w:tc>
        <w:tc>
          <w:tcPr>
            <w:tcW w:w="1801" w:type="dxa"/>
          </w:tcPr>
          <w:p w14:paraId="460CAFE4" w14:textId="77777777" w:rsidR="002A7213" w:rsidRDefault="002A7213" w:rsidP="002A72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Pr>
                <w:rFonts w:asciiTheme="minorHAnsi" w:hAnsiTheme="minorHAnsi"/>
                <w:color w:val="000000"/>
              </w:rPr>
              <w:t>0.0485</w:t>
            </w:r>
          </w:p>
        </w:tc>
      </w:tr>
      <w:tr w:rsidR="002A7213" w:rsidRPr="00303072" w14:paraId="14A8C3D9" w14:textId="77777777" w:rsidTr="002A7213">
        <w:trPr>
          <w:trHeight w:val="242"/>
          <w:jc w:val="center"/>
        </w:trPr>
        <w:tc>
          <w:tcPr>
            <w:cnfStyle w:val="001000000000" w:firstRow="0" w:lastRow="0" w:firstColumn="1" w:lastColumn="0" w:oddVBand="0" w:evenVBand="0" w:oddHBand="0" w:evenHBand="0" w:firstRowFirstColumn="0" w:firstRowLastColumn="0" w:lastRowFirstColumn="0" w:lastRowLastColumn="0"/>
            <w:tcW w:w="1079" w:type="dxa"/>
          </w:tcPr>
          <w:p w14:paraId="62911D16" w14:textId="77777777" w:rsidR="002A7213" w:rsidRPr="004A6EEF" w:rsidRDefault="002A7213" w:rsidP="002A7213">
            <w:pPr>
              <w:jc w:val="center"/>
              <w:rPr>
                <w:rFonts w:asciiTheme="minorHAnsi" w:hAnsiTheme="minorHAnsi"/>
              </w:rPr>
            </w:pPr>
            <w:r w:rsidRPr="004A6EEF">
              <w:rPr>
                <w:rFonts w:asciiTheme="minorHAnsi" w:hAnsiTheme="minorHAnsi"/>
              </w:rPr>
              <w:t>15-19</w:t>
            </w:r>
          </w:p>
        </w:tc>
        <w:tc>
          <w:tcPr>
            <w:tcW w:w="1503" w:type="dxa"/>
          </w:tcPr>
          <w:p w14:paraId="7415C2E9" w14:textId="77777777" w:rsidR="002A7213" w:rsidRDefault="002A7213" w:rsidP="002A72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0.0722</w:t>
            </w:r>
          </w:p>
        </w:tc>
        <w:tc>
          <w:tcPr>
            <w:tcW w:w="1017" w:type="dxa"/>
          </w:tcPr>
          <w:p w14:paraId="01E35065" w14:textId="77777777" w:rsidR="002A7213" w:rsidRPr="007864CF" w:rsidRDefault="002A7213" w:rsidP="002A72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r w:rsidRPr="007864CF">
              <w:rPr>
                <w:rFonts w:asciiTheme="minorHAnsi" w:hAnsiTheme="minorHAnsi"/>
                <w:b/>
                <w:color w:val="000000"/>
              </w:rPr>
              <w:t>60-64</w:t>
            </w:r>
          </w:p>
        </w:tc>
        <w:tc>
          <w:tcPr>
            <w:tcW w:w="1801" w:type="dxa"/>
          </w:tcPr>
          <w:p w14:paraId="088FEDF7" w14:textId="77777777" w:rsidR="002A7213" w:rsidRDefault="002A7213" w:rsidP="002A72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Pr>
                <w:rFonts w:asciiTheme="minorHAnsi" w:hAnsiTheme="minorHAnsi"/>
                <w:color w:val="000000"/>
              </w:rPr>
              <w:t>0.0388</w:t>
            </w:r>
          </w:p>
        </w:tc>
      </w:tr>
      <w:tr w:rsidR="002A7213" w:rsidRPr="00303072" w14:paraId="28204366" w14:textId="77777777" w:rsidTr="002A7213">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079" w:type="dxa"/>
          </w:tcPr>
          <w:p w14:paraId="296E1F43" w14:textId="77777777" w:rsidR="002A7213" w:rsidRPr="004A6EEF" w:rsidRDefault="002A7213" w:rsidP="002A7213">
            <w:pPr>
              <w:jc w:val="center"/>
              <w:rPr>
                <w:rFonts w:asciiTheme="minorHAnsi" w:hAnsiTheme="minorHAnsi"/>
              </w:rPr>
            </w:pPr>
            <w:r w:rsidRPr="004A6EEF">
              <w:rPr>
                <w:rFonts w:asciiTheme="minorHAnsi" w:hAnsiTheme="minorHAnsi"/>
              </w:rPr>
              <w:t>20-24</w:t>
            </w:r>
          </w:p>
        </w:tc>
        <w:tc>
          <w:tcPr>
            <w:tcW w:w="1503" w:type="dxa"/>
          </w:tcPr>
          <w:p w14:paraId="00B203DB" w14:textId="77777777" w:rsidR="002A7213" w:rsidRDefault="002A7213" w:rsidP="002A72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0.0665</w:t>
            </w:r>
          </w:p>
        </w:tc>
        <w:tc>
          <w:tcPr>
            <w:tcW w:w="1017" w:type="dxa"/>
          </w:tcPr>
          <w:p w14:paraId="484A8E5C" w14:textId="77777777" w:rsidR="002A7213" w:rsidRPr="007864CF" w:rsidRDefault="002A7213" w:rsidP="002A72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rPr>
            </w:pPr>
            <w:r w:rsidRPr="007864CF">
              <w:rPr>
                <w:rFonts w:asciiTheme="minorHAnsi" w:hAnsiTheme="minorHAnsi"/>
                <w:b/>
                <w:color w:val="000000"/>
              </w:rPr>
              <w:t>65-69</w:t>
            </w:r>
          </w:p>
        </w:tc>
        <w:tc>
          <w:tcPr>
            <w:tcW w:w="1801" w:type="dxa"/>
          </w:tcPr>
          <w:p w14:paraId="6F443E8B" w14:textId="77777777" w:rsidR="002A7213" w:rsidRDefault="002A7213" w:rsidP="002A72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Pr>
                <w:rFonts w:asciiTheme="minorHAnsi" w:hAnsiTheme="minorHAnsi"/>
                <w:color w:val="000000"/>
              </w:rPr>
              <w:t>0.0343</w:t>
            </w:r>
          </w:p>
        </w:tc>
      </w:tr>
      <w:tr w:rsidR="002A7213" w:rsidRPr="00303072" w14:paraId="46E9CC78" w14:textId="77777777" w:rsidTr="002A7213">
        <w:trPr>
          <w:trHeight w:val="242"/>
          <w:jc w:val="center"/>
        </w:trPr>
        <w:tc>
          <w:tcPr>
            <w:cnfStyle w:val="001000000000" w:firstRow="0" w:lastRow="0" w:firstColumn="1" w:lastColumn="0" w:oddVBand="0" w:evenVBand="0" w:oddHBand="0" w:evenHBand="0" w:firstRowFirstColumn="0" w:firstRowLastColumn="0" w:lastRowFirstColumn="0" w:lastRowLastColumn="0"/>
            <w:tcW w:w="1079" w:type="dxa"/>
          </w:tcPr>
          <w:p w14:paraId="78C65EEB" w14:textId="77777777" w:rsidR="002A7213" w:rsidRPr="004A6EEF" w:rsidRDefault="002A7213" w:rsidP="002A7213">
            <w:pPr>
              <w:jc w:val="center"/>
              <w:rPr>
                <w:rFonts w:asciiTheme="minorHAnsi" w:hAnsiTheme="minorHAnsi"/>
              </w:rPr>
            </w:pPr>
            <w:r w:rsidRPr="004A6EEF">
              <w:rPr>
                <w:rFonts w:asciiTheme="minorHAnsi" w:hAnsiTheme="minorHAnsi"/>
              </w:rPr>
              <w:t>25-29</w:t>
            </w:r>
          </w:p>
        </w:tc>
        <w:tc>
          <w:tcPr>
            <w:tcW w:w="1503" w:type="dxa"/>
          </w:tcPr>
          <w:p w14:paraId="6D34466B" w14:textId="77777777" w:rsidR="002A7213" w:rsidRDefault="002A7213" w:rsidP="002A72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0.0645</w:t>
            </w:r>
          </w:p>
        </w:tc>
        <w:tc>
          <w:tcPr>
            <w:tcW w:w="1017" w:type="dxa"/>
          </w:tcPr>
          <w:p w14:paraId="097E6A30" w14:textId="77777777" w:rsidR="002A7213" w:rsidRPr="007864CF" w:rsidRDefault="002A7213" w:rsidP="002A72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r w:rsidRPr="007864CF">
              <w:rPr>
                <w:rFonts w:asciiTheme="minorHAnsi" w:hAnsiTheme="minorHAnsi"/>
                <w:b/>
                <w:color w:val="000000"/>
              </w:rPr>
              <w:t>70-74</w:t>
            </w:r>
          </w:p>
        </w:tc>
        <w:tc>
          <w:tcPr>
            <w:tcW w:w="1801" w:type="dxa"/>
          </w:tcPr>
          <w:p w14:paraId="51BC7BE4" w14:textId="77777777" w:rsidR="002A7213" w:rsidRDefault="002A7213" w:rsidP="002A72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Pr>
                <w:rFonts w:asciiTheme="minorHAnsi" w:hAnsiTheme="minorHAnsi"/>
                <w:color w:val="000000"/>
              </w:rPr>
              <w:t>0.0318</w:t>
            </w:r>
          </w:p>
        </w:tc>
      </w:tr>
      <w:tr w:rsidR="002A7213" w:rsidRPr="00303072" w14:paraId="491B6058" w14:textId="77777777" w:rsidTr="002A7213">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079" w:type="dxa"/>
          </w:tcPr>
          <w:p w14:paraId="1255EDFD" w14:textId="77777777" w:rsidR="002A7213" w:rsidRPr="004A6EEF" w:rsidRDefault="002A7213" w:rsidP="002A7213">
            <w:pPr>
              <w:jc w:val="center"/>
              <w:rPr>
                <w:rFonts w:asciiTheme="minorHAnsi" w:hAnsiTheme="minorHAnsi"/>
              </w:rPr>
            </w:pPr>
            <w:r w:rsidRPr="004A6EEF">
              <w:rPr>
                <w:rFonts w:asciiTheme="minorHAnsi" w:hAnsiTheme="minorHAnsi"/>
              </w:rPr>
              <w:t>30-34</w:t>
            </w:r>
          </w:p>
        </w:tc>
        <w:tc>
          <w:tcPr>
            <w:tcW w:w="1503" w:type="dxa"/>
          </w:tcPr>
          <w:p w14:paraId="0597C6F3" w14:textId="77777777" w:rsidR="002A7213" w:rsidRDefault="002A7213" w:rsidP="002A72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0.0710</w:t>
            </w:r>
          </w:p>
        </w:tc>
        <w:tc>
          <w:tcPr>
            <w:tcW w:w="1017" w:type="dxa"/>
          </w:tcPr>
          <w:p w14:paraId="2AB8090F" w14:textId="77777777" w:rsidR="002A7213" w:rsidRPr="007864CF" w:rsidRDefault="002A7213" w:rsidP="002A72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rPr>
            </w:pPr>
            <w:r w:rsidRPr="007864CF">
              <w:rPr>
                <w:rFonts w:asciiTheme="minorHAnsi" w:hAnsiTheme="minorHAnsi"/>
                <w:b/>
                <w:color w:val="000000"/>
              </w:rPr>
              <w:t>75-79</w:t>
            </w:r>
          </w:p>
        </w:tc>
        <w:tc>
          <w:tcPr>
            <w:tcW w:w="1801" w:type="dxa"/>
          </w:tcPr>
          <w:p w14:paraId="71404170" w14:textId="77777777" w:rsidR="002A7213" w:rsidRDefault="002A7213" w:rsidP="002A72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Pr>
                <w:rFonts w:asciiTheme="minorHAnsi" w:hAnsiTheme="minorHAnsi"/>
                <w:color w:val="000000"/>
              </w:rPr>
              <w:t>0.0270</w:t>
            </w:r>
          </w:p>
        </w:tc>
      </w:tr>
      <w:tr w:rsidR="002A7213" w:rsidRPr="00303072" w14:paraId="6896395F" w14:textId="77777777" w:rsidTr="002A7213">
        <w:trPr>
          <w:trHeight w:val="242"/>
          <w:jc w:val="center"/>
        </w:trPr>
        <w:tc>
          <w:tcPr>
            <w:cnfStyle w:val="001000000000" w:firstRow="0" w:lastRow="0" w:firstColumn="1" w:lastColumn="0" w:oddVBand="0" w:evenVBand="0" w:oddHBand="0" w:evenHBand="0" w:firstRowFirstColumn="0" w:firstRowLastColumn="0" w:lastRowFirstColumn="0" w:lastRowLastColumn="0"/>
            <w:tcW w:w="1079" w:type="dxa"/>
          </w:tcPr>
          <w:p w14:paraId="3A4BF725" w14:textId="77777777" w:rsidR="002A7213" w:rsidRPr="004A6EEF" w:rsidRDefault="002A7213" w:rsidP="002A7213">
            <w:pPr>
              <w:jc w:val="center"/>
              <w:rPr>
                <w:rFonts w:asciiTheme="minorHAnsi" w:hAnsiTheme="minorHAnsi"/>
              </w:rPr>
            </w:pPr>
            <w:r w:rsidRPr="004A6EEF">
              <w:rPr>
                <w:rFonts w:asciiTheme="minorHAnsi" w:hAnsiTheme="minorHAnsi"/>
              </w:rPr>
              <w:t>35-39</w:t>
            </w:r>
          </w:p>
        </w:tc>
        <w:tc>
          <w:tcPr>
            <w:tcW w:w="1503" w:type="dxa"/>
          </w:tcPr>
          <w:p w14:paraId="0F5524DB" w14:textId="77777777" w:rsidR="002A7213" w:rsidRDefault="002A7213" w:rsidP="002A72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0.0808</w:t>
            </w:r>
          </w:p>
        </w:tc>
        <w:tc>
          <w:tcPr>
            <w:tcW w:w="1017" w:type="dxa"/>
          </w:tcPr>
          <w:p w14:paraId="507393F0" w14:textId="77777777" w:rsidR="002A7213" w:rsidRPr="007864CF" w:rsidRDefault="002A7213" w:rsidP="002A72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r w:rsidRPr="007864CF">
              <w:rPr>
                <w:rFonts w:asciiTheme="minorHAnsi" w:hAnsiTheme="minorHAnsi"/>
                <w:b/>
                <w:color w:val="000000"/>
              </w:rPr>
              <w:t>80-84</w:t>
            </w:r>
          </w:p>
        </w:tc>
        <w:tc>
          <w:tcPr>
            <w:tcW w:w="1801" w:type="dxa"/>
          </w:tcPr>
          <w:p w14:paraId="7CFF48BB" w14:textId="77777777" w:rsidR="002A7213" w:rsidRDefault="002A7213" w:rsidP="002A72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Pr>
                <w:rFonts w:asciiTheme="minorHAnsi" w:hAnsiTheme="minorHAnsi"/>
                <w:color w:val="000000"/>
              </w:rPr>
              <w:t>0.0178</w:t>
            </w:r>
          </w:p>
        </w:tc>
      </w:tr>
      <w:tr w:rsidR="002A7213" w:rsidRPr="00303072" w14:paraId="2B9C6ABE" w14:textId="77777777" w:rsidTr="002A7213">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079" w:type="dxa"/>
          </w:tcPr>
          <w:p w14:paraId="6623F310" w14:textId="77777777" w:rsidR="002A7213" w:rsidRPr="004A6EEF" w:rsidRDefault="002A7213" w:rsidP="002A7213">
            <w:pPr>
              <w:jc w:val="center"/>
              <w:rPr>
                <w:rFonts w:asciiTheme="minorHAnsi" w:hAnsiTheme="minorHAnsi"/>
              </w:rPr>
            </w:pPr>
            <w:r w:rsidRPr="004A6EEF">
              <w:rPr>
                <w:rFonts w:asciiTheme="minorHAnsi" w:hAnsiTheme="minorHAnsi"/>
              </w:rPr>
              <w:t>40-44</w:t>
            </w:r>
          </w:p>
        </w:tc>
        <w:tc>
          <w:tcPr>
            <w:tcW w:w="1503" w:type="dxa"/>
          </w:tcPr>
          <w:p w14:paraId="0C3088D4" w14:textId="77777777" w:rsidR="002A7213" w:rsidRDefault="002A7213" w:rsidP="002A72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0.0819</w:t>
            </w:r>
          </w:p>
        </w:tc>
        <w:tc>
          <w:tcPr>
            <w:tcW w:w="1017" w:type="dxa"/>
          </w:tcPr>
          <w:p w14:paraId="3CFDE297" w14:textId="77777777" w:rsidR="002A7213" w:rsidRPr="007864CF" w:rsidRDefault="002A7213" w:rsidP="002A72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rPr>
            </w:pPr>
            <w:r w:rsidRPr="007864CF">
              <w:rPr>
                <w:rFonts w:asciiTheme="minorHAnsi" w:hAnsiTheme="minorHAnsi"/>
                <w:b/>
                <w:color w:val="000000"/>
              </w:rPr>
              <w:t>85+</w:t>
            </w:r>
          </w:p>
        </w:tc>
        <w:tc>
          <w:tcPr>
            <w:tcW w:w="1801" w:type="dxa"/>
          </w:tcPr>
          <w:p w14:paraId="72EA8FD2" w14:textId="77777777" w:rsidR="002A7213" w:rsidRDefault="002A7213" w:rsidP="002A72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Pr>
                <w:rFonts w:asciiTheme="minorHAnsi" w:hAnsiTheme="minorHAnsi"/>
                <w:color w:val="000000"/>
              </w:rPr>
              <w:t>0.0155</w:t>
            </w:r>
          </w:p>
        </w:tc>
      </w:tr>
    </w:tbl>
    <w:p w14:paraId="2AB7D3D1" w14:textId="6D587A6F" w:rsidR="002A7213" w:rsidRPr="00EA7E44" w:rsidRDefault="002A7213" w:rsidP="00EA7E44">
      <w:pPr>
        <w:widowControl w:val="0"/>
        <w:spacing w:after="0" w:line="240" w:lineRule="auto"/>
        <w:ind w:left="2246" w:right="1699"/>
        <w:rPr>
          <w:rFonts w:asciiTheme="minorHAnsi" w:hAnsiTheme="minorHAnsi" w:cs="Arial"/>
          <w:i/>
          <w:sz w:val="16"/>
          <w:szCs w:val="16"/>
        </w:rPr>
      </w:pPr>
      <w:r w:rsidRPr="00EA7E44">
        <w:rPr>
          <w:rFonts w:asciiTheme="minorHAnsi" w:hAnsiTheme="minorHAnsi" w:cstheme="minorHAnsi"/>
          <w:i/>
          <w:sz w:val="16"/>
          <w:szCs w:val="16"/>
        </w:rPr>
        <w:t>Source:</w:t>
      </w:r>
      <w:r w:rsidR="00AE209D" w:rsidRPr="00EA7E44">
        <w:rPr>
          <w:rFonts w:asciiTheme="minorHAnsi" w:hAnsiTheme="minorHAnsi" w:cstheme="minorHAnsi"/>
          <w:i/>
          <w:sz w:val="16"/>
          <w:szCs w:val="16"/>
        </w:rPr>
        <w:t xml:space="preserve"> U.S. Census</w:t>
      </w:r>
      <w:r w:rsidR="00A317F2" w:rsidRPr="00EA7E44">
        <w:rPr>
          <w:rFonts w:asciiTheme="minorHAnsi" w:hAnsiTheme="minorHAnsi" w:cs="Arial"/>
          <w:i/>
          <w:sz w:val="16"/>
          <w:szCs w:val="16"/>
        </w:rPr>
        <w:t xml:space="preserve"> 2000</w:t>
      </w:r>
      <w:r w:rsidR="00AE209D" w:rsidRPr="00EA7E44">
        <w:rPr>
          <w:rFonts w:asciiTheme="minorHAnsi" w:hAnsiTheme="minorHAnsi" w:cs="Arial"/>
          <w:i/>
          <w:sz w:val="16"/>
          <w:szCs w:val="16"/>
        </w:rPr>
        <w:t>, accessed from SEER,</w:t>
      </w:r>
      <w:r w:rsidRPr="00EA7E44">
        <w:rPr>
          <w:i/>
          <w:sz w:val="16"/>
          <w:szCs w:val="16"/>
        </w:rPr>
        <w:t xml:space="preserve"> </w:t>
      </w:r>
      <w:hyperlink r:id="rId69" w:history="1">
        <w:r w:rsidR="003C517C" w:rsidRPr="003C517C">
          <w:rPr>
            <w:rStyle w:val="Hyperlink"/>
            <w:rFonts w:asciiTheme="minorHAnsi" w:hAnsiTheme="minorHAnsi" w:cs="Arial"/>
            <w:i/>
            <w:sz w:val="16"/>
            <w:szCs w:val="16"/>
          </w:rPr>
          <w:t>http://seer.cancer.gov/stdpopulations/19ages.proportions.html</w:t>
        </w:r>
      </w:hyperlink>
      <w:r w:rsidRPr="00EA7E44">
        <w:rPr>
          <w:rFonts w:asciiTheme="minorHAnsi" w:hAnsiTheme="minorHAnsi" w:cstheme="minorHAnsi"/>
          <w:i/>
          <w:sz w:val="16"/>
          <w:szCs w:val="16"/>
        </w:rPr>
        <w:t xml:space="preserve"> </w:t>
      </w:r>
    </w:p>
    <w:p w14:paraId="09A2802B" w14:textId="77777777" w:rsidR="0073505A" w:rsidRPr="006D51FB" w:rsidRDefault="0073505A" w:rsidP="002A7213">
      <w:pPr>
        <w:spacing w:after="120" w:line="240" w:lineRule="auto"/>
        <w:rPr>
          <w:rFonts w:asciiTheme="minorHAnsi" w:hAnsiTheme="minorHAnsi" w:cs="Arial"/>
          <w:sz w:val="10"/>
          <w:szCs w:val="10"/>
        </w:rPr>
      </w:pPr>
    </w:p>
    <w:p w14:paraId="6945B5C4" w14:textId="6825B520" w:rsidR="002A7213" w:rsidRPr="002E0289" w:rsidRDefault="002A7213" w:rsidP="002A7213">
      <w:pPr>
        <w:spacing w:after="120" w:line="240" w:lineRule="auto"/>
        <w:rPr>
          <w:rFonts w:asciiTheme="minorHAnsi" w:hAnsiTheme="minorHAnsi" w:cs="Arial"/>
          <w:szCs w:val="20"/>
        </w:rPr>
      </w:pPr>
      <w:r w:rsidRPr="002E0289">
        <w:rPr>
          <w:rFonts w:asciiTheme="minorHAnsi" w:hAnsiTheme="minorHAnsi" w:cs="Arial"/>
          <w:szCs w:val="20"/>
        </w:rPr>
        <w:t>The formula for an age-adjusted rate can be presented as follows:</w:t>
      </w:r>
    </w:p>
    <w:p w14:paraId="325B0CED" w14:textId="77777777" w:rsidR="002A7213" w:rsidRPr="002E0289" w:rsidRDefault="002A7213" w:rsidP="002A7213">
      <w:pPr>
        <w:spacing w:after="120" w:line="240" w:lineRule="auto"/>
        <w:jc w:val="center"/>
        <w:rPr>
          <w:rFonts w:asciiTheme="minorHAnsi" w:hAnsiTheme="minorHAnsi" w:cs="Arial"/>
          <w:i/>
          <w:szCs w:val="20"/>
        </w:rPr>
      </w:pPr>
      <w:r w:rsidRPr="002E0289">
        <w:rPr>
          <w:rFonts w:asciiTheme="minorHAnsi" w:hAnsiTheme="minorHAnsi" w:cs="Arial"/>
          <w:i/>
          <w:szCs w:val="20"/>
        </w:rPr>
        <w:t>Age-Adjusted Rate = sum (</w:t>
      </w:r>
      <w:proofErr w:type="spellStart"/>
      <w:r w:rsidRPr="002E0289">
        <w:rPr>
          <w:rFonts w:asciiTheme="minorHAnsi" w:hAnsiTheme="minorHAnsi" w:cs="Arial"/>
          <w:i/>
          <w:szCs w:val="20"/>
        </w:rPr>
        <w:t>w</w:t>
      </w:r>
      <w:r w:rsidRPr="002E0289">
        <w:rPr>
          <w:rFonts w:asciiTheme="minorHAnsi" w:hAnsiTheme="minorHAnsi" w:cs="Arial"/>
          <w:i/>
          <w:szCs w:val="20"/>
          <w:vertAlign w:val="subscript"/>
        </w:rPr>
        <w:t>i</w:t>
      </w:r>
      <w:proofErr w:type="spellEnd"/>
      <w:r w:rsidRPr="002E0289">
        <w:rPr>
          <w:rFonts w:asciiTheme="minorHAnsi" w:hAnsiTheme="minorHAnsi" w:cs="Arial"/>
          <w:i/>
          <w:szCs w:val="20"/>
        </w:rPr>
        <w:t xml:space="preserve"> x ((c</w:t>
      </w:r>
      <w:r w:rsidRPr="002E0289">
        <w:rPr>
          <w:rFonts w:asciiTheme="minorHAnsi" w:hAnsiTheme="minorHAnsi" w:cs="Arial"/>
          <w:i/>
          <w:szCs w:val="20"/>
          <w:vertAlign w:val="subscript"/>
        </w:rPr>
        <w:t>i</w:t>
      </w:r>
      <w:r w:rsidRPr="002E0289">
        <w:rPr>
          <w:rFonts w:asciiTheme="minorHAnsi" w:hAnsiTheme="minorHAnsi" w:cs="Arial"/>
          <w:i/>
          <w:szCs w:val="20"/>
        </w:rPr>
        <w:t>/</w:t>
      </w:r>
      <w:proofErr w:type="spellStart"/>
      <w:r w:rsidRPr="002E0289">
        <w:rPr>
          <w:rFonts w:asciiTheme="minorHAnsi" w:hAnsiTheme="minorHAnsi" w:cs="Arial"/>
          <w:i/>
          <w:szCs w:val="20"/>
        </w:rPr>
        <w:t>n</w:t>
      </w:r>
      <w:r w:rsidRPr="002E0289">
        <w:rPr>
          <w:rFonts w:asciiTheme="minorHAnsi" w:hAnsiTheme="minorHAnsi" w:cs="Arial"/>
          <w:i/>
          <w:szCs w:val="20"/>
          <w:vertAlign w:val="subscript"/>
        </w:rPr>
        <w:t>i</w:t>
      </w:r>
      <w:proofErr w:type="spellEnd"/>
      <w:r w:rsidRPr="002E0289">
        <w:rPr>
          <w:rFonts w:asciiTheme="minorHAnsi" w:hAnsiTheme="minorHAnsi" w:cs="Arial"/>
          <w:i/>
          <w:szCs w:val="20"/>
        </w:rPr>
        <w:t>) x 100,000))</w:t>
      </w:r>
    </w:p>
    <w:p w14:paraId="6A0BA913" w14:textId="587D928D" w:rsidR="002A7213" w:rsidRDefault="002A7213" w:rsidP="00B21C83">
      <w:pPr>
        <w:pStyle w:val="ListParagraph"/>
        <w:numPr>
          <w:ilvl w:val="0"/>
          <w:numId w:val="16"/>
        </w:numPr>
        <w:spacing w:after="0" w:line="240" w:lineRule="auto"/>
        <w:contextualSpacing w:val="0"/>
        <w:rPr>
          <w:rFonts w:asciiTheme="minorHAnsi" w:hAnsiTheme="minorHAnsi" w:cs="Arial"/>
          <w:szCs w:val="20"/>
        </w:rPr>
      </w:pPr>
      <w:r w:rsidRPr="00222A40">
        <w:rPr>
          <w:rFonts w:asciiTheme="minorHAnsi" w:hAnsiTheme="minorHAnsi" w:cs="Arial"/>
          <w:i/>
          <w:iCs/>
          <w:szCs w:val="20"/>
        </w:rPr>
        <w:t>c</w:t>
      </w:r>
      <w:r w:rsidRPr="00222A40">
        <w:rPr>
          <w:rFonts w:asciiTheme="minorHAnsi" w:hAnsiTheme="minorHAnsi" w:cs="Arial"/>
          <w:i/>
          <w:iCs/>
          <w:szCs w:val="20"/>
          <w:vertAlign w:val="subscript"/>
        </w:rPr>
        <w:t>i</w:t>
      </w:r>
      <w:r w:rsidRPr="00222A40">
        <w:rPr>
          <w:rFonts w:asciiTheme="minorHAnsi" w:hAnsiTheme="minorHAnsi" w:cs="Arial"/>
          <w:szCs w:val="20"/>
        </w:rPr>
        <w:t xml:space="preserve"> is the number of new cases or deaths in the </w:t>
      </w:r>
      <w:proofErr w:type="gramStart"/>
      <w:r w:rsidRPr="00222A40">
        <w:rPr>
          <w:rFonts w:asciiTheme="minorHAnsi" w:hAnsiTheme="minorHAnsi" w:cs="Arial"/>
          <w:i/>
          <w:iCs/>
          <w:szCs w:val="20"/>
        </w:rPr>
        <w:t>i</w:t>
      </w:r>
      <w:r>
        <w:rPr>
          <w:rFonts w:asciiTheme="minorHAnsi" w:hAnsiTheme="minorHAnsi" w:cs="Arial"/>
          <w:szCs w:val="20"/>
        </w:rPr>
        <w:t xml:space="preserve"> age</w:t>
      </w:r>
      <w:proofErr w:type="gramEnd"/>
      <w:r>
        <w:rPr>
          <w:rFonts w:asciiTheme="minorHAnsi" w:hAnsiTheme="minorHAnsi" w:cs="Arial"/>
          <w:szCs w:val="20"/>
        </w:rPr>
        <w:t xml:space="preserve"> group</w:t>
      </w:r>
      <w:r w:rsidR="00E16707">
        <w:rPr>
          <w:rFonts w:asciiTheme="minorHAnsi" w:hAnsiTheme="minorHAnsi" w:cs="Arial"/>
          <w:szCs w:val="20"/>
        </w:rPr>
        <w:t>.</w:t>
      </w:r>
    </w:p>
    <w:p w14:paraId="5C623AF5" w14:textId="254F331F" w:rsidR="002A7213" w:rsidRPr="00222A40" w:rsidRDefault="002A7213" w:rsidP="00B21C83">
      <w:pPr>
        <w:pStyle w:val="ListParagraph"/>
        <w:numPr>
          <w:ilvl w:val="0"/>
          <w:numId w:val="16"/>
        </w:numPr>
        <w:spacing w:after="0" w:line="240" w:lineRule="auto"/>
        <w:contextualSpacing w:val="0"/>
        <w:rPr>
          <w:rFonts w:asciiTheme="minorHAnsi" w:hAnsiTheme="minorHAnsi" w:cs="Arial"/>
          <w:szCs w:val="20"/>
        </w:rPr>
      </w:pPr>
      <w:r w:rsidRPr="00222A40">
        <w:rPr>
          <w:rFonts w:asciiTheme="minorHAnsi" w:hAnsiTheme="minorHAnsi" w:cs="Arial"/>
          <w:i/>
          <w:iCs/>
          <w:szCs w:val="20"/>
        </w:rPr>
        <w:t>n</w:t>
      </w:r>
      <w:r w:rsidRPr="00222A40">
        <w:rPr>
          <w:rFonts w:asciiTheme="minorHAnsi" w:hAnsiTheme="minorHAnsi" w:cs="Arial"/>
          <w:i/>
          <w:iCs/>
          <w:szCs w:val="20"/>
          <w:vertAlign w:val="subscript"/>
        </w:rPr>
        <w:t>i</w:t>
      </w:r>
      <w:r w:rsidRPr="00222A40">
        <w:rPr>
          <w:rFonts w:asciiTheme="minorHAnsi" w:hAnsiTheme="minorHAnsi" w:cs="Arial"/>
          <w:szCs w:val="20"/>
        </w:rPr>
        <w:t xml:space="preserve"> is the population estimate for the </w:t>
      </w:r>
      <w:r w:rsidRPr="00222A40">
        <w:rPr>
          <w:rFonts w:asciiTheme="minorHAnsi" w:hAnsiTheme="minorHAnsi" w:cs="Arial"/>
          <w:i/>
          <w:iCs/>
          <w:szCs w:val="20"/>
        </w:rPr>
        <w:t>i</w:t>
      </w:r>
      <w:r>
        <w:rPr>
          <w:rFonts w:asciiTheme="minorHAnsi" w:hAnsiTheme="minorHAnsi" w:cs="Arial"/>
          <w:szCs w:val="20"/>
        </w:rPr>
        <w:t xml:space="preserve"> age group</w:t>
      </w:r>
      <w:r w:rsidR="00E16707">
        <w:rPr>
          <w:rFonts w:asciiTheme="minorHAnsi" w:hAnsiTheme="minorHAnsi" w:cs="Arial"/>
          <w:szCs w:val="20"/>
        </w:rPr>
        <w:t>.</w:t>
      </w:r>
    </w:p>
    <w:p w14:paraId="3F7CA8EA" w14:textId="1FB69C54" w:rsidR="002A7213" w:rsidRPr="00222A40" w:rsidRDefault="002A7213" w:rsidP="00B21C83">
      <w:pPr>
        <w:pStyle w:val="ListParagraph"/>
        <w:numPr>
          <w:ilvl w:val="0"/>
          <w:numId w:val="16"/>
        </w:numPr>
        <w:spacing w:after="120" w:line="240" w:lineRule="auto"/>
        <w:contextualSpacing w:val="0"/>
        <w:rPr>
          <w:rFonts w:asciiTheme="minorHAnsi" w:hAnsiTheme="minorHAnsi" w:cs="Arial"/>
          <w:szCs w:val="20"/>
        </w:rPr>
      </w:pPr>
      <w:r w:rsidRPr="00222A40">
        <w:rPr>
          <w:rFonts w:asciiTheme="minorHAnsi" w:hAnsiTheme="minorHAnsi" w:cs="Arial"/>
          <w:i/>
          <w:iCs/>
          <w:szCs w:val="20"/>
        </w:rPr>
        <w:t>w</w:t>
      </w:r>
      <w:r w:rsidRPr="00222A40">
        <w:rPr>
          <w:rFonts w:asciiTheme="minorHAnsi" w:hAnsiTheme="minorHAnsi" w:cs="Arial"/>
          <w:i/>
          <w:iCs/>
          <w:szCs w:val="20"/>
          <w:vertAlign w:val="subscript"/>
        </w:rPr>
        <w:t>i</w:t>
      </w:r>
      <w:r w:rsidRPr="00222A40">
        <w:rPr>
          <w:rFonts w:asciiTheme="minorHAnsi" w:hAnsiTheme="minorHAnsi" w:cs="Arial"/>
          <w:szCs w:val="20"/>
        </w:rPr>
        <w:t xml:space="preserve"> is the proportion of the standard population in the </w:t>
      </w:r>
      <w:r w:rsidRPr="00222A40">
        <w:rPr>
          <w:rFonts w:asciiTheme="minorHAnsi" w:hAnsiTheme="minorHAnsi" w:cs="Arial"/>
          <w:i/>
          <w:iCs/>
          <w:szCs w:val="20"/>
        </w:rPr>
        <w:t>i</w:t>
      </w:r>
      <w:r>
        <w:rPr>
          <w:rFonts w:asciiTheme="minorHAnsi" w:hAnsiTheme="minorHAnsi" w:cs="Arial"/>
          <w:szCs w:val="20"/>
        </w:rPr>
        <w:t xml:space="preserve"> age group</w:t>
      </w:r>
      <w:r w:rsidR="007961A9">
        <w:rPr>
          <w:rFonts w:asciiTheme="minorHAnsi" w:hAnsiTheme="minorHAnsi" w:cs="Arial"/>
          <w:szCs w:val="20"/>
        </w:rPr>
        <w:t>.</w:t>
      </w:r>
    </w:p>
    <w:p w14:paraId="2C68DFAB" w14:textId="45021381" w:rsidR="002A7213" w:rsidRDefault="002A7213" w:rsidP="002A7213">
      <w:pPr>
        <w:spacing w:after="120" w:line="240" w:lineRule="auto"/>
        <w:rPr>
          <w:rFonts w:asciiTheme="minorHAnsi" w:hAnsiTheme="minorHAnsi" w:cs="Arial"/>
          <w:szCs w:val="20"/>
        </w:rPr>
      </w:pPr>
      <w:r w:rsidRPr="00222A40">
        <w:rPr>
          <w:rFonts w:asciiTheme="minorHAnsi" w:hAnsiTheme="minorHAnsi" w:cs="Arial"/>
          <w:szCs w:val="20"/>
        </w:rPr>
        <w:t xml:space="preserve">All rates </w:t>
      </w:r>
      <w:r w:rsidR="00FF2DF5">
        <w:rPr>
          <w:rFonts w:asciiTheme="minorHAnsi" w:hAnsiTheme="minorHAnsi" w:cs="Arial"/>
          <w:szCs w:val="20"/>
        </w:rPr>
        <w:t>are</w:t>
      </w:r>
      <w:r w:rsidRPr="00222A40">
        <w:rPr>
          <w:rFonts w:asciiTheme="minorHAnsi" w:hAnsiTheme="minorHAnsi" w:cs="Arial"/>
          <w:szCs w:val="20"/>
        </w:rPr>
        <w:t xml:space="preserve"> expressed per 100,000 of the population.</w:t>
      </w:r>
    </w:p>
    <w:p w14:paraId="3649A8C6" w14:textId="4527F4AC" w:rsidR="00DB7BD2" w:rsidRDefault="00DB7BD2" w:rsidP="00DB7BD2">
      <w:pPr>
        <w:pStyle w:val="Heading31"/>
      </w:pPr>
      <w:r>
        <w:t>Trends over time: JoinPoint Methodology</w:t>
      </w:r>
    </w:p>
    <w:p w14:paraId="1770B2C5" w14:textId="008A77E0" w:rsidR="00DB1926" w:rsidRPr="004B6CBF" w:rsidRDefault="00C21065">
      <w:pPr>
        <w:rPr>
          <w:rFonts w:asciiTheme="minorHAnsi" w:hAnsiTheme="minorHAnsi" w:cstheme="minorHAnsi"/>
        </w:rPr>
      </w:pPr>
      <w:r w:rsidRPr="000A315C">
        <w:rPr>
          <w:rFonts w:asciiTheme="minorHAnsi" w:hAnsiTheme="minorHAnsi" w:cstheme="minorHAnsi"/>
          <w:color w:val="000000"/>
        </w:rPr>
        <w:t>For this report, trend analysis was calculated using Joinpoint statistical software available through the N</w:t>
      </w:r>
      <w:r w:rsidR="00D766FA">
        <w:rPr>
          <w:rFonts w:asciiTheme="minorHAnsi" w:hAnsiTheme="minorHAnsi" w:cstheme="minorHAnsi"/>
          <w:color w:val="000000"/>
        </w:rPr>
        <w:t>CI</w:t>
      </w:r>
      <w:r w:rsidRPr="000A315C">
        <w:rPr>
          <w:rFonts w:asciiTheme="minorHAnsi" w:hAnsiTheme="minorHAnsi" w:cstheme="minorHAnsi"/>
          <w:color w:val="000000"/>
        </w:rPr>
        <w:t>.</w:t>
      </w:r>
      <w:r w:rsidR="00006BB6" w:rsidRPr="000A315C">
        <w:rPr>
          <w:rStyle w:val="FootnoteReference"/>
          <w:rFonts w:asciiTheme="minorHAnsi" w:hAnsiTheme="minorHAnsi" w:cstheme="minorHAnsi"/>
          <w:color w:val="000000"/>
        </w:rPr>
        <w:footnoteReference w:id="27"/>
      </w:r>
      <w:r w:rsidRPr="000A315C">
        <w:rPr>
          <w:rFonts w:asciiTheme="minorHAnsi" w:hAnsiTheme="minorHAnsi" w:cstheme="minorHAnsi"/>
          <w:color w:val="000000"/>
        </w:rPr>
        <w:t xml:space="preserve"> Briefly, trend data (e.g., cancer incidence and mortality rates), are input into the software and the software fits the simplest </w:t>
      </w:r>
      <w:r w:rsidR="0045608C">
        <w:rPr>
          <w:rFonts w:asciiTheme="minorHAnsi" w:hAnsiTheme="minorHAnsi" w:cstheme="minorHAnsi"/>
          <w:color w:val="000000"/>
        </w:rPr>
        <w:t>J</w:t>
      </w:r>
      <w:r w:rsidRPr="000A315C">
        <w:rPr>
          <w:rFonts w:asciiTheme="minorHAnsi" w:hAnsiTheme="minorHAnsi" w:cstheme="minorHAnsi"/>
          <w:color w:val="000000"/>
        </w:rPr>
        <w:t xml:space="preserve">oinpoint model that is identified from the data. </w:t>
      </w:r>
      <w:r w:rsidR="00D766FA">
        <w:rPr>
          <w:rFonts w:asciiTheme="minorHAnsi" w:hAnsiTheme="minorHAnsi" w:cstheme="minorHAnsi"/>
          <w:color w:val="000000"/>
        </w:rPr>
        <w:t xml:space="preserve"> </w:t>
      </w:r>
      <w:r w:rsidRPr="000A315C">
        <w:rPr>
          <w:rFonts w:asciiTheme="minorHAnsi" w:hAnsiTheme="minorHAnsi" w:cstheme="minorHAnsi"/>
          <w:color w:val="000000"/>
        </w:rPr>
        <w:t xml:space="preserve">The model provides information </w:t>
      </w:r>
      <w:r w:rsidR="00D766FA">
        <w:rPr>
          <w:rFonts w:asciiTheme="minorHAnsi" w:hAnsiTheme="minorHAnsi" w:cstheme="minorHAnsi"/>
          <w:color w:val="000000"/>
        </w:rPr>
        <w:t xml:space="preserve">about  </w:t>
      </w:r>
      <w:r w:rsidRPr="000A315C">
        <w:rPr>
          <w:rFonts w:asciiTheme="minorHAnsi" w:hAnsiTheme="minorHAnsi" w:cstheme="minorHAnsi"/>
          <w:color w:val="000000"/>
        </w:rPr>
        <w:t xml:space="preserve"> significant changes in the trend across</w:t>
      </w:r>
      <w:r w:rsidR="00D766FA">
        <w:rPr>
          <w:rFonts w:asciiTheme="minorHAnsi" w:hAnsiTheme="minorHAnsi" w:cstheme="minorHAnsi"/>
          <w:color w:val="000000"/>
        </w:rPr>
        <w:t xml:space="preserve"> the</w:t>
      </w:r>
      <w:r w:rsidRPr="000A315C">
        <w:rPr>
          <w:rFonts w:asciiTheme="minorHAnsi" w:hAnsiTheme="minorHAnsi" w:cstheme="minorHAnsi"/>
          <w:color w:val="000000"/>
        </w:rPr>
        <w:t xml:space="preserve"> years and calculates </w:t>
      </w:r>
      <w:r w:rsidR="00D766FA">
        <w:rPr>
          <w:rFonts w:asciiTheme="minorHAnsi" w:hAnsiTheme="minorHAnsi" w:cstheme="minorHAnsi"/>
          <w:color w:val="000000"/>
        </w:rPr>
        <w:t xml:space="preserve">the </w:t>
      </w:r>
      <w:r w:rsidRPr="000A315C">
        <w:rPr>
          <w:rFonts w:asciiTheme="minorHAnsi" w:hAnsiTheme="minorHAnsi" w:cstheme="minorHAnsi"/>
          <w:color w:val="000000"/>
        </w:rPr>
        <w:t>annual percent change</w:t>
      </w:r>
      <w:r w:rsidR="00D04ABD">
        <w:rPr>
          <w:rFonts w:asciiTheme="minorHAnsi" w:hAnsiTheme="minorHAnsi" w:cstheme="minorHAnsi"/>
          <w:color w:val="000000"/>
        </w:rPr>
        <w:t xml:space="preserve"> (APC)</w:t>
      </w:r>
      <w:r w:rsidRPr="000A315C">
        <w:rPr>
          <w:rFonts w:asciiTheme="minorHAnsi" w:hAnsiTheme="minorHAnsi" w:cstheme="minorHAnsi"/>
          <w:color w:val="000000"/>
        </w:rPr>
        <w:t>.</w:t>
      </w:r>
      <w:r w:rsidR="00D04ABD">
        <w:rPr>
          <w:rFonts w:asciiTheme="minorHAnsi" w:hAnsiTheme="minorHAnsi" w:cstheme="minorHAnsi"/>
          <w:color w:val="000000"/>
        </w:rPr>
        <w:t xml:space="preserve"> </w:t>
      </w:r>
      <w:r w:rsidR="0045608C">
        <w:rPr>
          <w:rFonts w:asciiTheme="minorHAnsi" w:hAnsiTheme="minorHAnsi" w:cstheme="minorHAnsi"/>
          <w:color w:val="000000"/>
        </w:rPr>
        <w:t xml:space="preserve"> </w:t>
      </w:r>
      <w:r w:rsidR="00D04ABD">
        <w:rPr>
          <w:rFonts w:asciiTheme="minorHAnsi" w:hAnsiTheme="minorHAnsi" w:cstheme="minorHAnsi"/>
          <w:color w:val="000000"/>
        </w:rPr>
        <w:t xml:space="preserve">An average annual percent change can also be calculated to summarize the trend over a pre-specified fixed interval (e.g., 2007-2021) and allows us to use a single number to describe the average APCs over a period of multiple years. </w:t>
      </w:r>
      <w:r w:rsidR="00342882">
        <w:rPr>
          <w:rFonts w:asciiTheme="minorHAnsi" w:hAnsiTheme="minorHAnsi" w:cstheme="minorHAnsi"/>
          <w:color w:val="000000"/>
        </w:rPr>
        <w:t xml:space="preserve"> </w:t>
      </w:r>
      <w:r w:rsidR="00D04ABD" w:rsidRPr="00D04ABD">
        <w:rPr>
          <w:rFonts w:asciiTheme="minorHAnsi" w:hAnsiTheme="minorHAnsi" w:cstheme="minorHAnsi"/>
          <w:color w:val="000000"/>
        </w:rPr>
        <w:t xml:space="preserve">It is computed as a weighted average of the APCs from the </w:t>
      </w:r>
      <w:r w:rsidR="007961A9">
        <w:rPr>
          <w:rFonts w:asciiTheme="minorHAnsi" w:hAnsiTheme="minorHAnsi" w:cstheme="minorHAnsi"/>
          <w:color w:val="000000"/>
        </w:rPr>
        <w:t>J</w:t>
      </w:r>
      <w:r w:rsidR="00D04ABD" w:rsidRPr="00D04ABD">
        <w:rPr>
          <w:rFonts w:asciiTheme="minorHAnsi" w:hAnsiTheme="minorHAnsi" w:cstheme="minorHAnsi"/>
          <w:color w:val="000000"/>
        </w:rPr>
        <w:t>oinpoint model, with the weights equal to the length of the APC interval.</w:t>
      </w:r>
      <w:bookmarkStart w:id="5356" w:name="_Toc135759765"/>
      <w:bookmarkStart w:id="5357" w:name="_Toc139340427"/>
      <w:bookmarkStart w:id="5358" w:name="_Toc140394126"/>
      <w:bookmarkStart w:id="5359" w:name="_Toc140396392"/>
    </w:p>
    <w:p w14:paraId="4E59619C" w14:textId="0DEF8717" w:rsidR="002A7213" w:rsidRPr="002A7213" w:rsidRDefault="002A7213" w:rsidP="002A7213">
      <w:pPr>
        <w:pStyle w:val="Heading3"/>
        <w:spacing w:before="120" w:after="120"/>
        <w:rPr>
          <w:rFonts w:asciiTheme="minorHAnsi" w:hAnsiTheme="minorHAnsi"/>
          <w:b/>
        </w:rPr>
      </w:pPr>
      <w:r w:rsidRPr="002A7213">
        <w:rPr>
          <w:rFonts w:asciiTheme="minorHAnsi" w:hAnsiTheme="minorHAnsi"/>
          <w:b/>
        </w:rPr>
        <w:lastRenderedPageBreak/>
        <w:t>Race</w:t>
      </w:r>
      <w:r w:rsidR="00FF2DF5">
        <w:rPr>
          <w:rFonts w:asciiTheme="minorHAnsi" w:hAnsiTheme="minorHAnsi"/>
          <w:b/>
        </w:rPr>
        <w:t>/Ethnicity</w:t>
      </w:r>
      <w:r w:rsidRPr="002A7213">
        <w:rPr>
          <w:rFonts w:asciiTheme="minorHAnsi" w:hAnsiTheme="minorHAnsi"/>
          <w:b/>
        </w:rPr>
        <w:t>- and Sex-Specific Incidence and Mortality Rates</w:t>
      </w:r>
      <w:bookmarkEnd w:id="5356"/>
      <w:bookmarkEnd w:id="5357"/>
      <w:bookmarkEnd w:id="5358"/>
      <w:bookmarkEnd w:id="5359"/>
    </w:p>
    <w:p w14:paraId="2FE4E701" w14:textId="436BFB57" w:rsidR="00CC6923" w:rsidRDefault="002A7213" w:rsidP="002A7213">
      <w:pPr>
        <w:spacing w:after="120" w:line="240" w:lineRule="auto"/>
        <w:rPr>
          <w:rFonts w:asciiTheme="minorHAnsi" w:hAnsiTheme="minorHAnsi" w:cs="Arial"/>
          <w:szCs w:val="20"/>
        </w:rPr>
      </w:pPr>
      <w:r w:rsidRPr="002E0289">
        <w:rPr>
          <w:rFonts w:asciiTheme="minorHAnsi" w:hAnsiTheme="minorHAnsi" w:cs="Arial"/>
          <w:szCs w:val="20"/>
        </w:rPr>
        <w:t>Race</w:t>
      </w:r>
      <w:r w:rsidR="00FF2DF5">
        <w:rPr>
          <w:rFonts w:asciiTheme="minorHAnsi" w:hAnsiTheme="minorHAnsi" w:cs="Arial"/>
          <w:szCs w:val="20"/>
        </w:rPr>
        <w:t>/ethnicity</w:t>
      </w:r>
      <w:r w:rsidRPr="002E0289">
        <w:rPr>
          <w:rFonts w:asciiTheme="minorHAnsi" w:hAnsiTheme="minorHAnsi" w:cs="Arial"/>
          <w:szCs w:val="20"/>
        </w:rPr>
        <w:t>- and sex-specific incidence and mortality rates are calculated to assess how cancer patterns differed across subgroups within the state.</w:t>
      </w:r>
      <w:r>
        <w:rPr>
          <w:rFonts w:asciiTheme="minorHAnsi" w:hAnsiTheme="minorHAnsi" w:cs="Arial"/>
          <w:szCs w:val="20"/>
        </w:rPr>
        <w:t xml:space="preserve"> </w:t>
      </w:r>
      <w:r w:rsidRPr="002E0289">
        <w:rPr>
          <w:rFonts w:asciiTheme="minorHAnsi" w:hAnsiTheme="minorHAnsi" w:cs="Arial"/>
          <w:szCs w:val="20"/>
        </w:rPr>
        <w:t xml:space="preserve"> These rates are calculated by dividing the number of cases or deaths that occurred in each race</w:t>
      </w:r>
      <w:r w:rsidR="00FF2DF5">
        <w:rPr>
          <w:rFonts w:asciiTheme="minorHAnsi" w:hAnsiTheme="minorHAnsi" w:cs="Arial"/>
          <w:szCs w:val="20"/>
        </w:rPr>
        <w:t>/ethnic</w:t>
      </w:r>
      <w:r w:rsidRPr="002E0289">
        <w:rPr>
          <w:rFonts w:asciiTheme="minorHAnsi" w:hAnsiTheme="minorHAnsi" w:cs="Arial"/>
          <w:szCs w:val="20"/>
        </w:rPr>
        <w:t xml:space="preserve"> and/or sex group by the total population in the corresponding race</w:t>
      </w:r>
      <w:r w:rsidR="00FF2DF5">
        <w:rPr>
          <w:rFonts w:asciiTheme="minorHAnsi" w:hAnsiTheme="minorHAnsi" w:cs="Arial"/>
          <w:szCs w:val="20"/>
        </w:rPr>
        <w:t>/ethnic</w:t>
      </w:r>
      <w:r w:rsidRPr="002E0289">
        <w:rPr>
          <w:rFonts w:asciiTheme="minorHAnsi" w:hAnsiTheme="minorHAnsi" w:cs="Arial"/>
          <w:szCs w:val="20"/>
        </w:rPr>
        <w:t xml:space="preserve"> and/or sex group over the same time period. </w:t>
      </w:r>
      <w:r>
        <w:rPr>
          <w:rFonts w:asciiTheme="minorHAnsi" w:hAnsiTheme="minorHAnsi" w:cs="Arial"/>
          <w:szCs w:val="20"/>
        </w:rPr>
        <w:t xml:space="preserve"> </w:t>
      </w:r>
      <w:r w:rsidRPr="002E0289">
        <w:rPr>
          <w:rFonts w:asciiTheme="minorHAnsi" w:hAnsiTheme="minorHAnsi" w:cs="Arial"/>
          <w:szCs w:val="20"/>
        </w:rPr>
        <w:t xml:space="preserve">As with other rates, these rates were adjusted </w:t>
      </w:r>
      <w:r>
        <w:rPr>
          <w:rFonts w:asciiTheme="minorHAnsi" w:hAnsiTheme="minorHAnsi" w:cs="Arial"/>
          <w:szCs w:val="20"/>
        </w:rPr>
        <w:t xml:space="preserve">to the </w:t>
      </w:r>
      <w:r w:rsidR="00FF2DF5">
        <w:rPr>
          <w:rFonts w:asciiTheme="minorHAnsi" w:hAnsiTheme="minorHAnsi" w:cs="Arial"/>
          <w:szCs w:val="20"/>
        </w:rPr>
        <w:t xml:space="preserve">2000 </w:t>
      </w:r>
      <w:r>
        <w:rPr>
          <w:rFonts w:asciiTheme="minorHAnsi" w:hAnsiTheme="minorHAnsi" w:cs="Arial"/>
          <w:szCs w:val="20"/>
        </w:rPr>
        <w:t xml:space="preserve">U.S. standard population </w:t>
      </w:r>
      <w:r w:rsidRPr="002E0289">
        <w:rPr>
          <w:rFonts w:asciiTheme="minorHAnsi" w:hAnsiTheme="minorHAnsi" w:cs="Arial"/>
          <w:szCs w:val="20"/>
        </w:rPr>
        <w:t>and expressed per 100,000 of the population.</w:t>
      </w:r>
    </w:p>
    <w:p w14:paraId="3A7E4DEE" w14:textId="77777777" w:rsidR="002A7213" w:rsidRPr="002A7213" w:rsidRDefault="002A7213" w:rsidP="002A7213">
      <w:pPr>
        <w:pStyle w:val="Heading3"/>
        <w:spacing w:before="120" w:after="120"/>
        <w:rPr>
          <w:rFonts w:asciiTheme="minorHAnsi" w:hAnsiTheme="minorHAnsi"/>
          <w:b/>
        </w:rPr>
      </w:pPr>
      <w:bookmarkStart w:id="5360" w:name="_Toc135759766"/>
      <w:bookmarkStart w:id="5361" w:name="_Toc139340428"/>
      <w:bookmarkStart w:id="5362" w:name="_Toc140394127"/>
      <w:bookmarkStart w:id="5363" w:name="_Toc140396393"/>
      <w:r w:rsidRPr="002A7213">
        <w:rPr>
          <w:rFonts w:asciiTheme="minorHAnsi" w:hAnsiTheme="minorHAnsi"/>
          <w:b/>
        </w:rPr>
        <w:t>Confidence Intervals</w:t>
      </w:r>
      <w:bookmarkEnd w:id="5360"/>
      <w:bookmarkEnd w:id="5361"/>
      <w:bookmarkEnd w:id="5362"/>
      <w:bookmarkEnd w:id="5363"/>
    </w:p>
    <w:p w14:paraId="6A04ED41" w14:textId="77777777" w:rsidR="00FE154E" w:rsidRDefault="002A7213" w:rsidP="00C83732">
      <w:pPr>
        <w:spacing w:after="120" w:line="240" w:lineRule="auto"/>
        <w:rPr>
          <w:rFonts w:asciiTheme="minorHAnsi" w:hAnsiTheme="minorHAnsi" w:cs="Arial"/>
          <w:szCs w:val="20"/>
        </w:rPr>
      </w:pPr>
      <w:r w:rsidRPr="002E0289">
        <w:rPr>
          <w:rFonts w:asciiTheme="minorHAnsi" w:hAnsiTheme="minorHAnsi" w:cs="Arial"/>
          <w:szCs w:val="20"/>
        </w:rPr>
        <w:t xml:space="preserve">Age-adjusted incidence and mortality rates are subject to chance variation, particularly when they are based on a small number of cancer cases or deaths occurring over a limited time period or in a limited geographic area. </w:t>
      </w:r>
      <w:r w:rsidR="00FF2DF5">
        <w:rPr>
          <w:rFonts w:asciiTheme="minorHAnsi" w:hAnsiTheme="minorHAnsi" w:cs="Arial"/>
          <w:szCs w:val="20"/>
        </w:rPr>
        <w:t xml:space="preserve"> </w:t>
      </w:r>
      <w:r w:rsidRPr="002E0289">
        <w:rPr>
          <w:rFonts w:asciiTheme="minorHAnsi" w:hAnsiTheme="minorHAnsi" w:cs="Arial"/>
          <w:szCs w:val="20"/>
        </w:rPr>
        <w:t xml:space="preserve">Aggregating several years of data provides more reliable estimates of incidence and mortality in these situations. </w:t>
      </w:r>
      <w:r w:rsidR="00FF2DF5">
        <w:rPr>
          <w:rFonts w:asciiTheme="minorHAnsi" w:hAnsiTheme="minorHAnsi" w:cs="Arial"/>
          <w:szCs w:val="20"/>
        </w:rPr>
        <w:t xml:space="preserve"> </w:t>
      </w:r>
      <w:r w:rsidRPr="002E0289">
        <w:rPr>
          <w:rFonts w:asciiTheme="minorHAnsi" w:hAnsiTheme="minorHAnsi" w:cs="Arial"/>
          <w:szCs w:val="20"/>
        </w:rPr>
        <w:t>The level of uncertainty associated with incidence and mortality rates is estimated by the 95</w:t>
      </w:r>
      <w:r w:rsidR="009E7832">
        <w:rPr>
          <w:rFonts w:asciiTheme="minorHAnsi" w:hAnsiTheme="minorHAnsi" w:cs="Arial"/>
          <w:szCs w:val="20"/>
        </w:rPr>
        <w:t>%</w:t>
      </w:r>
      <w:r w:rsidRPr="002E0289">
        <w:rPr>
          <w:rFonts w:asciiTheme="minorHAnsi" w:hAnsiTheme="minorHAnsi" w:cs="Arial"/>
          <w:szCs w:val="20"/>
        </w:rPr>
        <w:t xml:space="preserve"> confidence interval.</w:t>
      </w:r>
    </w:p>
    <w:p w14:paraId="4F173BDA" w14:textId="03EB03FF" w:rsidR="002A7213" w:rsidRPr="002E0289" w:rsidRDefault="002A7213" w:rsidP="00C83732">
      <w:pPr>
        <w:spacing w:after="120" w:line="240" w:lineRule="auto"/>
        <w:rPr>
          <w:rFonts w:asciiTheme="minorHAnsi" w:hAnsiTheme="minorHAnsi" w:cs="Arial"/>
          <w:szCs w:val="20"/>
        </w:rPr>
      </w:pPr>
      <w:r w:rsidRPr="002E0289">
        <w:rPr>
          <w:rFonts w:asciiTheme="minorHAnsi" w:hAnsiTheme="minorHAnsi" w:cs="Arial"/>
          <w:bCs/>
          <w:iCs/>
          <w:szCs w:val="20"/>
        </w:rPr>
        <w:t>When incidence rates are based on more than 100 cases</w:t>
      </w:r>
      <w:r w:rsidRPr="002E0289">
        <w:rPr>
          <w:rFonts w:asciiTheme="minorHAnsi" w:hAnsiTheme="minorHAnsi" w:cs="Arial"/>
          <w:szCs w:val="20"/>
        </w:rPr>
        <w:t>, lower and upper limits of the 95</w:t>
      </w:r>
      <w:r w:rsidR="009E7832">
        <w:rPr>
          <w:rFonts w:asciiTheme="minorHAnsi" w:hAnsiTheme="minorHAnsi" w:cs="Arial"/>
          <w:szCs w:val="20"/>
        </w:rPr>
        <w:t>%</w:t>
      </w:r>
      <w:r w:rsidRPr="002E0289">
        <w:rPr>
          <w:rFonts w:asciiTheme="minorHAnsi" w:hAnsiTheme="minorHAnsi" w:cs="Arial"/>
          <w:szCs w:val="20"/>
        </w:rPr>
        <w:t xml:space="preserve"> confidence intervals for an age-adjusted (AA) incidence or mortality rate are calculated using SEER*Stat</w:t>
      </w:r>
      <w:r w:rsidRPr="002E0289">
        <w:rPr>
          <w:rStyle w:val="FootnoteReference"/>
          <w:rFonts w:asciiTheme="minorHAnsi" w:hAnsiTheme="minorHAnsi" w:cs="Arial"/>
          <w:szCs w:val="20"/>
        </w:rPr>
        <w:footnoteReference w:id="28"/>
      </w:r>
      <w:r w:rsidRPr="002E0289">
        <w:rPr>
          <w:rFonts w:asciiTheme="minorHAnsi" w:hAnsiTheme="minorHAnsi" w:cs="Arial"/>
          <w:szCs w:val="20"/>
        </w:rPr>
        <w:t xml:space="preserve">  by methodology shown here:</w:t>
      </w:r>
      <w:r w:rsidRPr="002E0289">
        <w:rPr>
          <w:rStyle w:val="FootnoteReference"/>
          <w:rFonts w:asciiTheme="minorHAnsi" w:hAnsiTheme="minorHAnsi" w:cs="Arial"/>
          <w:szCs w:val="20"/>
        </w:rPr>
        <w:footnoteReference w:id="29"/>
      </w:r>
      <w:r w:rsidRPr="002E0289">
        <w:rPr>
          <w:rFonts w:asciiTheme="minorHAnsi" w:hAnsiTheme="minorHAnsi" w:cs="Arial"/>
          <w:szCs w:val="20"/>
        </w:rPr>
        <w:t xml:space="preserve"> </w:t>
      </w:r>
    </w:p>
    <w:p w14:paraId="495FE7E5" w14:textId="187ED4CC" w:rsidR="002A7213" w:rsidRPr="00B776F8" w:rsidRDefault="002A7213" w:rsidP="002A7213">
      <w:pPr>
        <w:spacing w:after="0"/>
        <w:ind w:left="720" w:hanging="720"/>
        <w:jc w:val="both"/>
        <w:rPr>
          <w:rFonts w:asciiTheme="minorHAnsi" w:hAnsiTheme="minorHAnsi" w:cs="Arial"/>
        </w:rPr>
      </w:pPr>
      <m:oMathPara>
        <m:oMathParaPr>
          <m:jc m:val="left"/>
        </m:oMathParaPr>
        <m:oMath>
          <m:r>
            <m:rPr>
              <m:nor/>
            </m:rPr>
            <w:rPr>
              <w:rFonts w:asciiTheme="minorHAnsi" w:hAnsiTheme="minorHAnsi" w:cs="Arial"/>
            </w:rPr>
            <m:t>Lower Confidence Limit</m:t>
          </m:r>
          <m:r>
            <m:rPr>
              <m:nor/>
            </m:rPr>
            <w:rPr>
              <w:rFonts w:ascii="Cambria Math" w:hAnsiTheme="minorHAnsi" w:cs="Arial"/>
            </w:rPr>
            <m:t xml:space="preserve"> </m:t>
          </m:r>
          <m:r>
            <m:rPr>
              <m:nor/>
            </m:rPr>
            <w:rPr>
              <w:rFonts w:asciiTheme="minorHAnsi" w:hAnsiTheme="minorHAnsi" w:cs="Arial"/>
            </w:rPr>
            <m:t>=</m:t>
          </m:r>
          <m:r>
            <m:rPr>
              <m:nor/>
            </m:rPr>
            <w:rPr>
              <w:rFonts w:ascii="Cambria Math" w:hAnsiTheme="minorHAnsi" w:cs="Arial"/>
            </w:rPr>
            <m:t xml:space="preserve"> </m:t>
          </m:r>
          <m:r>
            <m:rPr>
              <m:nor/>
            </m:rPr>
            <w:rPr>
              <w:rFonts w:asciiTheme="minorHAnsi" w:hAnsiTheme="minorHAnsi" w:cs="Arial"/>
            </w:rPr>
            <m:t>AA Rate</m:t>
          </m:r>
          <m:r>
            <m:rPr>
              <m:nor/>
            </m:rPr>
            <w:rPr>
              <w:rFonts w:ascii="Cambria Math" w:hAnsiTheme="minorHAnsi" w:cs="Arial"/>
            </w:rPr>
            <m:t xml:space="preserve"> </m:t>
          </m:r>
          <m:r>
            <m:rPr>
              <m:nor/>
            </m:rPr>
            <w:rPr>
              <w:rFonts w:asciiTheme="minorHAnsi" w:hAnsiTheme="minorHAnsi" w:cs="Arial"/>
            </w:rPr>
            <m:t>-</m:t>
          </m:r>
          <m:r>
            <m:rPr>
              <m:nor/>
            </m:rPr>
            <w:rPr>
              <w:rFonts w:ascii="Cambria Math" w:hAnsiTheme="minorHAnsi" w:cs="Arial"/>
            </w:rPr>
            <m:t xml:space="preserve"> </m:t>
          </m:r>
          <m:r>
            <m:rPr>
              <m:nor/>
            </m:rPr>
            <w:rPr>
              <w:rFonts w:asciiTheme="minorHAnsi" w:hAnsiTheme="minorHAnsi" w:cs="Arial"/>
            </w:rPr>
            <m:t>1.96</m:t>
          </m:r>
          <m:d>
            <m:dPr>
              <m:begChr m:val="["/>
              <m:endChr m:val="]"/>
              <m:ctrlPr>
                <w:rPr>
                  <w:rFonts w:ascii="Cambria Math" w:eastAsiaTheme="minorHAnsi" w:hAnsi="Cambria Math" w:cs="Arial"/>
                </w:rPr>
              </m:ctrlPr>
            </m:dPr>
            <m:e>
              <m:f>
                <m:fPr>
                  <m:ctrlPr>
                    <w:rPr>
                      <w:rFonts w:ascii="Cambria Math" w:eastAsiaTheme="minorHAnsi" w:hAnsi="Cambria Math" w:cs="Arial"/>
                      <w:i/>
                    </w:rPr>
                  </m:ctrlPr>
                </m:fPr>
                <m:num>
                  <m:r>
                    <m:rPr>
                      <m:nor/>
                    </m:rPr>
                    <w:rPr>
                      <w:rFonts w:asciiTheme="minorHAnsi" w:hAnsiTheme="minorHAnsi" w:cs="Arial"/>
                    </w:rPr>
                    <m:t>AA Rate</m:t>
                  </m:r>
                </m:num>
                <m:den>
                  <m:rad>
                    <m:radPr>
                      <m:degHide m:val="1"/>
                      <m:ctrlPr>
                        <w:rPr>
                          <w:rFonts w:ascii="Cambria Math" w:eastAsiaTheme="minorHAnsi" w:hAnsi="Cambria Math" w:cs="Arial"/>
                          <w:i/>
                        </w:rPr>
                      </m:ctrlPr>
                    </m:radPr>
                    <m:deg/>
                    <m:e>
                      <m:r>
                        <m:rPr>
                          <m:nor/>
                        </m:rPr>
                        <w:rPr>
                          <w:rFonts w:asciiTheme="minorHAnsi" w:hAnsiTheme="minorHAnsi" w:cs="Arial"/>
                        </w:rPr>
                        <m:t># Cases</m:t>
                      </m:r>
                    </m:e>
                  </m:rad>
                </m:den>
              </m:f>
            </m:e>
          </m:d>
        </m:oMath>
      </m:oMathPara>
    </w:p>
    <w:p w14:paraId="7F5023E3" w14:textId="77777777" w:rsidR="002A7213" w:rsidRPr="00A64337" w:rsidRDefault="002A7213" w:rsidP="002A7213">
      <w:pPr>
        <w:spacing w:after="0"/>
        <w:ind w:left="720" w:hanging="720"/>
        <w:jc w:val="both"/>
        <w:rPr>
          <w:rFonts w:asciiTheme="minorHAnsi" w:hAnsiTheme="minorHAnsi" w:cs="Arial"/>
          <w:sz w:val="8"/>
        </w:rPr>
      </w:pPr>
    </w:p>
    <w:p w14:paraId="407DCAA7" w14:textId="72D552C5" w:rsidR="002A7213" w:rsidRPr="00B776F8" w:rsidRDefault="002A7213" w:rsidP="002A7213">
      <w:pPr>
        <w:spacing w:after="0"/>
        <w:ind w:left="720" w:hanging="720"/>
        <w:jc w:val="both"/>
        <w:rPr>
          <w:rFonts w:asciiTheme="minorHAnsi" w:hAnsiTheme="minorHAnsi" w:cs="Arial"/>
        </w:rPr>
      </w:pPr>
      <m:oMathPara>
        <m:oMathParaPr>
          <m:jc m:val="left"/>
        </m:oMathParaPr>
        <m:oMath>
          <m:r>
            <m:rPr>
              <m:nor/>
            </m:rPr>
            <w:rPr>
              <w:rFonts w:asciiTheme="minorHAnsi" w:hAnsiTheme="minorHAnsi" w:cs="Arial"/>
            </w:rPr>
            <m:t>Upper Confidence Limit</m:t>
          </m:r>
          <m:r>
            <m:rPr>
              <m:nor/>
            </m:rPr>
            <w:rPr>
              <w:rFonts w:ascii="Cambria Math" w:hAnsiTheme="minorHAnsi" w:cs="Arial"/>
            </w:rPr>
            <m:t xml:space="preserve"> </m:t>
          </m:r>
          <m:r>
            <m:rPr>
              <m:nor/>
            </m:rPr>
            <w:rPr>
              <w:rFonts w:asciiTheme="minorHAnsi" w:hAnsiTheme="minorHAnsi" w:cs="Arial"/>
            </w:rPr>
            <m:t>=</m:t>
          </m:r>
          <m:r>
            <m:rPr>
              <m:nor/>
            </m:rPr>
            <w:rPr>
              <w:rFonts w:ascii="Cambria Math" w:hAnsiTheme="minorHAnsi" w:cs="Arial"/>
            </w:rPr>
            <m:t xml:space="preserve"> </m:t>
          </m:r>
          <m:r>
            <m:rPr>
              <m:nor/>
            </m:rPr>
            <w:rPr>
              <w:rFonts w:asciiTheme="minorHAnsi" w:hAnsiTheme="minorHAnsi" w:cs="Arial"/>
            </w:rPr>
            <m:t>AA Rate</m:t>
          </m:r>
          <m:r>
            <m:rPr>
              <m:nor/>
            </m:rPr>
            <w:rPr>
              <w:rFonts w:ascii="Cambria Math" w:hAnsiTheme="minorHAnsi" w:cs="Arial"/>
            </w:rPr>
            <m:t xml:space="preserve"> + </m:t>
          </m:r>
          <m:r>
            <m:rPr>
              <m:nor/>
            </m:rPr>
            <w:rPr>
              <w:rFonts w:asciiTheme="minorHAnsi" w:hAnsiTheme="minorHAnsi" w:cs="Arial"/>
            </w:rPr>
            <m:t>1.96</m:t>
          </m:r>
          <m:d>
            <m:dPr>
              <m:begChr m:val="["/>
              <m:endChr m:val="]"/>
              <m:ctrlPr>
                <w:rPr>
                  <w:rFonts w:ascii="Cambria Math" w:eastAsiaTheme="minorHAnsi" w:hAnsi="Cambria Math" w:cs="Arial"/>
                </w:rPr>
              </m:ctrlPr>
            </m:dPr>
            <m:e>
              <m:f>
                <m:fPr>
                  <m:ctrlPr>
                    <w:rPr>
                      <w:rFonts w:ascii="Cambria Math" w:eastAsiaTheme="minorHAnsi" w:hAnsi="Cambria Math" w:cs="Arial"/>
                      <w:i/>
                    </w:rPr>
                  </m:ctrlPr>
                </m:fPr>
                <m:num>
                  <m:r>
                    <m:rPr>
                      <m:nor/>
                    </m:rPr>
                    <w:rPr>
                      <w:rFonts w:asciiTheme="minorHAnsi" w:hAnsiTheme="minorHAnsi" w:cs="Arial"/>
                    </w:rPr>
                    <m:t>AA Rate</m:t>
                  </m:r>
                </m:num>
                <m:den>
                  <m:rad>
                    <m:radPr>
                      <m:degHide m:val="1"/>
                      <m:ctrlPr>
                        <w:rPr>
                          <w:rFonts w:ascii="Cambria Math" w:eastAsiaTheme="minorHAnsi" w:hAnsi="Cambria Math" w:cs="Arial"/>
                          <w:i/>
                        </w:rPr>
                      </m:ctrlPr>
                    </m:radPr>
                    <m:deg/>
                    <m:e>
                      <m:r>
                        <m:rPr>
                          <m:nor/>
                        </m:rPr>
                        <w:rPr>
                          <w:rFonts w:asciiTheme="minorHAnsi" w:hAnsiTheme="minorHAnsi" w:cs="Arial"/>
                        </w:rPr>
                        <m:t># Cases</m:t>
                      </m:r>
                    </m:e>
                  </m:rad>
                </m:den>
              </m:f>
            </m:e>
          </m:d>
        </m:oMath>
      </m:oMathPara>
    </w:p>
    <w:p w14:paraId="34D44701" w14:textId="77777777" w:rsidR="002A7213" w:rsidRPr="00A64337" w:rsidRDefault="002A7213" w:rsidP="002A7213">
      <w:pPr>
        <w:spacing w:after="0"/>
        <w:ind w:left="720" w:hanging="720"/>
        <w:jc w:val="both"/>
        <w:rPr>
          <w:rFonts w:asciiTheme="minorHAnsi" w:hAnsiTheme="minorHAnsi" w:cs="Arial"/>
          <w:sz w:val="8"/>
        </w:rPr>
      </w:pPr>
    </w:p>
    <w:p w14:paraId="4EB4BF23" w14:textId="77777777" w:rsidR="002A7213" w:rsidRPr="002E0289" w:rsidRDefault="002A7213" w:rsidP="002A7213">
      <w:pPr>
        <w:spacing w:after="120" w:line="240" w:lineRule="auto"/>
        <w:rPr>
          <w:rFonts w:asciiTheme="minorHAnsi" w:hAnsiTheme="minorHAnsi" w:cs="Arial"/>
        </w:rPr>
      </w:pPr>
      <w:r w:rsidRPr="002E0289">
        <w:rPr>
          <w:rFonts w:asciiTheme="minorHAnsi" w:hAnsiTheme="minorHAnsi" w:cs="Arial"/>
        </w:rPr>
        <w:t>where AA Rate is the age-adjusted incidence or mortality</w:t>
      </w:r>
      <w:r>
        <w:rPr>
          <w:rFonts w:asciiTheme="minorHAnsi" w:hAnsiTheme="minorHAnsi" w:cs="Arial"/>
        </w:rPr>
        <w:t xml:space="preserve"> rate.</w:t>
      </w:r>
    </w:p>
    <w:p w14:paraId="07159063" w14:textId="43F06AAF" w:rsidR="002A7213" w:rsidRPr="002E0289" w:rsidRDefault="002A7213" w:rsidP="00C83732">
      <w:pPr>
        <w:spacing w:after="120" w:line="240" w:lineRule="auto"/>
        <w:rPr>
          <w:rFonts w:asciiTheme="minorHAnsi" w:hAnsiTheme="minorHAnsi" w:cs="Arial"/>
          <w:szCs w:val="20"/>
        </w:rPr>
      </w:pPr>
      <w:r w:rsidRPr="002E0289">
        <w:rPr>
          <w:rFonts w:asciiTheme="minorHAnsi" w:hAnsiTheme="minorHAnsi" w:cs="Arial"/>
          <w:bCs/>
          <w:iCs/>
          <w:szCs w:val="20"/>
        </w:rPr>
        <w:t>When an incidence or mortality rate is based on fewer than 100 cases or deaths</w:t>
      </w:r>
      <w:r w:rsidRPr="002E0289">
        <w:rPr>
          <w:rFonts w:asciiTheme="minorHAnsi" w:hAnsiTheme="minorHAnsi" w:cs="Arial"/>
          <w:szCs w:val="20"/>
        </w:rPr>
        <w:t>, the 95</w:t>
      </w:r>
      <w:r w:rsidR="009E7832">
        <w:rPr>
          <w:rFonts w:asciiTheme="minorHAnsi" w:hAnsiTheme="minorHAnsi" w:cs="Arial"/>
          <w:szCs w:val="20"/>
        </w:rPr>
        <w:t>%</w:t>
      </w:r>
      <w:r w:rsidRPr="002E0289">
        <w:rPr>
          <w:rFonts w:asciiTheme="minorHAnsi" w:hAnsiTheme="minorHAnsi" w:cs="Arial"/>
          <w:szCs w:val="20"/>
        </w:rPr>
        <w:t xml:space="preserve"> confidence intervals are calculated using the following formulas:</w:t>
      </w:r>
    </w:p>
    <w:p w14:paraId="6150E44E" w14:textId="77777777" w:rsidR="002A7213" w:rsidRPr="002E0289" w:rsidRDefault="002A7213" w:rsidP="002A7213">
      <w:pPr>
        <w:spacing w:after="120" w:line="240" w:lineRule="auto"/>
        <w:ind w:left="720" w:firstLine="720"/>
        <w:rPr>
          <w:rFonts w:asciiTheme="minorHAnsi" w:hAnsiTheme="minorHAnsi" w:cs="Arial"/>
          <w:szCs w:val="18"/>
        </w:rPr>
      </w:pPr>
      <w:r w:rsidRPr="002E0289">
        <w:rPr>
          <w:rFonts w:asciiTheme="minorHAnsi" w:hAnsiTheme="minorHAnsi" w:cs="Arial"/>
          <w:szCs w:val="18"/>
        </w:rPr>
        <w:t>Lower Confidence Limit (LCL) = AA Rate x L</w:t>
      </w:r>
    </w:p>
    <w:p w14:paraId="775362F8" w14:textId="4198E0C9" w:rsidR="002A7213" w:rsidRPr="002E0289" w:rsidRDefault="002A7213" w:rsidP="002A7213">
      <w:pPr>
        <w:spacing w:after="120" w:line="240" w:lineRule="auto"/>
        <w:ind w:left="720" w:firstLine="720"/>
        <w:rPr>
          <w:rFonts w:asciiTheme="minorHAnsi" w:hAnsiTheme="minorHAnsi" w:cs="Arial"/>
          <w:szCs w:val="18"/>
        </w:rPr>
      </w:pPr>
      <w:r w:rsidRPr="002E0289">
        <w:rPr>
          <w:rFonts w:asciiTheme="minorHAnsi" w:hAnsiTheme="minorHAnsi" w:cs="Arial"/>
          <w:szCs w:val="18"/>
        </w:rPr>
        <w:t>Upper Confidence Limit (</w:t>
      </w:r>
      <w:r w:rsidR="00663D93">
        <w:rPr>
          <w:rFonts w:asciiTheme="minorHAnsi" w:hAnsiTheme="minorHAnsi" w:cs="Arial"/>
          <w:szCs w:val="18"/>
        </w:rPr>
        <w:t>U</w:t>
      </w:r>
      <w:r w:rsidRPr="002E0289">
        <w:rPr>
          <w:rFonts w:asciiTheme="minorHAnsi" w:hAnsiTheme="minorHAnsi" w:cs="Arial"/>
          <w:szCs w:val="18"/>
        </w:rPr>
        <w:t>CL) = AA Rate x U</w:t>
      </w:r>
    </w:p>
    <w:p w14:paraId="5508ADBE" w14:textId="5B25810C" w:rsidR="002A7213" w:rsidRDefault="002A7213" w:rsidP="002A7213">
      <w:pPr>
        <w:spacing w:after="120" w:line="240" w:lineRule="auto"/>
        <w:rPr>
          <w:rFonts w:asciiTheme="minorHAnsi" w:hAnsiTheme="minorHAnsi" w:cs="Arial"/>
          <w:szCs w:val="20"/>
        </w:rPr>
      </w:pPr>
      <w:r w:rsidRPr="002E0289">
        <w:rPr>
          <w:rFonts w:asciiTheme="minorHAnsi" w:hAnsiTheme="minorHAnsi" w:cs="Arial"/>
          <w:szCs w:val="20"/>
        </w:rPr>
        <w:t>where L and U are values published by the N</w:t>
      </w:r>
      <w:r w:rsidR="00D766FA">
        <w:rPr>
          <w:rFonts w:asciiTheme="minorHAnsi" w:hAnsiTheme="minorHAnsi" w:cs="Arial"/>
          <w:szCs w:val="20"/>
        </w:rPr>
        <w:t>CHS</w:t>
      </w:r>
      <w:r w:rsidRPr="002E0289">
        <w:rPr>
          <w:rFonts w:asciiTheme="minorHAnsi" w:hAnsiTheme="minorHAnsi" w:cs="Arial"/>
          <w:szCs w:val="20"/>
        </w:rPr>
        <w:t xml:space="preserve"> for the specific purpose of calculating 95</w:t>
      </w:r>
      <w:r w:rsidR="009E7832">
        <w:rPr>
          <w:rFonts w:asciiTheme="minorHAnsi" w:hAnsiTheme="minorHAnsi" w:cs="Arial"/>
          <w:szCs w:val="20"/>
        </w:rPr>
        <w:t>%</w:t>
      </w:r>
      <w:r w:rsidRPr="002E0289">
        <w:rPr>
          <w:rFonts w:asciiTheme="minorHAnsi" w:hAnsiTheme="minorHAnsi" w:cs="Arial"/>
          <w:szCs w:val="20"/>
        </w:rPr>
        <w:t xml:space="preserve"> confidence intervals for rates based on fewer than 100 cases</w:t>
      </w:r>
      <w:r w:rsidR="004A0880">
        <w:rPr>
          <w:rFonts w:asciiTheme="minorHAnsi" w:hAnsiTheme="minorHAnsi" w:cs="Arial"/>
          <w:szCs w:val="20"/>
        </w:rPr>
        <w:t>.</w:t>
      </w:r>
      <w:r w:rsidRPr="002E0289">
        <w:rPr>
          <w:rStyle w:val="FootnoteReference"/>
          <w:rFonts w:asciiTheme="minorHAnsi" w:hAnsiTheme="minorHAnsi" w:cs="Arial"/>
          <w:szCs w:val="20"/>
        </w:rPr>
        <w:footnoteReference w:id="30"/>
      </w:r>
      <w:r w:rsidRPr="002E0289">
        <w:rPr>
          <w:rFonts w:asciiTheme="minorHAnsi" w:hAnsiTheme="minorHAnsi" w:cs="Arial"/>
          <w:szCs w:val="20"/>
        </w:rPr>
        <w:t xml:space="preserve"> </w:t>
      </w:r>
    </w:p>
    <w:p w14:paraId="60765700" w14:textId="392FEF2A" w:rsidR="00CC49CB" w:rsidRPr="00AA53A0" w:rsidRDefault="00CC49CB" w:rsidP="00CC49CB">
      <w:pPr>
        <w:pStyle w:val="Heading4"/>
        <w:rPr>
          <w:rFonts w:ascii="Calibri" w:hAnsi="Calibri" w:cs="Calibri"/>
          <w:b/>
          <w:bCs/>
          <w:spacing w:val="15"/>
          <w:sz w:val="24"/>
          <w:szCs w:val="24"/>
        </w:rPr>
      </w:pPr>
      <w:r w:rsidRPr="00AA53A0">
        <w:rPr>
          <w:rFonts w:ascii="Calibri" w:hAnsi="Calibri" w:cs="Calibri"/>
          <w:b/>
          <w:bCs/>
          <w:spacing w:val="15"/>
          <w:sz w:val="24"/>
          <w:szCs w:val="24"/>
        </w:rPr>
        <w:t>Limitations of confidence intervals</w:t>
      </w:r>
    </w:p>
    <w:p w14:paraId="7EF6E044" w14:textId="198B906B" w:rsidR="008E63BD" w:rsidRDefault="00CC49CB" w:rsidP="00CC49CB">
      <w:pPr>
        <w:rPr>
          <w:rFonts w:asciiTheme="minorHAnsi" w:hAnsiTheme="minorHAnsi" w:cstheme="minorHAnsi"/>
        </w:rPr>
      </w:pPr>
      <w:r w:rsidRPr="000A315C">
        <w:rPr>
          <w:rFonts w:asciiTheme="minorHAnsi" w:hAnsiTheme="minorHAnsi" w:cstheme="minorHAnsi"/>
        </w:rPr>
        <w:t xml:space="preserve">Confidence intervals are part of the standard calculations provided within SEER*Stat. While confidence intervals can be helpful to explore potential differences between populations, identifying statistically significant differences by overlapping confidence intervals alone is subject to Type I and Type II errors more often than standard hypothesis testing. For comparison of rates between two populations, an incidence rate ratio </w:t>
      </w:r>
      <w:r w:rsidR="00050E9E">
        <w:rPr>
          <w:rFonts w:asciiTheme="minorHAnsi" w:hAnsiTheme="minorHAnsi" w:cstheme="minorHAnsi"/>
        </w:rPr>
        <w:t xml:space="preserve">(IRR) </w:t>
      </w:r>
      <w:r w:rsidRPr="000A315C">
        <w:rPr>
          <w:rFonts w:asciiTheme="minorHAnsi" w:hAnsiTheme="minorHAnsi" w:cstheme="minorHAnsi"/>
        </w:rPr>
        <w:t xml:space="preserve">is calculated with corresponding p-value.  Significance has been set to &lt;0.05, an industry standard.  The IRR is not reported but used to determine the language used to describe differences.  </w:t>
      </w:r>
      <w:r w:rsidR="007B4F23" w:rsidRPr="000A315C">
        <w:rPr>
          <w:rFonts w:asciiTheme="minorHAnsi" w:hAnsiTheme="minorHAnsi" w:cstheme="minorHAnsi"/>
        </w:rPr>
        <w:t xml:space="preserve">Statements </w:t>
      </w:r>
      <w:r w:rsidRPr="000A315C">
        <w:rPr>
          <w:rFonts w:asciiTheme="minorHAnsi" w:hAnsiTheme="minorHAnsi" w:cstheme="minorHAnsi"/>
        </w:rPr>
        <w:t>that include “statistically significant,” “significantly higher,” or “significantly lower”</w:t>
      </w:r>
      <w:r w:rsidR="00383BE6" w:rsidRPr="000A315C">
        <w:rPr>
          <w:rFonts w:asciiTheme="minorHAnsi" w:hAnsiTheme="minorHAnsi" w:cstheme="minorHAnsi"/>
        </w:rPr>
        <w:t xml:space="preserve"> used the confidence interval method and </w:t>
      </w:r>
      <w:r w:rsidR="00EF6B8A" w:rsidRPr="000A315C">
        <w:rPr>
          <w:rFonts w:asciiTheme="minorHAnsi" w:hAnsiTheme="minorHAnsi" w:cstheme="minorHAnsi"/>
        </w:rPr>
        <w:t>w</w:t>
      </w:r>
      <w:r w:rsidR="00D766FA">
        <w:rPr>
          <w:rFonts w:asciiTheme="minorHAnsi" w:hAnsiTheme="minorHAnsi" w:cstheme="minorHAnsi"/>
        </w:rPr>
        <w:t>ere</w:t>
      </w:r>
      <w:r w:rsidR="00EF6B8A" w:rsidRPr="000A315C">
        <w:rPr>
          <w:rFonts w:asciiTheme="minorHAnsi" w:hAnsiTheme="minorHAnsi" w:cstheme="minorHAnsi"/>
        </w:rPr>
        <w:t xml:space="preserve"> </w:t>
      </w:r>
      <w:r w:rsidR="00383BE6" w:rsidRPr="000A315C">
        <w:rPr>
          <w:rFonts w:asciiTheme="minorHAnsi" w:hAnsiTheme="minorHAnsi" w:cstheme="minorHAnsi"/>
        </w:rPr>
        <w:t xml:space="preserve">confirmed by a statistically significant </w:t>
      </w:r>
      <w:r w:rsidR="00CD3F07">
        <w:rPr>
          <w:rFonts w:asciiTheme="minorHAnsi" w:hAnsiTheme="minorHAnsi" w:cstheme="minorHAnsi"/>
        </w:rPr>
        <w:t>IRR</w:t>
      </w:r>
      <w:r w:rsidR="00383BE6" w:rsidRPr="000A315C">
        <w:rPr>
          <w:rFonts w:asciiTheme="minorHAnsi" w:hAnsiTheme="minorHAnsi" w:cstheme="minorHAnsi"/>
        </w:rPr>
        <w:t>.</w:t>
      </w:r>
    </w:p>
    <w:p w14:paraId="0EF6EA19" w14:textId="08F86B00" w:rsidR="002A7213" w:rsidRPr="008832C9" w:rsidRDefault="002A7213" w:rsidP="00C83732">
      <w:pPr>
        <w:pStyle w:val="Heading3"/>
        <w:spacing w:before="120" w:after="120"/>
        <w:rPr>
          <w:rFonts w:asciiTheme="minorHAnsi" w:hAnsiTheme="minorHAnsi"/>
          <w:b/>
        </w:rPr>
      </w:pPr>
      <w:bookmarkStart w:id="5364" w:name="_Toc135759771"/>
      <w:bookmarkStart w:id="5365" w:name="_Toc139340433"/>
      <w:bookmarkStart w:id="5366" w:name="_Toc140394132"/>
      <w:bookmarkStart w:id="5367" w:name="_Toc140396398"/>
      <w:r w:rsidRPr="008832C9">
        <w:rPr>
          <w:rFonts w:asciiTheme="minorHAnsi" w:hAnsiTheme="minorHAnsi"/>
          <w:b/>
        </w:rPr>
        <w:t>Data</w:t>
      </w:r>
      <w:bookmarkEnd w:id="5364"/>
      <w:bookmarkEnd w:id="5365"/>
      <w:bookmarkEnd w:id="5366"/>
      <w:bookmarkEnd w:id="5367"/>
      <w:r w:rsidRPr="008832C9">
        <w:rPr>
          <w:rFonts w:asciiTheme="minorHAnsi" w:hAnsiTheme="minorHAnsi"/>
          <w:b/>
        </w:rPr>
        <w:t xml:space="preserve"> Release Standards</w:t>
      </w:r>
    </w:p>
    <w:p w14:paraId="744E6CB0" w14:textId="5AB07939" w:rsidR="00D07A34" w:rsidRDefault="002A7213" w:rsidP="00554873">
      <w:pPr>
        <w:widowControl w:val="0"/>
        <w:spacing w:after="120" w:line="240" w:lineRule="auto"/>
        <w:rPr>
          <w:rFonts w:asciiTheme="minorHAnsi" w:hAnsiTheme="minorHAnsi"/>
          <w:b/>
          <w:caps/>
          <w:color w:val="1A4070" w:themeColor="accent2" w:themeShade="7F"/>
          <w:sz w:val="24"/>
          <w:szCs w:val="24"/>
        </w:rPr>
      </w:pPr>
      <w:r w:rsidRPr="002E0289">
        <w:rPr>
          <w:rFonts w:asciiTheme="minorHAnsi" w:hAnsiTheme="minorHAnsi" w:cs="Arial"/>
          <w:color w:val="000000"/>
          <w:szCs w:val="20"/>
        </w:rPr>
        <w:t xml:space="preserve">For this report, cancer frequencies and rates are released according to </w:t>
      </w:r>
      <w:r w:rsidR="000A315C">
        <w:rPr>
          <w:rFonts w:asciiTheme="minorHAnsi" w:hAnsiTheme="minorHAnsi" w:cs="Arial"/>
          <w:color w:val="000000"/>
          <w:szCs w:val="20"/>
        </w:rPr>
        <w:t xml:space="preserve">CDC’s </w:t>
      </w:r>
      <w:r w:rsidR="00DB1926" w:rsidRPr="0002234A">
        <w:rPr>
          <w:rFonts w:asciiTheme="minorHAnsi" w:hAnsiTheme="minorHAnsi" w:cs="Arial"/>
          <w:color w:val="000000"/>
          <w:szCs w:val="20"/>
        </w:rPr>
        <w:t xml:space="preserve">United States Cancer Statistics </w:t>
      </w:r>
      <w:r w:rsidR="000A315C" w:rsidRPr="0002234A">
        <w:rPr>
          <w:rFonts w:asciiTheme="minorHAnsi" w:hAnsiTheme="minorHAnsi" w:cs="Arial"/>
          <w:color w:val="000000"/>
          <w:szCs w:val="20"/>
        </w:rPr>
        <w:lastRenderedPageBreak/>
        <w:t>suppression of rates and counts guidance</w:t>
      </w:r>
      <w:r w:rsidRPr="002E0289">
        <w:rPr>
          <w:rFonts w:asciiTheme="minorHAnsi" w:hAnsiTheme="minorHAnsi" w:cs="Arial"/>
          <w:color w:val="000000"/>
          <w:szCs w:val="20"/>
        </w:rPr>
        <w:t>.</w:t>
      </w:r>
      <w:r w:rsidR="000A315C">
        <w:rPr>
          <w:rStyle w:val="FootnoteReference"/>
          <w:rFonts w:asciiTheme="minorHAnsi" w:hAnsiTheme="minorHAnsi" w:cs="Arial"/>
          <w:color w:val="000000"/>
          <w:szCs w:val="20"/>
        </w:rPr>
        <w:footnoteReference w:id="31"/>
      </w:r>
      <w:r>
        <w:rPr>
          <w:rFonts w:asciiTheme="minorHAnsi" w:hAnsiTheme="minorHAnsi" w:cs="Arial"/>
          <w:color w:val="000000"/>
          <w:szCs w:val="20"/>
        </w:rPr>
        <w:t xml:space="preserve"> </w:t>
      </w:r>
      <w:r w:rsidRPr="002E0289">
        <w:rPr>
          <w:rFonts w:asciiTheme="minorHAnsi" w:hAnsiTheme="minorHAnsi" w:cs="Arial"/>
          <w:color w:val="000000"/>
          <w:szCs w:val="20"/>
        </w:rPr>
        <w:t xml:space="preserve"> Incidence and mortality frequencies of fewer than </w:t>
      </w:r>
      <w:r w:rsidR="000A315C">
        <w:rPr>
          <w:rFonts w:asciiTheme="minorHAnsi" w:hAnsiTheme="minorHAnsi" w:cs="Arial"/>
          <w:color w:val="000000"/>
          <w:szCs w:val="20"/>
        </w:rPr>
        <w:t>16</w:t>
      </w:r>
      <w:r w:rsidRPr="002E0289">
        <w:rPr>
          <w:rFonts w:asciiTheme="minorHAnsi" w:hAnsiTheme="minorHAnsi" w:cs="Arial"/>
          <w:color w:val="000000"/>
          <w:szCs w:val="20"/>
        </w:rPr>
        <w:t xml:space="preserve"> are not presented and age-adjusted incidence and mortality rates based on </w:t>
      </w:r>
      <w:r w:rsidR="00026759">
        <w:rPr>
          <w:rFonts w:asciiTheme="minorHAnsi" w:hAnsiTheme="minorHAnsi" w:cs="Arial"/>
          <w:color w:val="000000"/>
          <w:szCs w:val="20"/>
        </w:rPr>
        <w:t>16</w:t>
      </w:r>
      <w:r w:rsidRPr="002E0289">
        <w:rPr>
          <w:rFonts w:asciiTheme="minorHAnsi" w:hAnsiTheme="minorHAnsi" w:cs="Arial"/>
          <w:color w:val="000000"/>
          <w:szCs w:val="20"/>
        </w:rPr>
        <w:t xml:space="preserve"> </w:t>
      </w:r>
      <w:r w:rsidR="00ED250F">
        <w:rPr>
          <w:rFonts w:asciiTheme="minorHAnsi" w:hAnsiTheme="minorHAnsi" w:cs="Arial"/>
          <w:color w:val="000000"/>
          <w:szCs w:val="20"/>
        </w:rPr>
        <w:t xml:space="preserve">or fewer </w:t>
      </w:r>
      <w:r w:rsidRPr="002E0289">
        <w:rPr>
          <w:rFonts w:asciiTheme="minorHAnsi" w:hAnsiTheme="minorHAnsi" w:cs="Arial"/>
          <w:color w:val="000000"/>
          <w:szCs w:val="20"/>
        </w:rPr>
        <w:t xml:space="preserve">cases or deaths are not calculated. </w:t>
      </w:r>
      <w:r>
        <w:rPr>
          <w:rFonts w:asciiTheme="minorHAnsi" w:hAnsiTheme="minorHAnsi" w:cs="Arial"/>
          <w:color w:val="000000"/>
          <w:szCs w:val="20"/>
        </w:rPr>
        <w:t xml:space="preserve"> </w:t>
      </w:r>
      <w:r w:rsidRPr="002E0289">
        <w:rPr>
          <w:rFonts w:asciiTheme="minorHAnsi" w:hAnsiTheme="minorHAnsi" w:cs="Arial"/>
          <w:color w:val="000000"/>
          <w:szCs w:val="20"/>
        </w:rPr>
        <w:t>This DPH policy helps protect pati</w:t>
      </w:r>
      <w:r>
        <w:rPr>
          <w:rFonts w:asciiTheme="minorHAnsi" w:hAnsiTheme="minorHAnsi" w:cs="Arial"/>
          <w:color w:val="000000"/>
          <w:szCs w:val="20"/>
        </w:rPr>
        <w:t>ent privacy and confidentiality</w:t>
      </w:r>
      <w:r w:rsidR="00DB1E64">
        <w:rPr>
          <w:rFonts w:asciiTheme="minorHAnsi" w:hAnsiTheme="minorHAnsi" w:cs="Arial"/>
          <w:color w:val="000000"/>
          <w:szCs w:val="20"/>
        </w:rPr>
        <w:t>.</w:t>
      </w:r>
      <w:r w:rsidRPr="002E0289">
        <w:rPr>
          <w:rStyle w:val="FootnoteReference"/>
          <w:rFonts w:asciiTheme="minorHAnsi" w:hAnsiTheme="minorHAnsi" w:cs="Arial"/>
          <w:szCs w:val="20"/>
        </w:rPr>
        <w:footnoteReference w:id="32"/>
      </w:r>
      <w:r w:rsidRPr="002E0289">
        <w:rPr>
          <w:rFonts w:asciiTheme="minorHAnsi" w:hAnsiTheme="minorHAnsi" w:cs="Arial"/>
          <w:szCs w:val="20"/>
          <w:vertAlign w:val="superscript"/>
        </w:rPr>
        <w:t>,</w:t>
      </w:r>
      <w:r w:rsidRPr="002E0289">
        <w:rPr>
          <w:rStyle w:val="FootnoteReference"/>
          <w:rFonts w:asciiTheme="minorHAnsi" w:hAnsiTheme="minorHAnsi" w:cs="Arial"/>
          <w:szCs w:val="20"/>
        </w:rPr>
        <w:footnoteReference w:id="33"/>
      </w:r>
      <w:r w:rsidRPr="002E0289">
        <w:rPr>
          <w:rFonts w:asciiTheme="minorHAnsi" w:hAnsiTheme="minorHAnsi" w:cs="Arial"/>
          <w:szCs w:val="20"/>
        </w:rPr>
        <w:t xml:space="preserve"> </w:t>
      </w:r>
      <w:r>
        <w:rPr>
          <w:rFonts w:asciiTheme="minorHAnsi" w:hAnsiTheme="minorHAnsi" w:cs="Arial"/>
          <w:szCs w:val="20"/>
        </w:rPr>
        <w:t xml:space="preserve"> </w:t>
      </w:r>
      <w:r w:rsidRPr="002E0289">
        <w:rPr>
          <w:rFonts w:asciiTheme="minorHAnsi" w:hAnsiTheme="minorHAnsi" w:cs="Arial"/>
          <w:szCs w:val="20"/>
        </w:rPr>
        <w:t>Furthermore</w:t>
      </w:r>
      <w:r w:rsidRPr="002E0289">
        <w:rPr>
          <w:rFonts w:asciiTheme="minorHAnsi" w:hAnsiTheme="minorHAnsi" w:cs="Arial"/>
          <w:color w:val="000000"/>
          <w:szCs w:val="20"/>
        </w:rPr>
        <w:t>, a cancer rate based on a very small number of cases is inherently unstable and cannot be reliably interpreted.</w:t>
      </w:r>
      <w:bookmarkStart w:id="5368" w:name="_Toc135759773"/>
      <w:bookmarkStart w:id="5369" w:name="_Toc139340435"/>
      <w:bookmarkStart w:id="5370" w:name="_Toc140394134"/>
      <w:bookmarkStart w:id="5371" w:name="_Toc140396400"/>
      <w:r w:rsidR="003D6B8F">
        <w:rPr>
          <w:rFonts w:asciiTheme="minorHAnsi" w:hAnsiTheme="minorHAnsi" w:cs="Arial"/>
          <w:color w:val="000000"/>
          <w:szCs w:val="20"/>
        </w:rPr>
        <w:t xml:space="preserve"> </w:t>
      </w:r>
    </w:p>
    <w:p w14:paraId="03848E28" w14:textId="72E27278" w:rsidR="002A7213" w:rsidRPr="002A7213" w:rsidRDefault="002A7213" w:rsidP="00C83732">
      <w:pPr>
        <w:pStyle w:val="Heading3"/>
        <w:pBdr>
          <w:bottom w:val="dotted" w:sz="4" w:space="0" w:color="1A4070" w:themeColor="accent2" w:themeShade="7F"/>
        </w:pBdr>
        <w:spacing w:before="120" w:after="120"/>
        <w:rPr>
          <w:rFonts w:asciiTheme="minorHAnsi" w:hAnsiTheme="minorHAnsi"/>
          <w:b/>
        </w:rPr>
      </w:pPr>
      <w:r w:rsidRPr="002A7213">
        <w:rPr>
          <w:rFonts w:asciiTheme="minorHAnsi" w:hAnsiTheme="minorHAnsi"/>
          <w:b/>
        </w:rPr>
        <w:t>Definition of Race</w:t>
      </w:r>
      <w:bookmarkEnd w:id="5368"/>
      <w:bookmarkEnd w:id="5369"/>
      <w:bookmarkEnd w:id="5370"/>
      <w:bookmarkEnd w:id="5371"/>
      <w:r w:rsidR="004D47FA">
        <w:rPr>
          <w:rFonts w:asciiTheme="minorHAnsi" w:hAnsiTheme="minorHAnsi"/>
          <w:b/>
        </w:rPr>
        <w:t>/Ethnicity</w:t>
      </w:r>
    </w:p>
    <w:p w14:paraId="0F4E4E01" w14:textId="7BCFEE2E" w:rsidR="002A7213" w:rsidRDefault="004D47FA" w:rsidP="00C83732">
      <w:pPr>
        <w:widowControl w:val="0"/>
        <w:spacing w:after="120" w:line="240" w:lineRule="auto"/>
        <w:rPr>
          <w:rFonts w:asciiTheme="minorHAnsi" w:hAnsiTheme="minorHAnsi" w:cs="Arial"/>
          <w:szCs w:val="20"/>
        </w:rPr>
      </w:pPr>
      <w:r>
        <w:rPr>
          <w:rFonts w:asciiTheme="minorHAnsi" w:hAnsiTheme="minorHAnsi" w:cs="Arial"/>
          <w:szCs w:val="20"/>
        </w:rPr>
        <w:t>In this report, the race/ethnicity category is defined as follows:</w:t>
      </w:r>
    </w:p>
    <w:p w14:paraId="4987DA56" w14:textId="29934215" w:rsidR="004D47FA" w:rsidRPr="00DB1926" w:rsidRDefault="004D47FA" w:rsidP="00B21C83">
      <w:pPr>
        <w:pStyle w:val="ListParagraph"/>
        <w:widowControl w:val="0"/>
        <w:numPr>
          <w:ilvl w:val="0"/>
          <w:numId w:val="20"/>
        </w:numPr>
        <w:spacing w:after="120" w:line="240" w:lineRule="auto"/>
        <w:rPr>
          <w:rFonts w:asciiTheme="minorHAnsi" w:hAnsiTheme="minorHAnsi"/>
          <w:bCs/>
        </w:rPr>
      </w:pPr>
      <w:r w:rsidRPr="00E778EA">
        <w:rPr>
          <w:rFonts w:asciiTheme="minorHAnsi" w:hAnsiTheme="minorHAnsi"/>
          <w:bCs/>
        </w:rPr>
        <w:t xml:space="preserve">Non-Hispanic </w:t>
      </w:r>
      <w:r w:rsidR="00BB3D69" w:rsidRPr="00E778EA">
        <w:rPr>
          <w:rFonts w:asciiTheme="minorHAnsi" w:hAnsiTheme="minorHAnsi"/>
          <w:bCs/>
        </w:rPr>
        <w:t>White</w:t>
      </w:r>
      <w:r w:rsidR="00F821F4" w:rsidRPr="00DB1926">
        <w:rPr>
          <w:rFonts w:asciiTheme="minorHAnsi" w:hAnsiTheme="minorHAnsi"/>
          <w:bCs/>
        </w:rPr>
        <w:t xml:space="preserve"> – </w:t>
      </w:r>
      <w:r w:rsidRPr="00DB1926">
        <w:rPr>
          <w:rFonts w:asciiTheme="minorHAnsi" w:hAnsiTheme="minorHAnsi"/>
          <w:bCs/>
        </w:rPr>
        <w:t xml:space="preserve">cases who are reported to have </w:t>
      </w:r>
      <w:r w:rsidR="00BB3D69" w:rsidRPr="00DB1926">
        <w:rPr>
          <w:rFonts w:asciiTheme="minorHAnsi" w:hAnsiTheme="minorHAnsi"/>
          <w:bCs/>
        </w:rPr>
        <w:t>White</w:t>
      </w:r>
      <w:r w:rsidRPr="00DB1926">
        <w:rPr>
          <w:rFonts w:asciiTheme="minorHAnsi" w:hAnsiTheme="minorHAnsi"/>
          <w:bCs/>
        </w:rPr>
        <w:t xml:space="preserve"> race and not of Hispanic/Latino ethnicity.</w:t>
      </w:r>
    </w:p>
    <w:p w14:paraId="4749D544" w14:textId="23E386F0" w:rsidR="004D47FA" w:rsidRPr="00DB1926" w:rsidRDefault="004D47FA" w:rsidP="00B21C83">
      <w:pPr>
        <w:pStyle w:val="ListParagraph"/>
        <w:widowControl w:val="0"/>
        <w:numPr>
          <w:ilvl w:val="0"/>
          <w:numId w:val="20"/>
        </w:numPr>
        <w:spacing w:after="120" w:line="240" w:lineRule="auto"/>
        <w:rPr>
          <w:rFonts w:asciiTheme="minorHAnsi" w:hAnsiTheme="minorHAnsi"/>
          <w:bCs/>
        </w:rPr>
      </w:pPr>
      <w:r w:rsidRPr="00E778EA">
        <w:rPr>
          <w:rFonts w:asciiTheme="minorHAnsi" w:hAnsiTheme="minorHAnsi"/>
          <w:bCs/>
        </w:rPr>
        <w:t xml:space="preserve">Non-Hispanic </w:t>
      </w:r>
      <w:r w:rsidR="00BB3D69" w:rsidRPr="00E778EA">
        <w:rPr>
          <w:rFonts w:asciiTheme="minorHAnsi" w:hAnsiTheme="minorHAnsi"/>
          <w:bCs/>
        </w:rPr>
        <w:t>Black</w:t>
      </w:r>
      <w:r w:rsidR="00F821F4" w:rsidRPr="00DB1926">
        <w:rPr>
          <w:rFonts w:asciiTheme="minorHAnsi" w:hAnsiTheme="minorHAnsi"/>
          <w:bCs/>
        </w:rPr>
        <w:t xml:space="preserve"> – </w:t>
      </w:r>
      <w:r w:rsidRPr="00DB1926">
        <w:rPr>
          <w:rFonts w:asciiTheme="minorHAnsi" w:hAnsiTheme="minorHAnsi"/>
          <w:bCs/>
        </w:rPr>
        <w:t xml:space="preserve">cases who are reported to have </w:t>
      </w:r>
      <w:r w:rsidR="00BB3D69" w:rsidRPr="00DB1926">
        <w:rPr>
          <w:rFonts w:asciiTheme="minorHAnsi" w:hAnsiTheme="minorHAnsi"/>
          <w:bCs/>
        </w:rPr>
        <w:t>Black</w:t>
      </w:r>
      <w:r w:rsidRPr="00DB1926">
        <w:rPr>
          <w:rFonts w:asciiTheme="minorHAnsi" w:hAnsiTheme="minorHAnsi"/>
          <w:bCs/>
        </w:rPr>
        <w:t xml:space="preserve"> race and not of Hispanic/Latino ethnicity.</w:t>
      </w:r>
    </w:p>
    <w:p w14:paraId="45AFE218" w14:textId="7F758268" w:rsidR="004D47FA" w:rsidRDefault="00F821F4" w:rsidP="00B21C83">
      <w:pPr>
        <w:pStyle w:val="ListParagraph"/>
        <w:widowControl w:val="0"/>
        <w:numPr>
          <w:ilvl w:val="0"/>
          <w:numId w:val="20"/>
        </w:numPr>
        <w:spacing w:after="120" w:line="240" w:lineRule="auto"/>
        <w:rPr>
          <w:rFonts w:asciiTheme="minorHAnsi" w:hAnsiTheme="minorHAnsi"/>
        </w:rPr>
      </w:pPr>
      <w:r w:rsidRPr="00E778EA">
        <w:rPr>
          <w:rFonts w:asciiTheme="minorHAnsi" w:hAnsiTheme="minorHAnsi"/>
          <w:bCs/>
        </w:rPr>
        <w:t>Hispanic</w:t>
      </w:r>
      <w:r w:rsidRPr="00DB1926">
        <w:rPr>
          <w:rFonts w:asciiTheme="minorHAnsi" w:hAnsiTheme="minorHAnsi"/>
          <w:bCs/>
        </w:rPr>
        <w:t xml:space="preserve"> – </w:t>
      </w:r>
      <w:r w:rsidR="004D47FA" w:rsidRPr="00DB1926">
        <w:rPr>
          <w:rFonts w:asciiTheme="minorHAnsi" w:hAnsiTheme="minorHAnsi"/>
          <w:bCs/>
        </w:rPr>
        <w:t>cases who are</w:t>
      </w:r>
      <w:r w:rsidR="004D47FA">
        <w:rPr>
          <w:rFonts w:asciiTheme="minorHAnsi" w:hAnsiTheme="minorHAnsi"/>
        </w:rPr>
        <w:t xml:space="preserve"> reported to be of Hispanic/Latino ethnicity regardless of race.</w:t>
      </w:r>
    </w:p>
    <w:p w14:paraId="456F41C3" w14:textId="6A5D991C" w:rsidR="0085735C" w:rsidRPr="007A219E" w:rsidRDefault="005904EE" w:rsidP="007A219E">
      <w:pPr>
        <w:pStyle w:val="Heading3"/>
        <w:pBdr>
          <w:bottom w:val="dotted" w:sz="4" w:space="0" w:color="1A4070" w:themeColor="accent2" w:themeShade="7F"/>
        </w:pBdr>
        <w:spacing w:before="120" w:after="120"/>
        <w:rPr>
          <w:rFonts w:asciiTheme="minorHAnsi" w:hAnsiTheme="minorHAnsi"/>
          <w:b/>
        </w:rPr>
      </w:pPr>
      <w:r>
        <w:rPr>
          <w:rFonts w:asciiTheme="minorHAnsi" w:hAnsiTheme="minorHAnsi"/>
          <w:b/>
        </w:rPr>
        <w:t>National Cancer Ranking</w:t>
      </w:r>
    </w:p>
    <w:p w14:paraId="0B26B489" w14:textId="12FC7570" w:rsidR="005C21B1" w:rsidRPr="005C21B1" w:rsidRDefault="005C21B1" w:rsidP="005C21B1">
      <w:pPr>
        <w:rPr>
          <w:rFonts w:asciiTheme="minorHAnsi" w:hAnsiTheme="minorHAnsi" w:cstheme="minorHAnsi"/>
        </w:rPr>
      </w:pPr>
      <w:r w:rsidRPr="005C21B1">
        <w:rPr>
          <w:rFonts w:asciiTheme="minorHAnsi" w:hAnsiTheme="minorHAnsi" w:cstheme="minorHAnsi"/>
        </w:rPr>
        <w:t>State cancer rank information was retrieved from the National Cancer Institute’s CI*Rank website which provides ranked age-adjusted cancer incidence and mortality rates by state, county and special region.</w:t>
      </w:r>
      <w:r w:rsidRPr="005C21B1">
        <w:rPr>
          <w:rStyle w:val="FootnoteReference"/>
          <w:rFonts w:asciiTheme="minorHAnsi" w:hAnsiTheme="minorHAnsi" w:cstheme="minorHAnsi"/>
        </w:rPr>
        <w:footnoteReference w:id="34"/>
      </w:r>
      <w:r w:rsidRPr="005C21B1">
        <w:rPr>
          <w:rFonts w:asciiTheme="minorHAnsi" w:hAnsiTheme="minorHAnsi" w:cstheme="minorHAnsi"/>
        </w:rPr>
        <w:t> </w:t>
      </w:r>
      <w:r w:rsidR="00DB1E64">
        <w:rPr>
          <w:rFonts w:asciiTheme="minorHAnsi" w:hAnsiTheme="minorHAnsi" w:cstheme="minorHAnsi"/>
        </w:rPr>
        <w:t xml:space="preserve"> </w:t>
      </w:r>
      <w:r w:rsidRPr="005C21B1">
        <w:rPr>
          <w:rFonts w:asciiTheme="minorHAnsi" w:hAnsiTheme="minorHAnsi" w:cstheme="minorHAnsi"/>
        </w:rPr>
        <w:t xml:space="preserve">The data sources for the rankings that cover the </w:t>
      </w:r>
      <w:r w:rsidR="005E7997">
        <w:rPr>
          <w:rFonts w:asciiTheme="minorHAnsi" w:hAnsiTheme="minorHAnsi" w:cstheme="minorHAnsi"/>
        </w:rPr>
        <w:t>2017-2021</w:t>
      </w:r>
      <w:r w:rsidRPr="005C21B1">
        <w:rPr>
          <w:rFonts w:asciiTheme="minorHAnsi" w:hAnsiTheme="minorHAnsi" w:cstheme="minorHAnsi"/>
        </w:rPr>
        <w:t xml:space="preserve"> period are U.S. Mortality Data 1999-202</w:t>
      </w:r>
      <w:r w:rsidR="005E7997">
        <w:rPr>
          <w:rFonts w:asciiTheme="minorHAnsi" w:hAnsiTheme="minorHAnsi" w:cstheme="minorHAnsi"/>
        </w:rPr>
        <w:t>2</w:t>
      </w:r>
      <w:r w:rsidRPr="005C21B1">
        <w:rPr>
          <w:rFonts w:asciiTheme="minorHAnsi" w:hAnsiTheme="minorHAnsi" w:cstheme="minorHAnsi"/>
        </w:rPr>
        <w:t xml:space="preserve"> from the National Center for Health Statistics and U.S. Cancer Incidence 1995-202</w:t>
      </w:r>
      <w:r w:rsidR="005E7997">
        <w:rPr>
          <w:rFonts w:asciiTheme="minorHAnsi" w:hAnsiTheme="minorHAnsi" w:cstheme="minorHAnsi"/>
        </w:rPr>
        <w:t>1</w:t>
      </w:r>
      <w:r w:rsidRPr="005C21B1">
        <w:rPr>
          <w:rFonts w:asciiTheme="minorHAnsi" w:hAnsiTheme="minorHAnsi" w:cstheme="minorHAnsi"/>
        </w:rPr>
        <w:t xml:space="preserve"> data from the North American Association of Central Cancer Registries (NAACCR) </w:t>
      </w:r>
      <w:proofErr w:type="spellStart"/>
      <w:r w:rsidRPr="005C21B1">
        <w:rPr>
          <w:rFonts w:asciiTheme="minorHAnsi" w:hAnsiTheme="minorHAnsi" w:cstheme="minorHAnsi"/>
        </w:rPr>
        <w:t>CiNA</w:t>
      </w:r>
      <w:proofErr w:type="spellEnd"/>
      <w:r w:rsidRPr="005C21B1">
        <w:rPr>
          <w:rFonts w:asciiTheme="minorHAnsi" w:hAnsiTheme="minorHAnsi" w:cstheme="minorHAnsi"/>
        </w:rPr>
        <w:t xml:space="preserve"> Analytic File, 1995-202</w:t>
      </w:r>
      <w:r w:rsidR="005E7997">
        <w:rPr>
          <w:rFonts w:asciiTheme="minorHAnsi" w:hAnsiTheme="minorHAnsi" w:cstheme="minorHAnsi"/>
        </w:rPr>
        <w:t>1</w:t>
      </w:r>
      <w:r w:rsidRPr="005C21B1">
        <w:rPr>
          <w:rFonts w:asciiTheme="minorHAnsi" w:hAnsiTheme="minorHAnsi" w:cstheme="minorHAnsi"/>
        </w:rPr>
        <w:t xml:space="preserve">. </w:t>
      </w:r>
    </w:p>
    <w:p w14:paraId="66E8A443" w14:textId="28FBD9D5" w:rsidR="005C21B1" w:rsidRPr="005C21B1" w:rsidRDefault="005C21B1" w:rsidP="005C21B1">
      <w:pPr>
        <w:rPr>
          <w:rFonts w:asciiTheme="minorHAnsi" w:hAnsiTheme="minorHAnsi" w:cstheme="minorHAnsi"/>
        </w:rPr>
      </w:pPr>
      <w:r w:rsidRPr="005C21B1">
        <w:rPr>
          <w:rFonts w:asciiTheme="minorHAnsi" w:hAnsiTheme="minorHAnsi" w:cstheme="minorHAnsi"/>
        </w:rPr>
        <w:t xml:space="preserve">It should be noted that the incidence data for some years are incomplete for some states and some states are excluded. </w:t>
      </w:r>
      <w:r w:rsidR="00E52586">
        <w:rPr>
          <w:rFonts w:asciiTheme="minorHAnsi" w:hAnsiTheme="minorHAnsi" w:cstheme="minorHAnsi"/>
        </w:rPr>
        <w:t xml:space="preserve"> </w:t>
      </w:r>
      <w:r w:rsidRPr="005C21B1">
        <w:rPr>
          <w:rFonts w:asciiTheme="minorHAnsi" w:hAnsiTheme="minorHAnsi" w:cstheme="minorHAnsi"/>
        </w:rPr>
        <w:t>Specifically, for 201</w:t>
      </w:r>
      <w:r w:rsidR="005E7997">
        <w:rPr>
          <w:rFonts w:asciiTheme="minorHAnsi" w:hAnsiTheme="minorHAnsi" w:cstheme="minorHAnsi"/>
        </w:rPr>
        <w:t>7</w:t>
      </w:r>
      <w:r w:rsidRPr="005C21B1">
        <w:rPr>
          <w:rFonts w:asciiTheme="minorHAnsi" w:hAnsiTheme="minorHAnsi" w:cstheme="minorHAnsi"/>
        </w:rPr>
        <w:t>-202</w:t>
      </w:r>
      <w:r w:rsidR="005E7997">
        <w:rPr>
          <w:rFonts w:asciiTheme="minorHAnsi" w:hAnsiTheme="minorHAnsi" w:cstheme="minorHAnsi"/>
        </w:rPr>
        <w:t>1</w:t>
      </w:r>
      <w:r w:rsidRPr="005C21B1">
        <w:rPr>
          <w:rFonts w:asciiTheme="minorHAnsi" w:hAnsiTheme="minorHAnsi" w:cstheme="minorHAnsi"/>
        </w:rPr>
        <w:t xml:space="preserve"> rankings used in the current report, data </w:t>
      </w:r>
      <w:r w:rsidR="00A7314A">
        <w:rPr>
          <w:rFonts w:asciiTheme="minorHAnsi" w:hAnsiTheme="minorHAnsi" w:cstheme="minorHAnsi"/>
        </w:rPr>
        <w:t>were</w:t>
      </w:r>
      <w:r w:rsidRPr="005C21B1">
        <w:rPr>
          <w:rFonts w:asciiTheme="minorHAnsi" w:hAnsiTheme="minorHAnsi" w:cstheme="minorHAnsi"/>
        </w:rPr>
        <w:t xml:space="preserve"> not available for all or at least part of the period for the following states: </w:t>
      </w:r>
      <w:r w:rsidR="005E7997" w:rsidRPr="005E7997">
        <w:rPr>
          <w:rFonts w:asciiTheme="minorHAnsi" w:hAnsiTheme="minorHAnsi" w:cstheme="minorHAnsi"/>
        </w:rPr>
        <w:t xml:space="preserve">Alaska, Arkansas, Colorado, Florida, Indiana, Kansas, Maryland, Minnesota, Missouri, </w:t>
      </w:r>
      <w:r w:rsidR="005E7997">
        <w:rPr>
          <w:rFonts w:asciiTheme="minorHAnsi" w:hAnsiTheme="minorHAnsi" w:cstheme="minorHAnsi"/>
        </w:rPr>
        <w:t xml:space="preserve">and </w:t>
      </w:r>
      <w:r w:rsidR="005E7997" w:rsidRPr="005E7997">
        <w:rPr>
          <w:rFonts w:asciiTheme="minorHAnsi" w:hAnsiTheme="minorHAnsi" w:cstheme="minorHAnsi"/>
        </w:rPr>
        <w:t>Vermont</w:t>
      </w:r>
      <w:r w:rsidRPr="005C21B1">
        <w:rPr>
          <w:rFonts w:asciiTheme="minorHAnsi" w:hAnsiTheme="minorHAnsi" w:cstheme="minorHAnsi"/>
        </w:rPr>
        <w:t xml:space="preserve">. </w:t>
      </w:r>
      <w:r w:rsidR="003108AC">
        <w:rPr>
          <w:rFonts w:asciiTheme="minorHAnsi" w:hAnsiTheme="minorHAnsi" w:cstheme="minorHAnsi"/>
        </w:rPr>
        <w:t xml:space="preserve"> </w:t>
      </w:r>
      <w:r w:rsidRPr="005C21B1">
        <w:rPr>
          <w:rFonts w:asciiTheme="minorHAnsi" w:hAnsiTheme="minorHAnsi" w:cstheme="minorHAnsi"/>
        </w:rPr>
        <w:t>As a result, cancer incidence state rankings do not include these states and the rankings are only among the states that are included (i.e., the remaining states plus Washington</w:t>
      </w:r>
      <w:r w:rsidR="00A7314A">
        <w:rPr>
          <w:rFonts w:asciiTheme="minorHAnsi" w:hAnsiTheme="minorHAnsi" w:cstheme="minorHAnsi"/>
        </w:rPr>
        <w:t>,</w:t>
      </w:r>
      <w:r w:rsidRPr="005C21B1">
        <w:rPr>
          <w:rFonts w:asciiTheme="minorHAnsi" w:hAnsiTheme="minorHAnsi" w:cstheme="minorHAnsi"/>
        </w:rPr>
        <w:t xml:space="preserve"> DC for a total of 41 ranking spots). </w:t>
      </w:r>
      <w:r w:rsidR="003108AC">
        <w:rPr>
          <w:rFonts w:asciiTheme="minorHAnsi" w:hAnsiTheme="minorHAnsi" w:cstheme="minorHAnsi"/>
        </w:rPr>
        <w:t xml:space="preserve"> </w:t>
      </w:r>
      <w:r w:rsidRPr="005C21B1">
        <w:rPr>
          <w:rFonts w:asciiTheme="minorHAnsi" w:hAnsiTheme="minorHAnsi" w:cstheme="minorHAnsi"/>
        </w:rPr>
        <w:t>The cancer mortality state rankings do include all states plus Washington</w:t>
      </w:r>
      <w:r w:rsidR="00A7314A">
        <w:rPr>
          <w:rFonts w:asciiTheme="minorHAnsi" w:hAnsiTheme="minorHAnsi" w:cstheme="minorHAnsi"/>
        </w:rPr>
        <w:t>,</w:t>
      </w:r>
      <w:r w:rsidRPr="005C21B1">
        <w:rPr>
          <w:rFonts w:asciiTheme="minorHAnsi" w:hAnsiTheme="minorHAnsi" w:cstheme="minorHAnsi"/>
        </w:rPr>
        <w:t xml:space="preserve"> DC.</w:t>
      </w:r>
      <w:r w:rsidR="00F344B8" w:rsidDel="00F344B8">
        <w:rPr>
          <w:rStyle w:val="FootnoteReference"/>
          <w:rFonts w:asciiTheme="minorHAnsi" w:hAnsiTheme="minorHAnsi" w:cstheme="minorHAnsi"/>
        </w:rPr>
        <w:t xml:space="preserve"> </w:t>
      </w:r>
    </w:p>
    <w:p w14:paraId="3F925874" w14:textId="59A15559" w:rsidR="00D766FA" w:rsidRPr="007D68A7" w:rsidRDefault="00D766FA" w:rsidP="007D68A7">
      <w:pPr>
        <w:rPr>
          <w:rFonts w:asciiTheme="minorHAnsi" w:hAnsiTheme="minorHAnsi" w:cstheme="minorHAnsi"/>
        </w:rPr>
      </w:pPr>
    </w:p>
    <w:p w14:paraId="4A133C0D" w14:textId="77777777" w:rsidR="002A7213" w:rsidRPr="002A7213" w:rsidRDefault="002A7213" w:rsidP="00B21C83">
      <w:pPr>
        <w:pStyle w:val="Heading1"/>
        <w:numPr>
          <w:ilvl w:val="0"/>
          <w:numId w:val="19"/>
        </w:numPr>
        <w:rPr>
          <w:rFonts w:asciiTheme="minorHAnsi" w:hAnsiTheme="minorHAnsi"/>
        </w:rPr>
      </w:pPr>
      <w:bookmarkStart w:id="5372" w:name="_Toc451764694"/>
      <w:bookmarkStart w:id="5373" w:name="_Toc451778426"/>
      <w:bookmarkStart w:id="5374" w:name="_Toc486839570"/>
      <w:bookmarkStart w:id="5375" w:name="_Toc84256568"/>
      <w:bookmarkStart w:id="5376" w:name="_Toc179276354"/>
      <w:r w:rsidRPr="002A7213">
        <w:rPr>
          <w:rFonts w:asciiTheme="minorHAnsi" w:hAnsiTheme="minorHAnsi"/>
        </w:rPr>
        <w:lastRenderedPageBreak/>
        <w:t>Primary Cancer Site Definitions</w:t>
      </w:r>
      <w:bookmarkEnd w:id="5372"/>
      <w:bookmarkEnd w:id="5373"/>
      <w:bookmarkEnd w:id="5374"/>
      <w:bookmarkEnd w:id="5375"/>
      <w:bookmarkEnd w:id="5376"/>
    </w:p>
    <w:p w14:paraId="5EF3A7B2" w14:textId="3D4C83AB" w:rsidR="002A7213" w:rsidRDefault="002A7213" w:rsidP="00DA4156">
      <w:pPr>
        <w:pStyle w:val="Caption"/>
        <w:spacing w:after="120" w:line="240" w:lineRule="auto"/>
        <w:jc w:val="center"/>
        <w:rPr>
          <w:rFonts w:asciiTheme="minorHAnsi" w:hAnsiTheme="minorHAnsi"/>
          <w:b/>
          <w:sz w:val="22"/>
          <w:szCs w:val="22"/>
        </w:rPr>
      </w:pPr>
      <w:r w:rsidRPr="008064F7">
        <w:rPr>
          <w:rFonts w:asciiTheme="minorHAnsi" w:hAnsiTheme="minorHAnsi"/>
          <w:b/>
          <w:sz w:val="22"/>
          <w:szCs w:val="22"/>
        </w:rPr>
        <w:t xml:space="preserve">Table </w:t>
      </w:r>
      <w:r w:rsidRPr="008064F7">
        <w:rPr>
          <w:rFonts w:asciiTheme="minorHAnsi" w:hAnsiTheme="minorHAnsi"/>
          <w:b/>
          <w:sz w:val="22"/>
          <w:szCs w:val="22"/>
        </w:rPr>
        <w:fldChar w:fldCharType="begin"/>
      </w:r>
      <w:r w:rsidRPr="008064F7">
        <w:rPr>
          <w:rFonts w:asciiTheme="minorHAnsi" w:hAnsiTheme="minorHAnsi"/>
          <w:b/>
          <w:sz w:val="22"/>
          <w:szCs w:val="22"/>
        </w:rPr>
        <w:instrText xml:space="preserve"> STYLEREF 1 \s </w:instrText>
      </w:r>
      <w:r w:rsidRPr="008064F7">
        <w:rPr>
          <w:rFonts w:asciiTheme="minorHAnsi" w:hAnsiTheme="minorHAnsi"/>
          <w:b/>
          <w:sz w:val="22"/>
          <w:szCs w:val="22"/>
        </w:rPr>
        <w:fldChar w:fldCharType="separate"/>
      </w:r>
      <w:r w:rsidR="006C24CC">
        <w:rPr>
          <w:rFonts w:asciiTheme="minorHAnsi" w:hAnsiTheme="minorHAnsi"/>
          <w:b/>
          <w:noProof/>
          <w:sz w:val="22"/>
          <w:szCs w:val="22"/>
        </w:rPr>
        <w:t>B</w:t>
      </w:r>
      <w:r w:rsidRPr="008064F7">
        <w:rPr>
          <w:rFonts w:asciiTheme="minorHAnsi" w:hAnsiTheme="minorHAnsi"/>
          <w:b/>
          <w:sz w:val="22"/>
          <w:szCs w:val="22"/>
        </w:rPr>
        <w:fldChar w:fldCharType="end"/>
      </w:r>
      <w:r w:rsidRPr="008064F7">
        <w:rPr>
          <w:rFonts w:asciiTheme="minorHAnsi" w:hAnsiTheme="minorHAnsi"/>
          <w:b/>
          <w:sz w:val="22"/>
          <w:szCs w:val="22"/>
        </w:rPr>
        <w:noBreakHyphen/>
      </w:r>
      <w:r w:rsidRPr="008064F7">
        <w:rPr>
          <w:rFonts w:asciiTheme="minorHAnsi" w:hAnsiTheme="minorHAnsi"/>
          <w:b/>
          <w:sz w:val="22"/>
          <w:szCs w:val="22"/>
        </w:rPr>
        <w:fldChar w:fldCharType="begin"/>
      </w:r>
      <w:r w:rsidRPr="008064F7">
        <w:rPr>
          <w:rFonts w:asciiTheme="minorHAnsi" w:hAnsiTheme="minorHAnsi"/>
          <w:b/>
          <w:sz w:val="22"/>
          <w:szCs w:val="22"/>
        </w:rPr>
        <w:instrText xml:space="preserve"> SEQ Table \* ARABIC \s 1 </w:instrText>
      </w:r>
      <w:r w:rsidRPr="008064F7">
        <w:rPr>
          <w:rFonts w:asciiTheme="minorHAnsi" w:hAnsiTheme="minorHAnsi"/>
          <w:b/>
          <w:sz w:val="22"/>
          <w:szCs w:val="22"/>
        </w:rPr>
        <w:fldChar w:fldCharType="separate"/>
      </w:r>
      <w:r w:rsidR="006C24CC">
        <w:rPr>
          <w:rFonts w:asciiTheme="minorHAnsi" w:hAnsiTheme="minorHAnsi"/>
          <w:b/>
          <w:noProof/>
          <w:sz w:val="22"/>
          <w:szCs w:val="22"/>
        </w:rPr>
        <w:t>1</w:t>
      </w:r>
      <w:r w:rsidRPr="008064F7">
        <w:rPr>
          <w:rFonts w:asciiTheme="minorHAnsi" w:hAnsiTheme="minorHAnsi"/>
          <w:b/>
          <w:sz w:val="22"/>
          <w:szCs w:val="22"/>
        </w:rPr>
        <w:fldChar w:fldCharType="end"/>
      </w:r>
      <w:r w:rsidRPr="008064F7">
        <w:rPr>
          <w:rFonts w:asciiTheme="minorHAnsi" w:hAnsiTheme="minorHAnsi"/>
          <w:b/>
          <w:sz w:val="22"/>
          <w:szCs w:val="22"/>
        </w:rPr>
        <w:t>: Primary Cancer Site Definitions</w:t>
      </w:r>
    </w:p>
    <w:tbl>
      <w:tblPr>
        <w:tblStyle w:val="TableGridLight"/>
        <w:tblW w:w="9900" w:type="dxa"/>
        <w:tblLook w:val="04A0" w:firstRow="1" w:lastRow="0" w:firstColumn="1" w:lastColumn="0" w:noHBand="0" w:noVBand="1"/>
      </w:tblPr>
      <w:tblGrid>
        <w:gridCol w:w="3290"/>
        <w:gridCol w:w="2215"/>
        <w:gridCol w:w="4395"/>
      </w:tblGrid>
      <w:tr w:rsidR="008B3ABC" w:rsidRPr="00D7200B" w14:paraId="1C346BAD" w14:textId="77777777" w:rsidTr="009420EB">
        <w:trPr>
          <w:trHeight w:val="298"/>
          <w:tblHeader/>
        </w:trPr>
        <w:tc>
          <w:tcPr>
            <w:tcW w:w="3290" w:type="dxa"/>
            <w:shd w:val="clear" w:color="auto" w:fill="D9D9D9" w:themeFill="background1" w:themeFillShade="D9"/>
            <w:noWrap/>
            <w:hideMark/>
          </w:tcPr>
          <w:p w14:paraId="20C50F02" w14:textId="40BBC2BA" w:rsidR="008B3ABC" w:rsidRPr="00D7200B" w:rsidRDefault="008B3ABC" w:rsidP="008B3ABC">
            <w:pPr>
              <w:rPr>
                <w:rFonts w:ascii="Calibri" w:eastAsia="Times New Roman" w:hAnsi="Calibri" w:cs="Calibri"/>
                <w:b/>
                <w:bCs/>
                <w:color w:val="000000"/>
              </w:rPr>
            </w:pPr>
            <w:r w:rsidRPr="008B3ABC">
              <w:rPr>
                <w:rFonts w:ascii="Calibri" w:eastAsia="Times New Roman" w:hAnsi="Calibri" w:cs="Calibri"/>
                <w:b/>
                <w:bCs/>
                <w:color w:val="000000"/>
              </w:rPr>
              <w:t>Cancer Site Group</w:t>
            </w:r>
          </w:p>
        </w:tc>
        <w:tc>
          <w:tcPr>
            <w:tcW w:w="2215" w:type="dxa"/>
            <w:shd w:val="clear" w:color="auto" w:fill="D9D9D9" w:themeFill="background1" w:themeFillShade="D9"/>
            <w:hideMark/>
          </w:tcPr>
          <w:p w14:paraId="42DD76A6" w14:textId="3536A6FB" w:rsidR="008B3ABC" w:rsidRPr="00D7200B" w:rsidRDefault="008B3ABC" w:rsidP="008B3ABC">
            <w:pPr>
              <w:rPr>
                <w:rFonts w:ascii="Calibri" w:eastAsia="Times New Roman" w:hAnsi="Calibri" w:cs="Calibri"/>
                <w:b/>
                <w:bCs/>
                <w:color w:val="000000"/>
              </w:rPr>
            </w:pPr>
            <w:r w:rsidRPr="008B3ABC">
              <w:rPr>
                <w:rFonts w:ascii="Calibri" w:eastAsia="Times New Roman" w:hAnsi="Calibri" w:cs="Calibri"/>
                <w:b/>
                <w:bCs/>
                <w:color w:val="000000"/>
              </w:rPr>
              <w:t>ICD-O-3 Site</w:t>
            </w:r>
          </w:p>
        </w:tc>
        <w:tc>
          <w:tcPr>
            <w:tcW w:w="4395" w:type="dxa"/>
            <w:shd w:val="clear" w:color="auto" w:fill="D9D9D9" w:themeFill="background1" w:themeFillShade="D9"/>
            <w:hideMark/>
          </w:tcPr>
          <w:p w14:paraId="451D9D9D" w14:textId="719DAA37" w:rsidR="008B3ABC" w:rsidRPr="00D7200B" w:rsidRDefault="008B3ABC" w:rsidP="008B3ABC">
            <w:pPr>
              <w:rPr>
                <w:rFonts w:ascii="Calibri" w:eastAsia="Times New Roman" w:hAnsi="Calibri" w:cs="Calibri"/>
                <w:b/>
                <w:bCs/>
                <w:color w:val="000000"/>
              </w:rPr>
            </w:pPr>
            <w:r w:rsidRPr="008B3ABC">
              <w:rPr>
                <w:rFonts w:ascii="Calibri" w:eastAsia="Times New Roman" w:hAnsi="Calibri" w:cs="Calibri"/>
                <w:b/>
                <w:bCs/>
                <w:color w:val="000000"/>
              </w:rPr>
              <w:t>ICD-O-3 Histology (Type)</w:t>
            </w:r>
          </w:p>
        </w:tc>
      </w:tr>
      <w:tr w:rsidR="00D7200B" w:rsidRPr="00D7200B" w14:paraId="08CC0F6F" w14:textId="77777777" w:rsidTr="008B3ABC">
        <w:trPr>
          <w:trHeight w:val="298"/>
        </w:trPr>
        <w:tc>
          <w:tcPr>
            <w:tcW w:w="3290" w:type="dxa"/>
            <w:noWrap/>
            <w:vAlign w:val="center"/>
            <w:hideMark/>
          </w:tcPr>
          <w:p w14:paraId="221384F2" w14:textId="77777777" w:rsidR="00D7200B" w:rsidRPr="00D7200B" w:rsidRDefault="00D7200B" w:rsidP="008B3ABC">
            <w:pPr>
              <w:rPr>
                <w:rFonts w:ascii="Calibri" w:eastAsia="Times New Roman" w:hAnsi="Calibri" w:cs="Calibri"/>
                <w:b/>
                <w:bCs/>
                <w:color w:val="000000"/>
              </w:rPr>
            </w:pPr>
            <w:r w:rsidRPr="00D7200B">
              <w:rPr>
                <w:rFonts w:ascii="Calibri" w:eastAsia="Times New Roman" w:hAnsi="Calibri" w:cs="Calibri"/>
                <w:b/>
                <w:bCs/>
                <w:color w:val="000000"/>
              </w:rPr>
              <w:t>Oral Cavity and Pharynx</w:t>
            </w:r>
          </w:p>
        </w:tc>
        <w:tc>
          <w:tcPr>
            <w:tcW w:w="2215" w:type="dxa"/>
            <w:vAlign w:val="center"/>
            <w:hideMark/>
          </w:tcPr>
          <w:p w14:paraId="61DFFB1F"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c>
          <w:tcPr>
            <w:tcW w:w="4395" w:type="dxa"/>
            <w:vAlign w:val="center"/>
            <w:hideMark/>
          </w:tcPr>
          <w:p w14:paraId="68B1D1D7"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r>
      <w:tr w:rsidR="00D7200B" w:rsidRPr="00D7200B" w14:paraId="1BEBE573" w14:textId="77777777" w:rsidTr="008B3ABC">
        <w:trPr>
          <w:trHeight w:val="298"/>
        </w:trPr>
        <w:tc>
          <w:tcPr>
            <w:tcW w:w="3290" w:type="dxa"/>
            <w:noWrap/>
            <w:vAlign w:val="center"/>
            <w:hideMark/>
          </w:tcPr>
          <w:p w14:paraId="1778BF23" w14:textId="3F168DBD" w:rsidR="00D7200B" w:rsidRPr="00D7200B" w:rsidRDefault="00D7200B" w:rsidP="00432D86">
            <w:pPr>
              <w:ind w:left="288"/>
              <w:rPr>
                <w:rFonts w:ascii="Calibri" w:eastAsia="Times New Roman" w:hAnsi="Calibri" w:cs="Calibri"/>
                <w:color w:val="000000"/>
              </w:rPr>
            </w:pPr>
            <w:r w:rsidRPr="00D7200B">
              <w:rPr>
                <w:rFonts w:ascii="Calibri" w:eastAsia="Times New Roman" w:hAnsi="Calibri" w:cs="Calibri"/>
                <w:color w:val="000000"/>
              </w:rPr>
              <w:t>Lip</w:t>
            </w:r>
          </w:p>
        </w:tc>
        <w:tc>
          <w:tcPr>
            <w:tcW w:w="2215" w:type="dxa"/>
            <w:vAlign w:val="center"/>
            <w:hideMark/>
          </w:tcPr>
          <w:p w14:paraId="0E4962D5"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C000-C009</w:t>
            </w:r>
          </w:p>
        </w:tc>
        <w:tc>
          <w:tcPr>
            <w:tcW w:w="4395" w:type="dxa"/>
            <w:vAlign w:val="center"/>
            <w:hideMark/>
          </w:tcPr>
          <w:p w14:paraId="306132F0"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7569C624" w14:textId="77777777" w:rsidTr="008B3ABC">
        <w:trPr>
          <w:trHeight w:val="298"/>
        </w:trPr>
        <w:tc>
          <w:tcPr>
            <w:tcW w:w="3290" w:type="dxa"/>
            <w:noWrap/>
            <w:vAlign w:val="center"/>
            <w:hideMark/>
          </w:tcPr>
          <w:p w14:paraId="43CE3276" w14:textId="745E4B5A" w:rsidR="00D7200B" w:rsidRPr="00D7200B" w:rsidRDefault="00D7200B" w:rsidP="00432D86">
            <w:pPr>
              <w:ind w:left="288"/>
              <w:rPr>
                <w:rFonts w:ascii="Calibri" w:eastAsia="Times New Roman" w:hAnsi="Calibri" w:cs="Calibri"/>
                <w:color w:val="000000"/>
              </w:rPr>
            </w:pPr>
            <w:r w:rsidRPr="00D7200B">
              <w:rPr>
                <w:rFonts w:ascii="Calibri" w:eastAsia="Times New Roman" w:hAnsi="Calibri" w:cs="Calibri"/>
                <w:color w:val="000000"/>
              </w:rPr>
              <w:t>Tongue</w:t>
            </w:r>
          </w:p>
        </w:tc>
        <w:tc>
          <w:tcPr>
            <w:tcW w:w="2215" w:type="dxa"/>
            <w:vAlign w:val="center"/>
            <w:hideMark/>
          </w:tcPr>
          <w:p w14:paraId="5872AFDC"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C019-C029</w:t>
            </w:r>
          </w:p>
        </w:tc>
        <w:tc>
          <w:tcPr>
            <w:tcW w:w="4395" w:type="dxa"/>
            <w:vAlign w:val="center"/>
            <w:hideMark/>
          </w:tcPr>
          <w:p w14:paraId="42D16057"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2BBDB9B5" w14:textId="77777777" w:rsidTr="008B3ABC">
        <w:trPr>
          <w:trHeight w:val="298"/>
        </w:trPr>
        <w:tc>
          <w:tcPr>
            <w:tcW w:w="3290" w:type="dxa"/>
            <w:noWrap/>
            <w:vAlign w:val="center"/>
            <w:hideMark/>
          </w:tcPr>
          <w:p w14:paraId="75E3396D" w14:textId="3B97BAA5" w:rsidR="00D7200B" w:rsidRPr="00D7200B" w:rsidRDefault="00D7200B" w:rsidP="00432D86">
            <w:pPr>
              <w:ind w:left="288"/>
              <w:rPr>
                <w:rFonts w:ascii="Calibri" w:eastAsia="Times New Roman" w:hAnsi="Calibri" w:cs="Calibri"/>
                <w:color w:val="000000"/>
              </w:rPr>
            </w:pPr>
            <w:r w:rsidRPr="00D7200B">
              <w:rPr>
                <w:rFonts w:ascii="Calibri" w:eastAsia="Times New Roman" w:hAnsi="Calibri" w:cs="Calibri"/>
                <w:color w:val="000000"/>
              </w:rPr>
              <w:t>Salivary Gland</w:t>
            </w:r>
          </w:p>
        </w:tc>
        <w:tc>
          <w:tcPr>
            <w:tcW w:w="2215" w:type="dxa"/>
            <w:vAlign w:val="center"/>
            <w:hideMark/>
          </w:tcPr>
          <w:p w14:paraId="291F0F99"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C079-C089</w:t>
            </w:r>
          </w:p>
        </w:tc>
        <w:tc>
          <w:tcPr>
            <w:tcW w:w="4395" w:type="dxa"/>
            <w:vAlign w:val="center"/>
            <w:hideMark/>
          </w:tcPr>
          <w:p w14:paraId="27A623F2"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6EB8F30E" w14:textId="77777777" w:rsidTr="008B3ABC">
        <w:trPr>
          <w:trHeight w:val="298"/>
        </w:trPr>
        <w:tc>
          <w:tcPr>
            <w:tcW w:w="3290" w:type="dxa"/>
            <w:noWrap/>
            <w:vAlign w:val="center"/>
            <w:hideMark/>
          </w:tcPr>
          <w:p w14:paraId="288A1079" w14:textId="335AC212" w:rsidR="00D7200B" w:rsidRPr="00D7200B" w:rsidRDefault="00D7200B" w:rsidP="00432D86">
            <w:pPr>
              <w:ind w:left="288"/>
              <w:rPr>
                <w:rFonts w:ascii="Calibri" w:eastAsia="Times New Roman" w:hAnsi="Calibri" w:cs="Calibri"/>
                <w:color w:val="000000"/>
              </w:rPr>
            </w:pPr>
            <w:r w:rsidRPr="00D7200B">
              <w:rPr>
                <w:rFonts w:ascii="Calibri" w:eastAsia="Times New Roman" w:hAnsi="Calibri" w:cs="Calibri"/>
                <w:color w:val="000000"/>
              </w:rPr>
              <w:t>Floor of Mouth</w:t>
            </w:r>
          </w:p>
        </w:tc>
        <w:tc>
          <w:tcPr>
            <w:tcW w:w="2215" w:type="dxa"/>
            <w:vAlign w:val="center"/>
            <w:hideMark/>
          </w:tcPr>
          <w:p w14:paraId="53A6C2E1"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C040-C049</w:t>
            </w:r>
          </w:p>
        </w:tc>
        <w:tc>
          <w:tcPr>
            <w:tcW w:w="4395" w:type="dxa"/>
            <w:vAlign w:val="center"/>
            <w:hideMark/>
          </w:tcPr>
          <w:p w14:paraId="3F8F122C"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054FC6AE" w14:textId="77777777" w:rsidTr="008B3ABC">
        <w:trPr>
          <w:trHeight w:val="298"/>
        </w:trPr>
        <w:tc>
          <w:tcPr>
            <w:tcW w:w="3290" w:type="dxa"/>
            <w:noWrap/>
            <w:vAlign w:val="center"/>
            <w:hideMark/>
          </w:tcPr>
          <w:p w14:paraId="48514E75" w14:textId="406A1799" w:rsidR="00D7200B" w:rsidRPr="00D7200B" w:rsidRDefault="00D7200B" w:rsidP="00432D86">
            <w:pPr>
              <w:ind w:left="288"/>
              <w:rPr>
                <w:rFonts w:ascii="Calibri" w:eastAsia="Times New Roman" w:hAnsi="Calibri" w:cs="Calibri"/>
                <w:color w:val="000000"/>
              </w:rPr>
            </w:pPr>
            <w:r w:rsidRPr="00D7200B">
              <w:rPr>
                <w:rFonts w:ascii="Calibri" w:eastAsia="Times New Roman" w:hAnsi="Calibri" w:cs="Calibri"/>
                <w:color w:val="000000"/>
              </w:rPr>
              <w:t>Gum and Other Mouth</w:t>
            </w:r>
          </w:p>
        </w:tc>
        <w:tc>
          <w:tcPr>
            <w:tcW w:w="2215" w:type="dxa"/>
            <w:vAlign w:val="center"/>
            <w:hideMark/>
          </w:tcPr>
          <w:p w14:paraId="723BA768"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C030-C039, C050-C059, C060-C069</w:t>
            </w:r>
          </w:p>
        </w:tc>
        <w:tc>
          <w:tcPr>
            <w:tcW w:w="4395" w:type="dxa"/>
            <w:vAlign w:val="center"/>
            <w:hideMark/>
          </w:tcPr>
          <w:p w14:paraId="759236DE"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1A223623" w14:textId="77777777" w:rsidTr="008B3ABC">
        <w:trPr>
          <w:trHeight w:val="298"/>
        </w:trPr>
        <w:tc>
          <w:tcPr>
            <w:tcW w:w="3290" w:type="dxa"/>
            <w:noWrap/>
            <w:vAlign w:val="center"/>
            <w:hideMark/>
          </w:tcPr>
          <w:p w14:paraId="6085C791" w14:textId="172493AA" w:rsidR="00D7200B" w:rsidRPr="00D7200B" w:rsidRDefault="00D7200B" w:rsidP="00432D86">
            <w:pPr>
              <w:ind w:left="288"/>
              <w:rPr>
                <w:rFonts w:ascii="Calibri" w:eastAsia="Times New Roman" w:hAnsi="Calibri" w:cs="Calibri"/>
                <w:color w:val="000000"/>
              </w:rPr>
            </w:pPr>
            <w:r w:rsidRPr="00D7200B">
              <w:rPr>
                <w:rFonts w:ascii="Calibri" w:eastAsia="Times New Roman" w:hAnsi="Calibri" w:cs="Calibri"/>
                <w:color w:val="000000"/>
              </w:rPr>
              <w:t>Nasopharynx</w:t>
            </w:r>
          </w:p>
        </w:tc>
        <w:tc>
          <w:tcPr>
            <w:tcW w:w="2215" w:type="dxa"/>
            <w:vAlign w:val="center"/>
            <w:hideMark/>
          </w:tcPr>
          <w:p w14:paraId="0745F506"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C110-C119</w:t>
            </w:r>
          </w:p>
        </w:tc>
        <w:tc>
          <w:tcPr>
            <w:tcW w:w="4395" w:type="dxa"/>
            <w:vAlign w:val="center"/>
            <w:hideMark/>
          </w:tcPr>
          <w:p w14:paraId="21D59783"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73188876" w14:textId="77777777" w:rsidTr="008B3ABC">
        <w:trPr>
          <w:trHeight w:val="298"/>
        </w:trPr>
        <w:tc>
          <w:tcPr>
            <w:tcW w:w="3290" w:type="dxa"/>
            <w:noWrap/>
            <w:vAlign w:val="center"/>
            <w:hideMark/>
          </w:tcPr>
          <w:p w14:paraId="2D83A360" w14:textId="14831F1F" w:rsidR="00D7200B" w:rsidRPr="00D7200B" w:rsidRDefault="00D7200B" w:rsidP="00432D86">
            <w:pPr>
              <w:ind w:left="288"/>
              <w:rPr>
                <w:rFonts w:ascii="Calibri" w:eastAsia="Times New Roman" w:hAnsi="Calibri" w:cs="Calibri"/>
                <w:color w:val="000000"/>
              </w:rPr>
            </w:pPr>
            <w:r w:rsidRPr="00D7200B">
              <w:rPr>
                <w:rFonts w:ascii="Calibri" w:eastAsia="Times New Roman" w:hAnsi="Calibri" w:cs="Calibri"/>
                <w:color w:val="000000"/>
              </w:rPr>
              <w:t>Tonsil</w:t>
            </w:r>
          </w:p>
        </w:tc>
        <w:tc>
          <w:tcPr>
            <w:tcW w:w="2215" w:type="dxa"/>
            <w:vAlign w:val="center"/>
            <w:hideMark/>
          </w:tcPr>
          <w:p w14:paraId="2E1F585E"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C090-C099</w:t>
            </w:r>
          </w:p>
        </w:tc>
        <w:tc>
          <w:tcPr>
            <w:tcW w:w="4395" w:type="dxa"/>
            <w:vAlign w:val="center"/>
            <w:hideMark/>
          </w:tcPr>
          <w:p w14:paraId="038DD45C"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1EAD76C8" w14:textId="77777777" w:rsidTr="008B3ABC">
        <w:trPr>
          <w:trHeight w:val="298"/>
        </w:trPr>
        <w:tc>
          <w:tcPr>
            <w:tcW w:w="3290" w:type="dxa"/>
            <w:noWrap/>
            <w:vAlign w:val="center"/>
            <w:hideMark/>
          </w:tcPr>
          <w:p w14:paraId="0F381C2B" w14:textId="59CB058C" w:rsidR="00D7200B" w:rsidRPr="00D7200B" w:rsidRDefault="00D7200B" w:rsidP="00432D86">
            <w:pPr>
              <w:ind w:left="288"/>
              <w:rPr>
                <w:rFonts w:ascii="Calibri" w:eastAsia="Times New Roman" w:hAnsi="Calibri" w:cs="Calibri"/>
                <w:color w:val="000000"/>
              </w:rPr>
            </w:pPr>
            <w:r w:rsidRPr="00D7200B">
              <w:rPr>
                <w:rFonts w:ascii="Calibri" w:eastAsia="Times New Roman" w:hAnsi="Calibri" w:cs="Calibri"/>
                <w:color w:val="000000"/>
              </w:rPr>
              <w:t>Oropharynx</w:t>
            </w:r>
          </w:p>
        </w:tc>
        <w:tc>
          <w:tcPr>
            <w:tcW w:w="2215" w:type="dxa"/>
            <w:vAlign w:val="center"/>
            <w:hideMark/>
          </w:tcPr>
          <w:p w14:paraId="769D567D"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C100-C109</w:t>
            </w:r>
          </w:p>
        </w:tc>
        <w:tc>
          <w:tcPr>
            <w:tcW w:w="4395" w:type="dxa"/>
            <w:vAlign w:val="center"/>
            <w:hideMark/>
          </w:tcPr>
          <w:p w14:paraId="0D0BF472"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4C2BDD6B" w14:textId="77777777" w:rsidTr="008B3ABC">
        <w:trPr>
          <w:trHeight w:val="298"/>
        </w:trPr>
        <w:tc>
          <w:tcPr>
            <w:tcW w:w="3290" w:type="dxa"/>
            <w:noWrap/>
            <w:vAlign w:val="center"/>
            <w:hideMark/>
          </w:tcPr>
          <w:p w14:paraId="7FB2A76D" w14:textId="6BA62E01" w:rsidR="00D7200B" w:rsidRPr="00D7200B" w:rsidRDefault="00D7200B" w:rsidP="00432D86">
            <w:pPr>
              <w:ind w:left="288"/>
              <w:rPr>
                <w:rFonts w:ascii="Calibri" w:eastAsia="Times New Roman" w:hAnsi="Calibri" w:cs="Calibri"/>
                <w:color w:val="000000"/>
              </w:rPr>
            </w:pPr>
            <w:r w:rsidRPr="00D7200B">
              <w:rPr>
                <w:rFonts w:ascii="Calibri" w:eastAsia="Times New Roman" w:hAnsi="Calibri" w:cs="Calibri"/>
                <w:color w:val="000000"/>
              </w:rPr>
              <w:t>Hypopharynx</w:t>
            </w:r>
          </w:p>
        </w:tc>
        <w:tc>
          <w:tcPr>
            <w:tcW w:w="2215" w:type="dxa"/>
            <w:vAlign w:val="center"/>
            <w:hideMark/>
          </w:tcPr>
          <w:p w14:paraId="03CDF976"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C129, C130-C139</w:t>
            </w:r>
          </w:p>
        </w:tc>
        <w:tc>
          <w:tcPr>
            <w:tcW w:w="4395" w:type="dxa"/>
            <w:vAlign w:val="center"/>
            <w:hideMark/>
          </w:tcPr>
          <w:p w14:paraId="0FE7D6E6"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5C8D6009" w14:textId="77777777" w:rsidTr="008B3ABC">
        <w:trPr>
          <w:trHeight w:val="298"/>
        </w:trPr>
        <w:tc>
          <w:tcPr>
            <w:tcW w:w="3290" w:type="dxa"/>
            <w:noWrap/>
            <w:vAlign w:val="center"/>
            <w:hideMark/>
          </w:tcPr>
          <w:p w14:paraId="49DA1DA0" w14:textId="259D3EA0" w:rsidR="00D7200B" w:rsidRPr="00D7200B" w:rsidRDefault="00D7200B" w:rsidP="00432D86">
            <w:pPr>
              <w:ind w:left="288"/>
              <w:rPr>
                <w:rFonts w:ascii="Calibri" w:eastAsia="Times New Roman" w:hAnsi="Calibri" w:cs="Calibri"/>
                <w:color w:val="000000"/>
              </w:rPr>
            </w:pPr>
            <w:r w:rsidRPr="00D7200B">
              <w:rPr>
                <w:rFonts w:ascii="Calibri" w:eastAsia="Times New Roman" w:hAnsi="Calibri" w:cs="Calibri"/>
                <w:color w:val="000000"/>
              </w:rPr>
              <w:t>Other Oral Cavity and Pharynx</w:t>
            </w:r>
          </w:p>
        </w:tc>
        <w:tc>
          <w:tcPr>
            <w:tcW w:w="2215" w:type="dxa"/>
            <w:vAlign w:val="center"/>
            <w:hideMark/>
          </w:tcPr>
          <w:p w14:paraId="4FAF4F1A"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C140, C142, C148</w:t>
            </w:r>
          </w:p>
        </w:tc>
        <w:tc>
          <w:tcPr>
            <w:tcW w:w="4395" w:type="dxa"/>
            <w:vAlign w:val="center"/>
            <w:hideMark/>
          </w:tcPr>
          <w:p w14:paraId="137A7955"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1DCFEFCB" w14:textId="77777777" w:rsidTr="008B3ABC">
        <w:trPr>
          <w:trHeight w:val="298"/>
        </w:trPr>
        <w:tc>
          <w:tcPr>
            <w:tcW w:w="3290" w:type="dxa"/>
            <w:noWrap/>
            <w:vAlign w:val="center"/>
            <w:hideMark/>
          </w:tcPr>
          <w:p w14:paraId="36AA0EEA" w14:textId="77777777" w:rsidR="00D7200B" w:rsidRPr="00D7200B" w:rsidRDefault="00D7200B" w:rsidP="008B3ABC">
            <w:pPr>
              <w:rPr>
                <w:rFonts w:ascii="Calibri" w:eastAsia="Times New Roman" w:hAnsi="Calibri" w:cs="Calibri"/>
                <w:b/>
                <w:bCs/>
                <w:color w:val="000000"/>
              </w:rPr>
            </w:pPr>
            <w:r w:rsidRPr="00D7200B">
              <w:rPr>
                <w:rFonts w:ascii="Calibri" w:eastAsia="Times New Roman" w:hAnsi="Calibri" w:cs="Calibri"/>
                <w:b/>
                <w:bCs/>
                <w:color w:val="000000"/>
              </w:rPr>
              <w:t>Esophagus</w:t>
            </w:r>
          </w:p>
        </w:tc>
        <w:tc>
          <w:tcPr>
            <w:tcW w:w="2215" w:type="dxa"/>
            <w:vAlign w:val="center"/>
            <w:hideMark/>
          </w:tcPr>
          <w:p w14:paraId="350AF216"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C150-C159</w:t>
            </w:r>
          </w:p>
        </w:tc>
        <w:tc>
          <w:tcPr>
            <w:tcW w:w="4395" w:type="dxa"/>
            <w:vAlign w:val="center"/>
            <w:hideMark/>
          </w:tcPr>
          <w:p w14:paraId="7FF60FFA"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705B8F02" w14:textId="77777777" w:rsidTr="008B3ABC">
        <w:trPr>
          <w:trHeight w:val="298"/>
        </w:trPr>
        <w:tc>
          <w:tcPr>
            <w:tcW w:w="3290" w:type="dxa"/>
            <w:noWrap/>
            <w:vAlign w:val="center"/>
            <w:hideMark/>
          </w:tcPr>
          <w:p w14:paraId="4D2F0FE5" w14:textId="77777777" w:rsidR="00D7200B" w:rsidRPr="00D7200B" w:rsidRDefault="00D7200B" w:rsidP="008B3ABC">
            <w:pPr>
              <w:rPr>
                <w:rFonts w:ascii="Calibri" w:eastAsia="Times New Roman" w:hAnsi="Calibri" w:cs="Calibri"/>
                <w:b/>
                <w:bCs/>
                <w:color w:val="000000"/>
              </w:rPr>
            </w:pPr>
            <w:r w:rsidRPr="00D7200B">
              <w:rPr>
                <w:rFonts w:ascii="Calibri" w:eastAsia="Times New Roman" w:hAnsi="Calibri" w:cs="Calibri"/>
                <w:b/>
                <w:bCs/>
                <w:color w:val="000000"/>
              </w:rPr>
              <w:t>Stomach</w:t>
            </w:r>
          </w:p>
        </w:tc>
        <w:tc>
          <w:tcPr>
            <w:tcW w:w="2215" w:type="dxa"/>
            <w:vAlign w:val="center"/>
            <w:hideMark/>
          </w:tcPr>
          <w:p w14:paraId="2181932B"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C160-C169</w:t>
            </w:r>
          </w:p>
        </w:tc>
        <w:tc>
          <w:tcPr>
            <w:tcW w:w="4395" w:type="dxa"/>
            <w:vAlign w:val="center"/>
            <w:hideMark/>
          </w:tcPr>
          <w:p w14:paraId="02F79D56"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43BA1D10" w14:textId="77777777" w:rsidTr="008B3ABC">
        <w:trPr>
          <w:trHeight w:val="298"/>
        </w:trPr>
        <w:tc>
          <w:tcPr>
            <w:tcW w:w="3290" w:type="dxa"/>
            <w:noWrap/>
            <w:vAlign w:val="center"/>
            <w:hideMark/>
          </w:tcPr>
          <w:p w14:paraId="038A245D" w14:textId="77777777" w:rsidR="00D7200B" w:rsidRPr="00D7200B" w:rsidRDefault="00D7200B" w:rsidP="008B3ABC">
            <w:pPr>
              <w:rPr>
                <w:rFonts w:ascii="Calibri" w:eastAsia="Times New Roman" w:hAnsi="Calibri" w:cs="Calibri"/>
                <w:b/>
                <w:bCs/>
                <w:color w:val="000000"/>
              </w:rPr>
            </w:pPr>
            <w:r w:rsidRPr="00D7200B">
              <w:rPr>
                <w:rFonts w:ascii="Calibri" w:eastAsia="Times New Roman" w:hAnsi="Calibri" w:cs="Calibri"/>
                <w:b/>
                <w:bCs/>
                <w:color w:val="000000"/>
              </w:rPr>
              <w:t>Colon and Rectum</w:t>
            </w:r>
          </w:p>
        </w:tc>
        <w:tc>
          <w:tcPr>
            <w:tcW w:w="2215" w:type="dxa"/>
            <w:vAlign w:val="center"/>
            <w:hideMark/>
          </w:tcPr>
          <w:p w14:paraId="65A1A5BA"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C180–C189, C260, C199, C209</w:t>
            </w:r>
          </w:p>
        </w:tc>
        <w:tc>
          <w:tcPr>
            <w:tcW w:w="4395" w:type="dxa"/>
            <w:vAlign w:val="center"/>
            <w:hideMark/>
          </w:tcPr>
          <w:p w14:paraId="055FB547"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165BB9A6" w14:textId="77777777" w:rsidTr="008B3ABC">
        <w:trPr>
          <w:trHeight w:val="298"/>
        </w:trPr>
        <w:tc>
          <w:tcPr>
            <w:tcW w:w="3290" w:type="dxa"/>
            <w:noWrap/>
            <w:vAlign w:val="center"/>
            <w:hideMark/>
          </w:tcPr>
          <w:p w14:paraId="55F9D876" w14:textId="77777777" w:rsidR="00D7200B" w:rsidRPr="00D7200B" w:rsidRDefault="00D7200B" w:rsidP="008B3ABC">
            <w:pPr>
              <w:rPr>
                <w:rFonts w:ascii="Calibri" w:eastAsia="Times New Roman" w:hAnsi="Calibri" w:cs="Calibri"/>
                <w:b/>
                <w:bCs/>
                <w:color w:val="000000"/>
              </w:rPr>
            </w:pPr>
            <w:r w:rsidRPr="00D7200B">
              <w:rPr>
                <w:rFonts w:ascii="Calibri" w:eastAsia="Times New Roman" w:hAnsi="Calibri" w:cs="Calibri"/>
                <w:b/>
                <w:bCs/>
                <w:color w:val="000000"/>
              </w:rPr>
              <w:t>Liver and Intrahepatic Bile Duct</w:t>
            </w:r>
          </w:p>
        </w:tc>
        <w:tc>
          <w:tcPr>
            <w:tcW w:w="2215" w:type="dxa"/>
            <w:vAlign w:val="center"/>
            <w:hideMark/>
          </w:tcPr>
          <w:p w14:paraId="6CF2050D"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C220-C221</w:t>
            </w:r>
          </w:p>
        </w:tc>
        <w:tc>
          <w:tcPr>
            <w:tcW w:w="4395" w:type="dxa"/>
            <w:vAlign w:val="center"/>
            <w:hideMark/>
          </w:tcPr>
          <w:p w14:paraId="1BB8A9ED"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6CC4B2E1" w14:textId="77777777" w:rsidTr="008B3ABC">
        <w:trPr>
          <w:trHeight w:val="298"/>
        </w:trPr>
        <w:tc>
          <w:tcPr>
            <w:tcW w:w="3290" w:type="dxa"/>
            <w:noWrap/>
            <w:vAlign w:val="center"/>
            <w:hideMark/>
          </w:tcPr>
          <w:p w14:paraId="57EDD2E5" w14:textId="77777777" w:rsidR="00D7200B" w:rsidRPr="00D7200B" w:rsidRDefault="00D7200B" w:rsidP="008B3ABC">
            <w:pPr>
              <w:rPr>
                <w:rFonts w:ascii="Calibri" w:eastAsia="Times New Roman" w:hAnsi="Calibri" w:cs="Calibri"/>
                <w:b/>
                <w:bCs/>
                <w:color w:val="000000"/>
              </w:rPr>
            </w:pPr>
            <w:r w:rsidRPr="00D7200B">
              <w:rPr>
                <w:rFonts w:ascii="Calibri" w:eastAsia="Times New Roman" w:hAnsi="Calibri" w:cs="Calibri"/>
                <w:b/>
                <w:bCs/>
                <w:color w:val="000000"/>
              </w:rPr>
              <w:t>Pancreas</w:t>
            </w:r>
          </w:p>
        </w:tc>
        <w:tc>
          <w:tcPr>
            <w:tcW w:w="2215" w:type="dxa"/>
            <w:vAlign w:val="center"/>
            <w:hideMark/>
          </w:tcPr>
          <w:p w14:paraId="59C080DE"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C250-C259</w:t>
            </w:r>
          </w:p>
        </w:tc>
        <w:tc>
          <w:tcPr>
            <w:tcW w:w="4395" w:type="dxa"/>
            <w:vAlign w:val="center"/>
            <w:hideMark/>
          </w:tcPr>
          <w:p w14:paraId="491CB125"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4F386236" w14:textId="77777777" w:rsidTr="008B3ABC">
        <w:trPr>
          <w:trHeight w:val="298"/>
        </w:trPr>
        <w:tc>
          <w:tcPr>
            <w:tcW w:w="3290" w:type="dxa"/>
            <w:noWrap/>
            <w:vAlign w:val="center"/>
            <w:hideMark/>
          </w:tcPr>
          <w:p w14:paraId="510F44CB" w14:textId="77777777" w:rsidR="00D7200B" w:rsidRPr="00D7200B" w:rsidRDefault="00D7200B" w:rsidP="008B3ABC">
            <w:pPr>
              <w:rPr>
                <w:rFonts w:ascii="Calibri" w:eastAsia="Times New Roman" w:hAnsi="Calibri" w:cs="Calibri"/>
                <w:b/>
                <w:bCs/>
                <w:color w:val="000000"/>
              </w:rPr>
            </w:pPr>
            <w:r w:rsidRPr="00D7200B">
              <w:rPr>
                <w:rFonts w:ascii="Calibri" w:eastAsia="Times New Roman" w:hAnsi="Calibri" w:cs="Calibri"/>
                <w:b/>
                <w:bCs/>
                <w:color w:val="000000"/>
              </w:rPr>
              <w:t>Larynx</w:t>
            </w:r>
          </w:p>
        </w:tc>
        <w:tc>
          <w:tcPr>
            <w:tcW w:w="2215" w:type="dxa"/>
            <w:vAlign w:val="center"/>
            <w:hideMark/>
          </w:tcPr>
          <w:p w14:paraId="51CEFEAE"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C320-C329</w:t>
            </w:r>
          </w:p>
        </w:tc>
        <w:tc>
          <w:tcPr>
            <w:tcW w:w="4395" w:type="dxa"/>
            <w:vAlign w:val="center"/>
            <w:hideMark/>
          </w:tcPr>
          <w:p w14:paraId="0D0D3860"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38445266" w14:textId="77777777" w:rsidTr="008B3ABC">
        <w:trPr>
          <w:trHeight w:val="298"/>
        </w:trPr>
        <w:tc>
          <w:tcPr>
            <w:tcW w:w="3290" w:type="dxa"/>
            <w:noWrap/>
            <w:vAlign w:val="center"/>
            <w:hideMark/>
          </w:tcPr>
          <w:p w14:paraId="411C9951" w14:textId="77777777" w:rsidR="00D7200B" w:rsidRPr="00D7200B" w:rsidRDefault="00D7200B" w:rsidP="008B3ABC">
            <w:pPr>
              <w:rPr>
                <w:rFonts w:ascii="Calibri" w:eastAsia="Times New Roman" w:hAnsi="Calibri" w:cs="Calibri"/>
                <w:b/>
                <w:bCs/>
                <w:color w:val="000000"/>
              </w:rPr>
            </w:pPr>
            <w:r w:rsidRPr="00D7200B">
              <w:rPr>
                <w:rFonts w:ascii="Calibri" w:eastAsia="Times New Roman" w:hAnsi="Calibri" w:cs="Calibri"/>
                <w:b/>
                <w:bCs/>
                <w:color w:val="000000"/>
              </w:rPr>
              <w:t>Lung and Bronchus</w:t>
            </w:r>
          </w:p>
        </w:tc>
        <w:tc>
          <w:tcPr>
            <w:tcW w:w="2215" w:type="dxa"/>
            <w:vAlign w:val="center"/>
            <w:hideMark/>
          </w:tcPr>
          <w:p w14:paraId="0132A141"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C340-C349</w:t>
            </w:r>
          </w:p>
        </w:tc>
        <w:tc>
          <w:tcPr>
            <w:tcW w:w="4395" w:type="dxa"/>
            <w:vAlign w:val="center"/>
            <w:hideMark/>
          </w:tcPr>
          <w:p w14:paraId="0E60F283"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39439208" w14:textId="77777777" w:rsidTr="008B3ABC">
        <w:trPr>
          <w:trHeight w:val="298"/>
        </w:trPr>
        <w:tc>
          <w:tcPr>
            <w:tcW w:w="3290" w:type="dxa"/>
            <w:noWrap/>
            <w:vAlign w:val="center"/>
            <w:hideMark/>
          </w:tcPr>
          <w:p w14:paraId="3019EAFC" w14:textId="77777777" w:rsidR="00D7200B" w:rsidRPr="00D7200B" w:rsidRDefault="00D7200B" w:rsidP="008B3ABC">
            <w:pPr>
              <w:rPr>
                <w:rFonts w:ascii="Calibri" w:eastAsia="Times New Roman" w:hAnsi="Calibri" w:cs="Calibri"/>
                <w:b/>
                <w:bCs/>
                <w:color w:val="000000"/>
              </w:rPr>
            </w:pPr>
            <w:r w:rsidRPr="00D7200B">
              <w:rPr>
                <w:rFonts w:ascii="Calibri" w:eastAsia="Times New Roman" w:hAnsi="Calibri" w:cs="Calibri"/>
                <w:b/>
                <w:bCs/>
                <w:color w:val="000000"/>
              </w:rPr>
              <w:t>Melanoma of the Skin</w:t>
            </w:r>
          </w:p>
        </w:tc>
        <w:tc>
          <w:tcPr>
            <w:tcW w:w="2215" w:type="dxa"/>
            <w:vAlign w:val="center"/>
            <w:hideMark/>
          </w:tcPr>
          <w:p w14:paraId="6D58921F"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C440-C449</w:t>
            </w:r>
          </w:p>
        </w:tc>
        <w:tc>
          <w:tcPr>
            <w:tcW w:w="4395" w:type="dxa"/>
            <w:vAlign w:val="center"/>
            <w:hideMark/>
          </w:tcPr>
          <w:p w14:paraId="79EAA186"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8720-8790</w:t>
            </w:r>
          </w:p>
        </w:tc>
      </w:tr>
      <w:tr w:rsidR="00D7200B" w:rsidRPr="00D7200B" w14:paraId="7DFE5525" w14:textId="77777777" w:rsidTr="008B3ABC">
        <w:trPr>
          <w:trHeight w:val="298"/>
        </w:trPr>
        <w:tc>
          <w:tcPr>
            <w:tcW w:w="3290" w:type="dxa"/>
            <w:noWrap/>
            <w:vAlign w:val="center"/>
            <w:hideMark/>
          </w:tcPr>
          <w:p w14:paraId="70461C96" w14:textId="77777777" w:rsidR="00D7200B" w:rsidRPr="00D7200B" w:rsidRDefault="00D7200B" w:rsidP="008B3ABC">
            <w:pPr>
              <w:rPr>
                <w:rFonts w:ascii="Calibri" w:eastAsia="Times New Roman" w:hAnsi="Calibri" w:cs="Calibri"/>
                <w:b/>
                <w:bCs/>
                <w:color w:val="000000"/>
              </w:rPr>
            </w:pPr>
            <w:r w:rsidRPr="00D7200B">
              <w:rPr>
                <w:rFonts w:ascii="Calibri" w:eastAsia="Times New Roman" w:hAnsi="Calibri" w:cs="Calibri"/>
                <w:b/>
                <w:bCs/>
                <w:color w:val="000000"/>
              </w:rPr>
              <w:t>Breast</w:t>
            </w:r>
          </w:p>
        </w:tc>
        <w:tc>
          <w:tcPr>
            <w:tcW w:w="2215" w:type="dxa"/>
            <w:vAlign w:val="center"/>
            <w:hideMark/>
          </w:tcPr>
          <w:p w14:paraId="4CC3A4F8"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C500-C509</w:t>
            </w:r>
          </w:p>
        </w:tc>
        <w:tc>
          <w:tcPr>
            <w:tcW w:w="4395" w:type="dxa"/>
            <w:vAlign w:val="center"/>
            <w:hideMark/>
          </w:tcPr>
          <w:p w14:paraId="089CAF50"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744215F7" w14:textId="77777777" w:rsidTr="008B3ABC">
        <w:trPr>
          <w:trHeight w:val="298"/>
        </w:trPr>
        <w:tc>
          <w:tcPr>
            <w:tcW w:w="3290" w:type="dxa"/>
            <w:noWrap/>
            <w:vAlign w:val="center"/>
            <w:hideMark/>
          </w:tcPr>
          <w:p w14:paraId="2115586A" w14:textId="77777777" w:rsidR="00D7200B" w:rsidRPr="00D7200B" w:rsidRDefault="00D7200B" w:rsidP="008B3ABC">
            <w:pPr>
              <w:rPr>
                <w:rFonts w:ascii="Calibri" w:eastAsia="Times New Roman" w:hAnsi="Calibri" w:cs="Calibri"/>
                <w:b/>
                <w:bCs/>
                <w:color w:val="000000"/>
              </w:rPr>
            </w:pPr>
            <w:r w:rsidRPr="00D7200B">
              <w:rPr>
                <w:rFonts w:ascii="Calibri" w:eastAsia="Times New Roman" w:hAnsi="Calibri" w:cs="Calibri"/>
                <w:b/>
                <w:bCs/>
                <w:color w:val="000000"/>
              </w:rPr>
              <w:t>Cervix Uteri</w:t>
            </w:r>
          </w:p>
        </w:tc>
        <w:tc>
          <w:tcPr>
            <w:tcW w:w="2215" w:type="dxa"/>
            <w:vAlign w:val="center"/>
            <w:hideMark/>
          </w:tcPr>
          <w:p w14:paraId="4AEDAA9B"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C530-C539</w:t>
            </w:r>
          </w:p>
        </w:tc>
        <w:tc>
          <w:tcPr>
            <w:tcW w:w="4395" w:type="dxa"/>
            <w:vAlign w:val="center"/>
            <w:hideMark/>
          </w:tcPr>
          <w:p w14:paraId="1AB6DCD2"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19D234A4" w14:textId="77777777" w:rsidTr="008B3ABC">
        <w:trPr>
          <w:trHeight w:val="298"/>
        </w:trPr>
        <w:tc>
          <w:tcPr>
            <w:tcW w:w="3290" w:type="dxa"/>
            <w:noWrap/>
            <w:vAlign w:val="center"/>
            <w:hideMark/>
          </w:tcPr>
          <w:p w14:paraId="26518EFB" w14:textId="152A3F51" w:rsidR="00D7200B" w:rsidRPr="00D7200B" w:rsidRDefault="00D7200B" w:rsidP="008B3ABC">
            <w:pPr>
              <w:rPr>
                <w:rFonts w:ascii="Calibri" w:eastAsia="Times New Roman" w:hAnsi="Calibri" w:cs="Calibri"/>
                <w:b/>
                <w:bCs/>
                <w:color w:val="000000"/>
              </w:rPr>
            </w:pPr>
            <w:r w:rsidRPr="00D7200B">
              <w:rPr>
                <w:rFonts w:ascii="Calibri" w:eastAsia="Times New Roman" w:hAnsi="Calibri" w:cs="Calibri"/>
                <w:b/>
                <w:bCs/>
                <w:color w:val="000000"/>
              </w:rPr>
              <w:t>Corpus and Uterus, N</w:t>
            </w:r>
            <w:r w:rsidR="00DB1926">
              <w:rPr>
                <w:rFonts w:ascii="Calibri" w:eastAsia="Times New Roman" w:hAnsi="Calibri" w:cs="Calibri"/>
                <w:b/>
                <w:bCs/>
                <w:color w:val="000000"/>
              </w:rPr>
              <w:t xml:space="preserve">ot </w:t>
            </w:r>
            <w:r w:rsidRPr="00D7200B">
              <w:rPr>
                <w:rFonts w:ascii="Calibri" w:eastAsia="Times New Roman" w:hAnsi="Calibri" w:cs="Calibri"/>
                <w:b/>
                <w:bCs/>
                <w:color w:val="000000"/>
              </w:rPr>
              <w:t>O</w:t>
            </w:r>
            <w:r w:rsidR="00DB1926">
              <w:rPr>
                <w:rFonts w:ascii="Calibri" w:eastAsia="Times New Roman" w:hAnsi="Calibri" w:cs="Calibri"/>
                <w:b/>
                <w:bCs/>
                <w:color w:val="000000"/>
              </w:rPr>
              <w:t xml:space="preserve">therwise </w:t>
            </w:r>
            <w:r w:rsidRPr="00D7200B">
              <w:rPr>
                <w:rFonts w:ascii="Calibri" w:eastAsia="Times New Roman" w:hAnsi="Calibri" w:cs="Calibri"/>
                <w:b/>
                <w:bCs/>
                <w:color w:val="000000"/>
              </w:rPr>
              <w:t>S</w:t>
            </w:r>
            <w:r w:rsidR="00DB1926">
              <w:rPr>
                <w:rFonts w:ascii="Calibri" w:eastAsia="Times New Roman" w:hAnsi="Calibri" w:cs="Calibri"/>
                <w:b/>
                <w:bCs/>
                <w:color w:val="000000"/>
              </w:rPr>
              <w:t>pecified</w:t>
            </w:r>
          </w:p>
        </w:tc>
        <w:tc>
          <w:tcPr>
            <w:tcW w:w="2215" w:type="dxa"/>
            <w:vAlign w:val="center"/>
            <w:hideMark/>
          </w:tcPr>
          <w:p w14:paraId="21E6FC8A"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C540-C549, C559</w:t>
            </w:r>
          </w:p>
        </w:tc>
        <w:tc>
          <w:tcPr>
            <w:tcW w:w="4395" w:type="dxa"/>
            <w:vAlign w:val="center"/>
            <w:hideMark/>
          </w:tcPr>
          <w:p w14:paraId="35730D4E"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7C410BD9" w14:textId="77777777" w:rsidTr="008B3ABC">
        <w:trPr>
          <w:trHeight w:val="298"/>
        </w:trPr>
        <w:tc>
          <w:tcPr>
            <w:tcW w:w="3290" w:type="dxa"/>
            <w:noWrap/>
            <w:vAlign w:val="center"/>
            <w:hideMark/>
          </w:tcPr>
          <w:p w14:paraId="303A401C" w14:textId="77777777" w:rsidR="00D7200B" w:rsidRPr="00D7200B" w:rsidRDefault="00D7200B" w:rsidP="008B3ABC">
            <w:pPr>
              <w:rPr>
                <w:rFonts w:ascii="Calibri" w:eastAsia="Times New Roman" w:hAnsi="Calibri" w:cs="Calibri"/>
                <w:b/>
                <w:bCs/>
                <w:color w:val="000000"/>
              </w:rPr>
            </w:pPr>
            <w:r w:rsidRPr="00D7200B">
              <w:rPr>
                <w:rFonts w:ascii="Calibri" w:eastAsia="Times New Roman" w:hAnsi="Calibri" w:cs="Calibri"/>
                <w:b/>
                <w:bCs/>
                <w:color w:val="000000"/>
              </w:rPr>
              <w:t>Ovary</w:t>
            </w:r>
          </w:p>
        </w:tc>
        <w:tc>
          <w:tcPr>
            <w:tcW w:w="2215" w:type="dxa"/>
            <w:vAlign w:val="center"/>
            <w:hideMark/>
          </w:tcPr>
          <w:p w14:paraId="45BA456B"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C569</w:t>
            </w:r>
          </w:p>
        </w:tc>
        <w:tc>
          <w:tcPr>
            <w:tcW w:w="4395" w:type="dxa"/>
            <w:vAlign w:val="center"/>
            <w:hideMark/>
          </w:tcPr>
          <w:p w14:paraId="1605EC25"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6B33D6F2" w14:textId="77777777" w:rsidTr="008B3ABC">
        <w:trPr>
          <w:trHeight w:val="298"/>
        </w:trPr>
        <w:tc>
          <w:tcPr>
            <w:tcW w:w="3290" w:type="dxa"/>
            <w:noWrap/>
            <w:vAlign w:val="center"/>
            <w:hideMark/>
          </w:tcPr>
          <w:p w14:paraId="66707DD0" w14:textId="77777777" w:rsidR="00D7200B" w:rsidRPr="00D7200B" w:rsidRDefault="00D7200B" w:rsidP="008B3ABC">
            <w:pPr>
              <w:rPr>
                <w:rFonts w:ascii="Calibri" w:eastAsia="Times New Roman" w:hAnsi="Calibri" w:cs="Calibri"/>
                <w:b/>
                <w:bCs/>
                <w:color w:val="000000"/>
              </w:rPr>
            </w:pPr>
            <w:r w:rsidRPr="00D7200B">
              <w:rPr>
                <w:rFonts w:ascii="Calibri" w:eastAsia="Times New Roman" w:hAnsi="Calibri" w:cs="Calibri"/>
                <w:b/>
                <w:bCs/>
                <w:color w:val="000000"/>
              </w:rPr>
              <w:t>Prostate</w:t>
            </w:r>
          </w:p>
        </w:tc>
        <w:tc>
          <w:tcPr>
            <w:tcW w:w="2215" w:type="dxa"/>
            <w:vAlign w:val="center"/>
            <w:hideMark/>
          </w:tcPr>
          <w:p w14:paraId="049789AE"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C619</w:t>
            </w:r>
          </w:p>
        </w:tc>
        <w:tc>
          <w:tcPr>
            <w:tcW w:w="4395" w:type="dxa"/>
            <w:vAlign w:val="center"/>
            <w:hideMark/>
          </w:tcPr>
          <w:p w14:paraId="44898804"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1954B887" w14:textId="77777777" w:rsidTr="008B3ABC">
        <w:trPr>
          <w:trHeight w:val="298"/>
        </w:trPr>
        <w:tc>
          <w:tcPr>
            <w:tcW w:w="3290" w:type="dxa"/>
            <w:noWrap/>
            <w:vAlign w:val="center"/>
            <w:hideMark/>
          </w:tcPr>
          <w:p w14:paraId="3EC9E56B" w14:textId="77777777" w:rsidR="00D7200B" w:rsidRPr="00D7200B" w:rsidRDefault="00D7200B" w:rsidP="008B3ABC">
            <w:pPr>
              <w:rPr>
                <w:rFonts w:ascii="Calibri" w:eastAsia="Times New Roman" w:hAnsi="Calibri" w:cs="Calibri"/>
                <w:b/>
                <w:bCs/>
                <w:color w:val="000000"/>
              </w:rPr>
            </w:pPr>
            <w:r w:rsidRPr="00D7200B">
              <w:rPr>
                <w:rFonts w:ascii="Calibri" w:eastAsia="Times New Roman" w:hAnsi="Calibri" w:cs="Calibri"/>
                <w:b/>
                <w:bCs/>
                <w:color w:val="000000"/>
              </w:rPr>
              <w:t>Testis</w:t>
            </w:r>
          </w:p>
        </w:tc>
        <w:tc>
          <w:tcPr>
            <w:tcW w:w="2215" w:type="dxa"/>
            <w:vAlign w:val="center"/>
            <w:hideMark/>
          </w:tcPr>
          <w:p w14:paraId="62731C1A"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C620-C629</w:t>
            </w:r>
          </w:p>
        </w:tc>
        <w:tc>
          <w:tcPr>
            <w:tcW w:w="4395" w:type="dxa"/>
            <w:vAlign w:val="center"/>
            <w:hideMark/>
          </w:tcPr>
          <w:p w14:paraId="7509F04D"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6B023685" w14:textId="77777777" w:rsidTr="008B3ABC">
        <w:trPr>
          <w:trHeight w:val="298"/>
        </w:trPr>
        <w:tc>
          <w:tcPr>
            <w:tcW w:w="3290" w:type="dxa"/>
            <w:noWrap/>
            <w:vAlign w:val="center"/>
            <w:hideMark/>
          </w:tcPr>
          <w:p w14:paraId="6237E4F0" w14:textId="77777777" w:rsidR="00D7200B" w:rsidRPr="00D7200B" w:rsidRDefault="00D7200B" w:rsidP="008B3ABC">
            <w:pPr>
              <w:rPr>
                <w:rFonts w:ascii="Calibri" w:eastAsia="Times New Roman" w:hAnsi="Calibri" w:cs="Calibri"/>
                <w:b/>
                <w:bCs/>
                <w:color w:val="000000"/>
              </w:rPr>
            </w:pPr>
            <w:r w:rsidRPr="00D7200B">
              <w:rPr>
                <w:rFonts w:ascii="Calibri" w:eastAsia="Times New Roman" w:hAnsi="Calibri" w:cs="Calibri"/>
                <w:b/>
                <w:bCs/>
                <w:color w:val="000000"/>
              </w:rPr>
              <w:t>Urinary Bladder</w:t>
            </w:r>
          </w:p>
        </w:tc>
        <w:tc>
          <w:tcPr>
            <w:tcW w:w="2215" w:type="dxa"/>
            <w:vAlign w:val="center"/>
            <w:hideMark/>
          </w:tcPr>
          <w:p w14:paraId="1556B97C"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C670-C679</w:t>
            </w:r>
          </w:p>
        </w:tc>
        <w:tc>
          <w:tcPr>
            <w:tcW w:w="4395" w:type="dxa"/>
            <w:vAlign w:val="center"/>
            <w:hideMark/>
          </w:tcPr>
          <w:p w14:paraId="3B168BE9"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276929FD" w14:textId="77777777" w:rsidTr="008B3ABC">
        <w:trPr>
          <w:trHeight w:val="298"/>
        </w:trPr>
        <w:tc>
          <w:tcPr>
            <w:tcW w:w="3290" w:type="dxa"/>
            <w:noWrap/>
            <w:vAlign w:val="center"/>
            <w:hideMark/>
          </w:tcPr>
          <w:p w14:paraId="4EF27417" w14:textId="77777777" w:rsidR="00D7200B" w:rsidRPr="00D7200B" w:rsidRDefault="00D7200B" w:rsidP="008B3ABC">
            <w:pPr>
              <w:rPr>
                <w:rFonts w:ascii="Calibri" w:eastAsia="Times New Roman" w:hAnsi="Calibri" w:cs="Calibri"/>
                <w:b/>
                <w:bCs/>
                <w:color w:val="000000"/>
              </w:rPr>
            </w:pPr>
            <w:r w:rsidRPr="00D7200B">
              <w:rPr>
                <w:rFonts w:ascii="Calibri" w:eastAsia="Times New Roman" w:hAnsi="Calibri" w:cs="Calibri"/>
                <w:b/>
                <w:bCs/>
                <w:color w:val="000000"/>
              </w:rPr>
              <w:t>Kidney and Renal Pelvis</w:t>
            </w:r>
          </w:p>
        </w:tc>
        <w:tc>
          <w:tcPr>
            <w:tcW w:w="2215" w:type="dxa"/>
            <w:vAlign w:val="center"/>
            <w:hideMark/>
          </w:tcPr>
          <w:p w14:paraId="465C8639"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C649, C659</w:t>
            </w:r>
          </w:p>
        </w:tc>
        <w:tc>
          <w:tcPr>
            <w:tcW w:w="4395" w:type="dxa"/>
            <w:vAlign w:val="center"/>
            <w:hideMark/>
          </w:tcPr>
          <w:p w14:paraId="669619D0"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21D14A8A" w14:textId="77777777" w:rsidTr="008B3ABC">
        <w:trPr>
          <w:trHeight w:val="298"/>
        </w:trPr>
        <w:tc>
          <w:tcPr>
            <w:tcW w:w="3290" w:type="dxa"/>
            <w:noWrap/>
            <w:vAlign w:val="center"/>
            <w:hideMark/>
          </w:tcPr>
          <w:p w14:paraId="087C9832" w14:textId="77777777" w:rsidR="00D7200B" w:rsidRPr="00D7200B" w:rsidRDefault="00D7200B" w:rsidP="008B3ABC">
            <w:pPr>
              <w:rPr>
                <w:rFonts w:ascii="Calibri" w:eastAsia="Times New Roman" w:hAnsi="Calibri" w:cs="Calibri"/>
                <w:b/>
                <w:bCs/>
                <w:color w:val="000000"/>
              </w:rPr>
            </w:pPr>
            <w:r w:rsidRPr="00D7200B">
              <w:rPr>
                <w:rFonts w:ascii="Calibri" w:eastAsia="Times New Roman" w:hAnsi="Calibri" w:cs="Calibri"/>
                <w:b/>
                <w:bCs/>
                <w:color w:val="000000"/>
              </w:rPr>
              <w:t>Brain and Other Nervous System</w:t>
            </w:r>
          </w:p>
        </w:tc>
        <w:tc>
          <w:tcPr>
            <w:tcW w:w="2215" w:type="dxa"/>
            <w:vAlign w:val="center"/>
            <w:hideMark/>
          </w:tcPr>
          <w:p w14:paraId="2EE75C01"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c>
          <w:tcPr>
            <w:tcW w:w="4395" w:type="dxa"/>
            <w:vAlign w:val="center"/>
            <w:hideMark/>
          </w:tcPr>
          <w:p w14:paraId="7CC161C9"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r>
      <w:tr w:rsidR="00D7200B" w:rsidRPr="00D7200B" w14:paraId="5B070D18" w14:textId="77777777" w:rsidTr="008B3ABC">
        <w:trPr>
          <w:trHeight w:val="597"/>
        </w:trPr>
        <w:tc>
          <w:tcPr>
            <w:tcW w:w="3290" w:type="dxa"/>
            <w:noWrap/>
            <w:vAlign w:val="center"/>
            <w:hideMark/>
          </w:tcPr>
          <w:p w14:paraId="752566F9" w14:textId="4431629E" w:rsidR="00D7200B" w:rsidRPr="00D7200B" w:rsidRDefault="00D7200B" w:rsidP="00432D86">
            <w:pPr>
              <w:ind w:left="288"/>
              <w:rPr>
                <w:rFonts w:ascii="Calibri" w:eastAsia="Times New Roman" w:hAnsi="Calibri" w:cs="Calibri"/>
                <w:color w:val="000000"/>
              </w:rPr>
            </w:pPr>
            <w:r w:rsidRPr="00D7200B">
              <w:rPr>
                <w:rFonts w:ascii="Calibri" w:eastAsia="Times New Roman" w:hAnsi="Calibri" w:cs="Calibri"/>
                <w:color w:val="000000"/>
              </w:rPr>
              <w:t>Brain</w:t>
            </w:r>
          </w:p>
        </w:tc>
        <w:tc>
          <w:tcPr>
            <w:tcW w:w="2215" w:type="dxa"/>
            <w:vAlign w:val="center"/>
            <w:hideMark/>
          </w:tcPr>
          <w:p w14:paraId="36EC4C4E"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C710-C719</w:t>
            </w:r>
          </w:p>
        </w:tc>
        <w:tc>
          <w:tcPr>
            <w:tcW w:w="4395" w:type="dxa"/>
            <w:vAlign w:val="center"/>
            <w:hideMark/>
          </w:tcPr>
          <w:p w14:paraId="22380AE7"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9530-9539, 9590-9992</w:t>
            </w:r>
          </w:p>
        </w:tc>
      </w:tr>
      <w:tr w:rsidR="00D7200B" w:rsidRPr="00D7200B" w14:paraId="358F36B9" w14:textId="77777777" w:rsidTr="008B3ABC">
        <w:trPr>
          <w:trHeight w:val="298"/>
        </w:trPr>
        <w:tc>
          <w:tcPr>
            <w:tcW w:w="3290" w:type="dxa"/>
            <w:vMerge w:val="restart"/>
            <w:noWrap/>
            <w:vAlign w:val="center"/>
            <w:hideMark/>
          </w:tcPr>
          <w:p w14:paraId="388E2F01" w14:textId="4E51924B" w:rsidR="00D7200B" w:rsidRPr="00D7200B" w:rsidRDefault="00282016" w:rsidP="00432D86">
            <w:pPr>
              <w:ind w:left="288"/>
              <w:rPr>
                <w:rFonts w:ascii="Calibri" w:eastAsia="Times New Roman" w:hAnsi="Calibri" w:cs="Calibri"/>
                <w:color w:val="000000"/>
              </w:rPr>
            </w:pPr>
            <w:r>
              <w:rPr>
                <w:rFonts w:ascii="Calibri" w:eastAsia="Times New Roman" w:hAnsi="Calibri" w:cs="Calibri"/>
                <w:color w:val="000000"/>
              </w:rPr>
              <w:t xml:space="preserve">Cranial Nerves Other Nervous </w:t>
            </w:r>
            <w:r w:rsidR="00F0595A" w:rsidRPr="00D7200B">
              <w:rPr>
                <w:rFonts w:ascii="Calibri" w:eastAsia="Times New Roman" w:hAnsi="Calibri" w:cs="Calibri"/>
                <w:color w:val="000000"/>
              </w:rPr>
              <w:t xml:space="preserve">        </w:t>
            </w:r>
            <w:r w:rsidR="00D7200B" w:rsidRPr="00D7200B">
              <w:rPr>
                <w:rFonts w:ascii="Calibri" w:eastAsia="Times New Roman" w:hAnsi="Calibri" w:cs="Calibri"/>
                <w:color w:val="000000"/>
              </w:rPr>
              <w:t>System</w:t>
            </w:r>
          </w:p>
        </w:tc>
        <w:tc>
          <w:tcPr>
            <w:tcW w:w="2215" w:type="dxa"/>
            <w:vAlign w:val="center"/>
            <w:hideMark/>
          </w:tcPr>
          <w:p w14:paraId="41AE18AC"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C710-C719</w:t>
            </w:r>
          </w:p>
        </w:tc>
        <w:tc>
          <w:tcPr>
            <w:tcW w:w="4395" w:type="dxa"/>
            <w:vAlign w:val="center"/>
            <w:hideMark/>
          </w:tcPr>
          <w:p w14:paraId="4EF55A1F"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9530-9539</w:t>
            </w:r>
          </w:p>
        </w:tc>
      </w:tr>
      <w:tr w:rsidR="00D7200B" w:rsidRPr="00D7200B" w14:paraId="085BF39A" w14:textId="77777777" w:rsidTr="008B3ABC">
        <w:trPr>
          <w:trHeight w:val="298"/>
        </w:trPr>
        <w:tc>
          <w:tcPr>
            <w:tcW w:w="3290" w:type="dxa"/>
            <w:vMerge/>
            <w:noWrap/>
            <w:vAlign w:val="center"/>
            <w:hideMark/>
          </w:tcPr>
          <w:p w14:paraId="52331A6B" w14:textId="77777777" w:rsidR="00D7200B" w:rsidRPr="00D7200B" w:rsidRDefault="00D7200B" w:rsidP="008B3ABC">
            <w:pPr>
              <w:rPr>
                <w:rFonts w:ascii="Calibri" w:eastAsia="Times New Roman" w:hAnsi="Calibri" w:cs="Calibri"/>
                <w:color w:val="000000"/>
              </w:rPr>
            </w:pPr>
          </w:p>
        </w:tc>
        <w:tc>
          <w:tcPr>
            <w:tcW w:w="2215" w:type="dxa"/>
            <w:vAlign w:val="center"/>
            <w:hideMark/>
          </w:tcPr>
          <w:p w14:paraId="0D895217"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C700-C709, C720-C729</w:t>
            </w:r>
          </w:p>
        </w:tc>
        <w:tc>
          <w:tcPr>
            <w:tcW w:w="4395" w:type="dxa"/>
            <w:vAlign w:val="center"/>
            <w:hideMark/>
          </w:tcPr>
          <w:p w14:paraId="681F0050"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49C7E89D" w14:textId="77777777" w:rsidTr="008B3ABC">
        <w:trPr>
          <w:trHeight w:val="298"/>
        </w:trPr>
        <w:tc>
          <w:tcPr>
            <w:tcW w:w="3290" w:type="dxa"/>
            <w:noWrap/>
            <w:vAlign w:val="center"/>
            <w:hideMark/>
          </w:tcPr>
          <w:p w14:paraId="4A9D1C0F" w14:textId="77777777" w:rsidR="00D7200B" w:rsidRPr="00D7200B" w:rsidRDefault="00D7200B" w:rsidP="008B3ABC">
            <w:pPr>
              <w:rPr>
                <w:rFonts w:ascii="Calibri" w:eastAsia="Times New Roman" w:hAnsi="Calibri" w:cs="Calibri"/>
                <w:b/>
                <w:bCs/>
                <w:color w:val="000000"/>
              </w:rPr>
            </w:pPr>
            <w:r w:rsidRPr="00D7200B">
              <w:rPr>
                <w:rFonts w:ascii="Calibri" w:eastAsia="Times New Roman" w:hAnsi="Calibri" w:cs="Calibri"/>
                <w:b/>
                <w:bCs/>
                <w:color w:val="000000"/>
              </w:rPr>
              <w:t>Thyroid</w:t>
            </w:r>
          </w:p>
        </w:tc>
        <w:tc>
          <w:tcPr>
            <w:tcW w:w="2215" w:type="dxa"/>
            <w:vAlign w:val="center"/>
            <w:hideMark/>
          </w:tcPr>
          <w:p w14:paraId="084A3F5F"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C739</w:t>
            </w:r>
          </w:p>
        </w:tc>
        <w:tc>
          <w:tcPr>
            <w:tcW w:w="4395" w:type="dxa"/>
            <w:vAlign w:val="center"/>
            <w:hideMark/>
          </w:tcPr>
          <w:p w14:paraId="236DE3C6"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excluding 9050-9055, 9140, 9590-9992</w:t>
            </w:r>
          </w:p>
        </w:tc>
      </w:tr>
      <w:tr w:rsidR="00D7200B" w:rsidRPr="00D7200B" w14:paraId="4F6AA058" w14:textId="77777777" w:rsidTr="008B3ABC">
        <w:trPr>
          <w:trHeight w:val="298"/>
        </w:trPr>
        <w:tc>
          <w:tcPr>
            <w:tcW w:w="3290" w:type="dxa"/>
            <w:noWrap/>
            <w:vAlign w:val="center"/>
            <w:hideMark/>
          </w:tcPr>
          <w:p w14:paraId="1533A608" w14:textId="77777777" w:rsidR="00D7200B" w:rsidRPr="00D7200B" w:rsidRDefault="00D7200B" w:rsidP="008B3ABC">
            <w:pPr>
              <w:rPr>
                <w:rFonts w:ascii="Calibri" w:eastAsia="Times New Roman" w:hAnsi="Calibri" w:cs="Calibri"/>
                <w:b/>
                <w:bCs/>
                <w:color w:val="000000"/>
              </w:rPr>
            </w:pPr>
            <w:r w:rsidRPr="00D7200B">
              <w:rPr>
                <w:rFonts w:ascii="Calibri" w:eastAsia="Times New Roman" w:hAnsi="Calibri" w:cs="Calibri"/>
                <w:b/>
                <w:bCs/>
                <w:color w:val="000000"/>
              </w:rPr>
              <w:t>Hodgkin Lymphoma</w:t>
            </w:r>
          </w:p>
        </w:tc>
        <w:tc>
          <w:tcPr>
            <w:tcW w:w="2215" w:type="dxa"/>
            <w:vAlign w:val="center"/>
            <w:hideMark/>
          </w:tcPr>
          <w:p w14:paraId="79752FF5"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c>
          <w:tcPr>
            <w:tcW w:w="4395" w:type="dxa"/>
            <w:vAlign w:val="center"/>
            <w:hideMark/>
          </w:tcPr>
          <w:p w14:paraId="1FBDCCE8"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r>
      <w:tr w:rsidR="00D7200B" w:rsidRPr="00D7200B" w14:paraId="3A975413" w14:textId="77777777" w:rsidTr="008B3ABC">
        <w:trPr>
          <w:trHeight w:val="597"/>
        </w:trPr>
        <w:tc>
          <w:tcPr>
            <w:tcW w:w="3290" w:type="dxa"/>
            <w:noWrap/>
            <w:vAlign w:val="center"/>
            <w:hideMark/>
          </w:tcPr>
          <w:p w14:paraId="4896356C" w14:textId="61532724" w:rsidR="00D7200B" w:rsidRPr="00D7200B" w:rsidRDefault="00D7200B" w:rsidP="00432D86">
            <w:pPr>
              <w:ind w:left="288"/>
              <w:rPr>
                <w:rFonts w:ascii="Calibri" w:eastAsia="Times New Roman" w:hAnsi="Calibri" w:cs="Calibri"/>
                <w:color w:val="000000"/>
              </w:rPr>
            </w:pPr>
            <w:r w:rsidRPr="00D7200B">
              <w:rPr>
                <w:rFonts w:ascii="Calibri" w:eastAsia="Times New Roman" w:hAnsi="Calibri" w:cs="Calibri"/>
                <w:color w:val="000000"/>
              </w:rPr>
              <w:t xml:space="preserve">Hodgkin </w:t>
            </w:r>
            <w:r w:rsidR="00DB1926">
              <w:rPr>
                <w:rFonts w:ascii="Calibri" w:eastAsia="Times New Roman" w:hAnsi="Calibri" w:cs="Calibri"/>
                <w:color w:val="000000"/>
              </w:rPr>
              <w:t>–</w:t>
            </w:r>
            <w:r w:rsidRPr="00D7200B">
              <w:rPr>
                <w:rFonts w:ascii="Calibri" w:eastAsia="Times New Roman" w:hAnsi="Calibri" w:cs="Calibri"/>
                <w:color w:val="000000"/>
              </w:rPr>
              <w:t xml:space="preserve"> Nodal</w:t>
            </w:r>
          </w:p>
        </w:tc>
        <w:tc>
          <w:tcPr>
            <w:tcW w:w="2215" w:type="dxa"/>
            <w:vAlign w:val="center"/>
            <w:hideMark/>
          </w:tcPr>
          <w:p w14:paraId="458C47D3"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C024, C098-C099, C111, C142, C379, C422, C770-C779</w:t>
            </w:r>
          </w:p>
        </w:tc>
        <w:tc>
          <w:tcPr>
            <w:tcW w:w="4395" w:type="dxa"/>
            <w:vAlign w:val="center"/>
            <w:hideMark/>
          </w:tcPr>
          <w:p w14:paraId="31AC5075"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9650-9667</w:t>
            </w:r>
          </w:p>
        </w:tc>
      </w:tr>
      <w:tr w:rsidR="00D7200B" w:rsidRPr="00D7200B" w14:paraId="26262F78" w14:textId="77777777" w:rsidTr="008B3ABC">
        <w:trPr>
          <w:trHeight w:val="298"/>
        </w:trPr>
        <w:tc>
          <w:tcPr>
            <w:tcW w:w="3290" w:type="dxa"/>
            <w:noWrap/>
            <w:vAlign w:val="center"/>
            <w:hideMark/>
          </w:tcPr>
          <w:p w14:paraId="5A811FE3" w14:textId="4E117C93" w:rsidR="00D7200B" w:rsidRPr="00D7200B" w:rsidRDefault="00D7200B" w:rsidP="00432D86">
            <w:pPr>
              <w:ind w:left="288"/>
              <w:rPr>
                <w:rFonts w:ascii="Calibri" w:eastAsia="Times New Roman" w:hAnsi="Calibri" w:cs="Calibri"/>
                <w:color w:val="000000"/>
              </w:rPr>
            </w:pPr>
            <w:r w:rsidRPr="00D7200B">
              <w:rPr>
                <w:rFonts w:ascii="Calibri" w:eastAsia="Times New Roman" w:hAnsi="Calibri" w:cs="Calibri"/>
                <w:color w:val="000000"/>
              </w:rPr>
              <w:t xml:space="preserve">Hodgkin </w:t>
            </w:r>
            <w:r w:rsidR="00DB1926">
              <w:rPr>
                <w:rFonts w:ascii="Calibri" w:eastAsia="Times New Roman" w:hAnsi="Calibri" w:cs="Calibri"/>
                <w:color w:val="000000"/>
              </w:rPr>
              <w:t>–</w:t>
            </w:r>
            <w:r w:rsidRPr="00D7200B">
              <w:rPr>
                <w:rFonts w:ascii="Calibri" w:eastAsia="Times New Roman" w:hAnsi="Calibri" w:cs="Calibri"/>
                <w:color w:val="000000"/>
              </w:rPr>
              <w:t xml:space="preserve"> Extranodal</w:t>
            </w:r>
          </w:p>
        </w:tc>
        <w:tc>
          <w:tcPr>
            <w:tcW w:w="2215" w:type="dxa"/>
            <w:vAlign w:val="center"/>
            <w:hideMark/>
          </w:tcPr>
          <w:p w14:paraId="26B13024"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All other sites</w:t>
            </w:r>
          </w:p>
        </w:tc>
        <w:tc>
          <w:tcPr>
            <w:tcW w:w="4395" w:type="dxa"/>
            <w:vAlign w:val="center"/>
            <w:hideMark/>
          </w:tcPr>
          <w:p w14:paraId="7690A566"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9650-9667</w:t>
            </w:r>
          </w:p>
        </w:tc>
      </w:tr>
    </w:tbl>
    <w:p w14:paraId="12987780" w14:textId="6A511773" w:rsidR="00F344B8" w:rsidRPr="00AA53A0" w:rsidRDefault="00F344B8" w:rsidP="00AA53A0">
      <w:pPr>
        <w:pStyle w:val="Caption"/>
        <w:spacing w:after="120" w:line="240" w:lineRule="auto"/>
        <w:jc w:val="center"/>
        <w:rPr>
          <w:rFonts w:asciiTheme="minorHAnsi" w:hAnsiTheme="minorHAnsi"/>
          <w:b/>
        </w:rPr>
      </w:pPr>
      <w:r w:rsidRPr="008064F7">
        <w:rPr>
          <w:rFonts w:asciiTheme="minorHAnsi" w:hAnsiTheme="minorHAnsi"/>
          <w:b/>
          <w:sz w:val="22"/>
          <w:szCs w:val="22"/>
        </w:rPr>
        <w:lastRenderedPageBreak/>
        <w:t xml:space="preserve">Table </w:t>
      </w:r>
      <w:r w:rsidRPr="008064F7">
        <w:rPr>
          <w:rFonts w:asciiTheme="minorHAnsi" w:hAnsiTheme="minorHAnsi"/>
          <w:b/>
          <w:sz w:val="22"/>
          <w:szCs w:val="22"/>
        </w:rPr>
        <w:fldChar w:fldCharType="begin"/>
      </w:r>
      <w:r w:rsidRPr="008064F7">
        <w:rPr>
          <w:rFonts w:asciiTheme="minorHAnsi" w:hAnsiTheme="minorHAnsi"/>
          <w:b/>
          <w:sz w:val="22"/>
          <w:szCs w:val="22"/>
        </w:rPr>
        <w:instrText xml:space="preserve"> STYLEREF 1 \s </w:instrText>
      </w:r>
      <w:r w:rsidRPr="008064F7">
        <w:rPr>
          <w:rFonts w:asciiTheme="minorHAnsi" w:hAnsiTheme="minorHAnsi"/>
          <w:b/>
          <w:sz w:val="22"/>
          <w:szCs w:val="22"/>
        </w:rPr>
        <w:fldChar w:fldCharType="separate"/>
      </w:r>
      <w:r w:rsidR="006C24CC">
        <w:rPr>
          <w:rFonts w:asciiTheme="minorHAnsi" w:hAnsiTheme="minorHAnsi"/>
          <w:b/>
          <w:noProof/>
          <w:sz w:val="22"/>
          <w:szCs w:val="22"/>
        </w:rPr>
        <w:t>B</w:t>
      </w:r>
      <w:r w:rsidRPr="008064F7">
        <w:rPr>
          <w:rFonts w:asciiTheme="minorHAnsi" w:hAnsiTheme="minorHAnsi"/>
          <w:b/>
          <w:sz w:val="22"/>
          <w:szCs w:val="22"/>
        </w:rPr>
        <w:fldChar w:fldCharType="end"/>
      </w:r>
      <w:r w:rsidRPr="008064F7">
        <w:rPr>
          <w:rFonts w:asciiTheme="minorHAnsi" w:hAnsiTheme="minorHAnsi"/>
          <w:b/>
          <w:sz w:val="22"/>
          <w:szCs w:val="22"/>
        </w:rPr>
        <w:noBreakHyphen/>
      </w:r>
      <w:r w:rsidR="00663AAB">
        <w:rPr>
          <w:rFonts w:asciiTheme="minorHAnsi" w:hAnsiTheme="minorHAnsi"/>
          <w:b/>
          <w:sz w:val="22"/>
          <w:szCs w:val="22"/>
        </w:rPr>
        <w:t>1</w:t>
      </w:r>
      <w:r w:rsidRPr="008064F7">
        <w:rPr>
          <w:rFonts w:asciiTheme="minorHAnsi" w:hAnsiTheme="minorHAnsi"/>
          <w:b/>
          <w:sz w:val="22"/>
          <w:szCs w:val="22"/>
        </w:rPr>
        <w:t>: Primary Cancer Site Definitions</w:t>
      </w:r>
      <w:r>
        <w:rPr>
          <w:rFonts w:asciiTheme="minorHAnsi" w:hAnsiTheme="minorHAnsi"/>
          <w:b/>
          <w:sz w:val="22"/>
          <w:szCs w:val="22"/>
        </w:rPr>
        <w:t xml:space="preserve"> (continued)</w:t>
      </w:r>
    </w:p>
    <w:tbl>
      <w:tblPr>
        <w:tblStyle w:val="TableGridLight"/>
        <w:tblW w:w="9900" w:type="dxa"/>
        <w:tblLook w:val="04A0" w:firstRow="1" w:lastRow="0" w:firstColumn="1" w:lastColumn="0" w:noHBand="0" w:noVBand="1"/>
      </w:tblPr>
      <w:tblGrid>
        <w:gridCol w:w="3290"/>
        <w:gridCol w:w="2215"/>
        <w:gridCol w:w="4395"/>
      </w:tblGrid>
      <w:tr w:rsidR="00D7200B" w:rsidRPr="00D7200B" w14:paraId="090D97A7" w14:textId="77777777" w:rsidTr="008B3ABC">
        <w:trPr>
          <w:trHeight w:val="298"/>
        </w:trPr>
        <w:tc>
          <w:tcPr>
            <w:tcW w:w="3290" w:type="dxa"/>
            <w:noWrap/>
            <w:vAlign w:val="center"/>
            <w:hideMark/>
          </w:tcPr>
          <w:p w14:paraId="21F7DA59" w14:textId="0B48F5E1" w:rsidR="00D7200B" w:rsidRPr="00D7200B" w:rsidRDefault="00D7200B" w:rsidP="008B3ABC">
            <w:pPr>
              <w:rPr>
                <w:rFonts w:ascii="Calibri" w:eastAsia="Times New Roman" w:hAnsi="Calibri" w:cs="Calibri"/>
                <w:b/>
                <w:bCs/>
                <w:color w:val="000000"/>
              </w:rPr>
            </w:pPr>
            <w:r w:rsidRPr="00D7200B">
              <w:rPr>
                <w:rFonts w:ascii="Calibri" w:eastAsia="Times New Roman" w:hAnsi="Calibri" w:cs="Calibri"/>
                <w:b/>
                <w:bCs/>
                <w:color w:val="000000"/>
              </w:rPr>
              <w:t>Non-Hodgkin Lymphoma</w:t>
            </w:r>
          </w:p>
        </w:tc>
        <w:tc>
          <w:tcPr>
            <w:tcW w:w="2215" w:type="dxa"/>
            <w:vAlign w:val="center"/>
            <w:hideMark/>
          </w:tcPr>
          <w:p w14:paraId="3C80544F"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c>
          <w:tcPr>
            <w:tcW w:w="4395" w:type="dxa"/>
            <w:vAlign w:val="center"/>
            <w:hideMark/>
          </w:tcPr>
          <w:p w14:paraId="222F3B95"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r>
      <w:tr w:rsidR="00D7200B" w:rsidRPr="00D7200B" w14:paraId="02FD81F9" w14:textId="77777777" w:rsidTr="008B3ABC">
        <w:trPr>
          <w:trHeight w:val="1195"/>
        </w:trPr>
        <w:tc>
          <w:tcPr>
            <w:tcW w:w="3290" w:type="dxa"/>
            <w:noWrap/>
            <w:vAlign w:val="center"/>
            <w:hideMark/>
          </w:tcPr>
          <w:p w14:paraId="697F90F2" w14:textId="0FE4EDD8" w:rsidR="00D7200B" w:rsidRPr="00D7200B" w:rsidRDefault="00D7200B" w:rsidP="00432D86">
            <w:pPr>
              <w:ind w:left="288"/>
              <w:rPr>
                <w:rFonts w:ascii="Calibri" w:eastAsia="Times New Roman" w:hAnsi="Calibri" w:cs="Calibri"/>
                <w:color w:val="000000"/>
              </w:rPr>
            </w:pPr>
            <w:r w:rsidRPr="00D7200B">
              <w:rPr>
                <w:rFonts w:ascii="Calibri" w:eastAsia="Times New Roman" w:hAnsi="Calibri" w:cs="Calibri"/>
                <w:color w:val="000000"/>
              </w:rPr>
              <w:t xml:space="preserve">NHL </w:t>
            </w:r>
            <w:r w:rsidR="00DB1926">
              <w:rPr>
                <w:rFonts w:ascii="Calibri" w:eastAsia="Times New Roman" w:hAnsi="Calibri" w:cs="Calibri"/>
                <w:color w:val="000000"/>
              </w:rPr>
              <w:t>–</w:t>
            </w:r>
            <w:r w:rsidRPr="00D7200B">
              <w:rPr>
                <w:rFonts w:ascii="Calibri" w:eastAsia="Times New Roman" w:hAnsi="Calibri" w:cs="Calibri"/>
                <w:color w:val="000000"/>
              </w:rPr>
              <w:t xml:space="preserve"> Nodal</w:t>
            </w:r>
          </w:p>
        </w:tc>
        <w:tc>
          <w:tcPr>
            <w:tcW w:w="2215" w:type="dxa"/>
            <w:vAlign w:val="center"/>
            <w:hideMark/>
          </w:tcPr>
          <w:p w14:paraId="5DE8855B" w14:textId="3DA2EE3F"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C024, C098,</w:t>
            </w:r>
            <w:r w:rsidR="0073505A">
              <w:rPr>
                <w:rFonts w:ascii="Calibri" w:eastAsia="Times New Roman" w:hAnsi="Calibri" w:cs="Calibri"/>
                <w:color w:val="000000"/>
              </w:rPr>
              <w:t xml:space="preserve"> </w:t>
            </w:r>
            <w:r w:rsidRPr="00D7200B">
              <w:rPr>
                <w:rFonts w:ascii="Calibri" w:eastAsia="Times New Roman" w:hAnsi="Calibri" w:cs="Calibri"/>
                <w:color w:val="000000"/>
              </w:rPr>
              <w:t>C099, C111,</w:t>
            </w:r>
            <w:r w:rsidR="0073505A">
              <w:rPr>
                <w:rFonts w:ascii="Calibri" w:eastAsia="Times New Roman" w:hAnsi="Calibri" w:cs="Calibri"/>
                <w:color w:val="000000"/>
              </w:rPr>
              <w:t xml:space="preserve"> </w:t>
            </w:r>
            <w:r w:rsidRPr="00D7200B">
              <w:rPr>
                <w:rFonts w:ascii="Calibri" w:eastAsia="Times New Roman" w:hAnsi="Calibri" w:cs="Calibri"/>
                <w:color w:val="000000"/>
              </w:rPr>
              <w:t>C142, C379,</w:t>
            </w:r>
            <w:r w:rsidR="0073505A">
              <w:rPr>
                <w:rFonts w:ascii="Calibri" w:eastAsia="Times New Roman" w:hAnsi="Calibri" w:cs="Calibri"/>
                <w:color w:val="000000"/>
              </w:rPr>
              <w:t xml:space="preserve"> </w:t>
            </w:r>
            <w:r w:rsidRPr="00D7200B">
              <w:rPr>
                <w:rFonts w:ascii="Calibri" w:eastAsia="Times New Roman" w:hAnsi="Calibri" w:cs="Calibri"/>
                <w:color w:val="000000"/>
              </w:rPr>
              <w:t>C422, C770-C779</w:t>
            </w:r>
          </w:p>
        </w:tc>
        <w:tc>
          <w:tcPr>
            <w:tcW w:w="4395" w:type="dxa"/>
            <w:vAlign w:val="center"/>
            <w:hideMark/>
          </w:tcPr>
          <w:p w14:paraId="3C50CE0C"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9590-9597, 9670-9671, 9673, 9675, 9678-9680, 9684, 9687-9691, 9695, 9698-9702, 9705, 9708-9709, 9712, 9714-9719, 9724-9729, 9735, 9737-9738, 9811-9818, 9823, 9827, 9837</w:t>
            </w:r>
          </w:p>
        </w:tc>
      </w:tr>
      <w:tr w:rsidR="00F0595A" w:rsidRPr="00D7200B" w14:paraId="77F2790B" w14:textId="77777777" w:rsidTr="008B3ABC">
        <w:trPr>
          <w:trHeight w:val="1195"/>
        </w:trPr>
        <w:tc>
          <w:tcPr>
            <w:tcW w:w="3290" w:type="dxa"/>
            <w:vMerge w:val="restart"/>
            <w:noWrap/>
            <w:vAlign w:val="center"/>
            <w:hideMark/>
          </w:tcPr>
          <w:p w14:paraId="526FD83E" w14:textId="5C853429" w:rsidR="00F0595A" w:rsidRPr="00D7200B" w:rsidRDefault="00F0595A" w:rsidP="00432D86">
            <w:pPr>
              <w:ind w:left="288"/>
              <w:rPr>
                <w:rFonts w:ascii="Calibri" w:eastAsia="Times New Roman" w:hAnsi="Calibri" w:cs="Calibri"/>
                <w:color w:val="000000"/>
              </w:rPr>
            </w:pPr>
            <w:r w:rsidRPr="00D7200B">
              <w:rPr>
                <w:rFonts w:ascii="Calibri" w:eastAsia="Times New Roman" w:hAnsi="Calibri" w:cs="Calibri"/>
                <w:color w:val="000000"/>
              </w:rPr>
              <w:t xml:space="preserve">NHL </w:t>
            </w:r>
            <w:r w:rsidR="00DB1926">
              <w:rPr>
                <w:rFonts w:ascii="Calibri" w:eastAsia="Times New Roman" w:hAnsi="Calibri" w:cs="Calibri"/>
                <w:color w:val="000000"/>
              </w:rPr>
              <w:t>–</w:t>
            </w:r>
            <w:r w:rsidRPr="00D7200B">
              <w:rPr>
                <w:rFonts w:ascii="Calibri" w:eastAsia="Times New Roman" w:hAnsi="Calibri" w:cs="Calibri"/>
                <w:color w:val="000000"/>
              </w:rPr>
              <w:t xml:space="preserve"> Extranodal</w:t>
            </w:r>
          </w:p>
        </w:tc>
        <w:tc>
          <w:tcPr>
            <w:tcW w:w="2215" w:type="dxa"/>
            <w:vAlign w:val="center"/>
            <w:hideMark/>
          </w:tcPr>
          <w:p w14:paraId="27C79181" w14:textId="77777777" w:rsidR="00F0595A" w:rsidRPr="00D7200B" w:rsidRDefault="00F0595A" w:rsidP="008B3ABC">
            <w:pPr>
              <w:rPr>
                <w:rFonts w:ascii="Calibri" w:eastAsia="Times New Roman" w:hAnsi="Calibri" w:cs="Calibri"/>
                <w:color w:val="000000"/>
              </w:rPr>
            </w:pPr>
            <w:r w:rsidRPr="00D7200B">
              <w:rPr>
                <w:rFonts w:ascii="Calibri" w:eastAsia="Times New Roman" w:hAnsi="Calibri" w:cs="Calibri"/>
                <w:color w:val="000000"/>
              </w:rPr>
              <w:t>All sites except C024, C098-C099, C111, C142, C379, C422, C770-C779</w:t>
            </w:r>
          </w:p>
        </w:tc>
        <w:tc>
          <w:tcPr>
            <w:tcW w:w="4395" w:type="dxa"/>
            <w:vAlign w:val="center"/>
            <w:hideMark/>
          </w:tcPr>
          <w:p w14:paraId="2E25B737" w14:textId="77777777" w:rsidR="00F0595A" w:rsidRPr="00D7200B" w:rsidRDefault="00F0595A" w:rsidP="008B3ABC">
            <w:pPr>
              <w:rPr>
                <w:rFonts w:ascii="Calibri" w:eastAsia="Times New Roman" w:hAnsi="Calibri" w:cs="Calibri"/>
                <w:color w:val="000000"/>
              </w:rPr>
            </w:pPr>
            <w:r w:rsidRPr="00D7200B">
              <w:rPr>
                <w:rFonts w:ascii="Calibri" w:eastAsia="Times New Roman" w:hAnsi="Calibri" w:cs="Calibri"/>
                <w:color w:val="000000"/>
              </w:rPr>
              <w:t>9590-9597, 9670-9671, 9673, 9675, 9678-9680, 9684, 9687, 9688, 9689-9691, 9695, 9698-9702, 9705, 9708-9709, 9712, 9714-9719, 9724-9729, 9735, 9737, 9738</w:t>
            </w:r>
          </w:p>
        </w:tc>
      </w:tr>
      <w:tr w:rsidR="00F0595A" w:rsidRPr="00D7200B" w14:paraId="0E1C16FE" w14:textId="77777777" w:rsidTr="008B3ABC">
        <w:trPr>
          <w:trHeight w:val="597"/>
        </w:trPr>
        <w:tc>
          <w:tcPr>
            <w:tcW w:w="3290" w:type="dxa"/>
            <w:vMerge/>
            <w:noWrap/>
            <w:vAlign w:val="center"/>
            <w:hideMark/>
          </w:tcPr>
          <w:p w14:paraId="2C1A8073" w14:textId="0649C1C9" w:rsidR="00F0595A" w:rsidRPr="00D7200B" w:rsidRDefault="00F0595A" w:rsidP="008B3ABC">
            <w:pPr>
              <w:rPr>
                <w:rFonts w:ascii="Calibri" w:eastAsia="Times New Roman" w:hAnsi="Calibri" w:cs="Calibri"/>
                <w:color w:val="000000"/>
              </w:rPr>
            </w:pPr>
          </w:p>
        </w:tc>
        <w:tc>
          <w:tcPr>
            <w:tcW w:w="2215" w:type="dxa"/>
            <w:vAlign w:val="center"/>
            <w:hideMark/>
          </w:tcPr>
          <w:p w14:paraId="0FBE9386" w14:textId="77777777" w:rsidR="00F0595A" w:rsidRPr="00D7200B" w:rsidRDefault="00F0595A" w:rsidP="008B3ABC">
            <w:pPr>
              <w:rPr>
                <w:rFonts w:ascii="Calibri" w:eastAsia="Times New Roman" w:hAnsi="Calibri" w:cs="Calibri"/>
                <w:color w:val="000000"/>
              </w:rPr>
            </w:pPr>
            <w:r w:rsidRPr="00D7200B">
              <w:rPr>
                <w:rFonts w:ascii="Calibri" w:eastAsia="Times New Roman" w:hAnsi="Calibri" w:cs="Calibri"/>
                <w:color w:val="000000"/>
              </w:rPr>
              <w:t>All sites except C024, C098-C099, C111, C142, C379, C420-C422, C424, C770-C779</w:t>
            </w:r>
          </w:p>
        </w:tc>
        <w:tc>
          <w:tcPr>
            <w:tcW w:w="4395" w:type="dxa"/>
            <w:vAlign w:val="center"/>
            <w:hideMark/>
          </w:tcPr>
          <w:p w14:paraId="1D2E23B2" w14:textId="77777777" w:rsidR="00F0595A" w:rsidRPr="00D7200B" w:rsidRDefault="00F0595A" w:rsidP="008B3ABC">
            <w:pPr>
              <w:rPr>
                <w:rFonts w:ascii="Calibri" w:eastAsia="Times New Roman" w:hAnsi="Calibri" w:cs="Calibri"/>
                <w:color w:val="000000"/>
              </w:rPr>
            </w:pPr>
            <w:r w:rsidRPr="00D7200B">
              <w:rPr>
                <w:rFonts w:ascii="Calibri" w:eastAsia="Times New Roman" w:hAnsi="Calibri" w:cs="Calibri"/>
                <w:color w:val="000000"/>
              </w:rPr>
              <w:t>9811-9818, 9823, 9827, 9837</w:t>
            </w:r>
          </w:p>
        </w:tc>
      </w:tr>
      <w:tr w:rsidR="00D7200B" w:rsidRPr="00D7200B" w14:paraId="3BD1005A" w14:textId="77777777" w:rsidTr="008B3ABC">
        <w:trPr>
          <w:trHeight w:val="298"/>
        </w:trPr>
        <w:tc>
          <w:tcPr>
            <w:tcW w:w="3290" w:type="dxa"/>
            <w:noWrap/>
            <w:vAlign w:val="center"/>
            <w:hideMark/>
          </w:tcPr>
          <w:p w14:paraId="66AAD202" w14:textId="77777777" w:rsidR="00D7200B" w:rsidRPr="00D7200B" w:rsidRDefault="00D7200B" w:rsidP="008B3ABC">
            <w:pPr>
              <w:rPr>
                <w:rFonts w:ascii="Calibri" w:eastAsia="Times New Roman" w:hAnsi="Calibri" w:cs="Calibri"/>
                <w:b/>
                <w:bCs/>
                <w:color w:val="000000"/>
              </w:rPr>
            </w:pPr>
            <w:r w:rsidRPr="00D7200B">
              <w:rPr>
                <w:rFonts w:ascii="Calibri" w:eastAsia="Times New Roman" w:hAnsi="Calibri" w:cs="Calibri"/>
                <w:b/>
                <w:bCs/>
                <w:color w:val="000000"/>
              </w:rPr>
              <w:t>Myeloma</w:t>
            </w:r>
          </w:p>
        </w:tc>
        <w:tc>
          <w:tcPr>
            <w:tcW w:w="2215" w:type="dxa"/>
            <w:vAlign w:val="center"/>
            <w:hideMark/>
          </w:tcPr>
          <w:p w14:paraId="4247785C"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c>
          <w:tcPr>
            <w:tcW w:w="4395" w:type="dxa"/>
            <w:vAlign w:val="center"/>
            <w:hideMark/>
          </w:tcPr>
          <w:p w14:paraId="4AE12EE6"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9731-9732, 9734</w:t>
            </w:r>
          </w:p>
        </w:tc>
      </w:tr>
      <w:tr w:rsidR="00D7200B" w:rsidRPr="00D7200B" w14:paraId="3805E678" w14:textId="77777777" w:rsidTr="008B3ABC">
        <w:trPr>
          <w:trHeight w:val="298"/>
        </w:trPr>
        <w:tc>
          <w:tcPr>
            <w:tcW w:w="3290" w:type="dxa"/>
            <w:noWrap/>
            <w:vAlign w:val="center"/>
            <w:hideMark/>
          </w:tcPr>
          <w:p w14:paraId="5C074B85" w14:textId="77777777" w:rsidR="00D7200B" w:rsidRPr="00D7200B" w:rsidRDefault="00D7200B" w:rsidP="008B3ABC">
            <w:pPr>
              <w:rPr>
                <w:rFonts w:ascii="Calibri" w:eastAsia="Times New Roman" w:hAnsi="Calibri" w:cs="Calibri"/>
                <w:b/>
                <w:bCs/>
                <w:color w:val="000000"/>
              </w:rPr>
            </w:pPr>
            <w:r w:rsidRPr="00D7200B">
              <w:rPr>
                <w:rFonts w:ascii="Calibri" w:eastAsia="Times New Roman" w:hAnsi="Calibri" w:cs="Calibri"/>
                <w:b/>
                <w:bCs/>
                <w:color w:val="000000"/>
              </w:rPr>
              <w:t>Leukemia</w:t>
            </w:r>
          </w:p>
        </w:tc>
        <w:tc>
          <w:tcPr>
            <w:tcW w:w="2215" w:type="dxa"/>
            <w:vAlign w:val="center"/>
            <w:hideMark/>
          </w:tcPr>
          <w:p w14:paraId="1EE90A74"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c>
          <w:tcPr>
            <w:tcW w:w="4395" w:type="dxa"/>
            <w:vAlign w:val="center"/>
            <w:hideMark/>
          </w:tcPr>
          <w:p w14:paraId="6D42D583"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r>
      <w:tr w:rsidR="00D7200B" w:rsidRPr="00D7200B" w14:paraId="490A923A" w14:textId="77777777" w:rsidTr="008B3ABC">
        <w:trPr>
          <w:trHeight w:val="298"/>
        </w:trPr>
        <w:tc>
          <w:tcPr>
            <w:tcW w:w="3290" w:type="dxa"/>
            <w:noWrap/>
            <w:vAlign w:val="center"/>
            <w:hideMark/>
          </w:tcPr>
          <w:p w14:paraId="55676861" w14:textId="77777777" w:rsidR="00D7200B" w:rsidRPr="00D7200B" w:rsidRDefault="00D7200B" w:rsidP="00432D86">
            <w:pPr>
              <w:ind w:left="288"/>
              <w:rPr>
                <w:rFonts w:ascii="Calibri" w:eastAsia="Times New Roman" w:hAnsi="Calibri" w:cs="Calibri"/>
                <w:color w:val="000000"/>
              </w:rPr>
            </w:pPr>
            <w:r w:rsidRPr="00D7200B">
              <w:rPr>
                <w:rFonts w:ascii="Calibri" w:eastAsia="Times New Roman" w:hAnsi="Calibri" w:cs="Calibri"/>
                <w:color w:val="000000"/>
              </w:rPr>
              <w:t>Lymphocytic Leukemia</w:t>
            </w:r>
          </w:p>
        </w:tc>
        <w:tc>
          <w:tcPr>
            <w:tcW w:w="2215" w:type="dxa"/>
            <w:vAlign w:val="center"/>
            <w:hideMark/>
          </w:tcPr>
          <w:p w14:paraId="7B1C2275"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c>
          <w:tcPr>
            <w:tcW w:w="4395" w:type="dxa"/>
            <w:vAlign w:val="center"/>
            <w:hideMark/>
          </w:tcPr>
          <w:p w14:paraId="0162DED0"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r>
      <w:tr w:rsidR="00D7200B" w:rsidRPr="00D7200B" w14:paraId="0A5B4C15" w14:textId="77777777" w:rsidTr="008B3ABC">
        <w:trPr>
          <w:trHeight w:val="298"/>
        </w:trPr>
        <w:tc>
          <w:tcPr>
            <w:tcW w:w="3290" w:type="dxa"/>
            <w:vMerge w:val="restart"/>
            <w:noWrap/>
            <w:vAlign w:val="center"/>
            <w:hideMark/>
          </w:tcPr>
          <w:p w14:paraId="35988B8C" w14:textId="77777777" w:rsidR="00D7200B" w:rsidRPr="00D7200B" w:rsidRDefault="00D7200B" w:rsidP="008A1CA8">
            <w:pPr>
              <w:ind w:left="432"/>
              <w:rPr>
                <w:rFonts w:ascii="Calibri" w:eastAsia="Times New Roman" w:hAnsi="Calibri" w:cs="Calibri"/>
                <w:color w:val="000000"/>
              </w:rPr>
            </w:pPr>
            <w:r w:rsidRPr="00D7200B">
              <w:rPr>
                <w:rFonts w:ascii="Calibri" w:eastAsia="Times New Roman" w:hAnsi="Calibri" w:cs="Calibri"/>
                <w:color w:val="000000"/>
              </w:rPr>
              <w:t>Acute Lymphocytic Leukemia</w:t>
            </w:r>
          </w:p>
        </w:tc>
        <w:tc>
          <w:tcPr>
            <w:tcW w:w="2215" w:type="dxa"/>
            <w:vAlign w:val="center"/>
            <w:hideMark/>
          </w:tcPr>
          <w:p w14:paraId="382E3BF2"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c>
          <w:tcPr>
            <w:tcW w:w="4395" w:type="dxa"/>
            <w:vAlign w:val="center"/>
            <w:hideMark/>
          </w:tcPr>
          <w:p w14:paraId="60BE94B2"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9826, 9835-9836</w:t>
            </w:r>
          </w:p>
        </w:tc>
      </w:tr>
      <w:tr w:rsidR="00D7200B" w:rsidRPr="00D7200B" w14:paraId="03AD7382" w14:textId="77777777" w:rsidTr="008B3ABC">
        <w:trPr>
          <w:trHeight w:val="298"/>
        </w:trPr>
        <w:tc>
          <w:tcPr>
            <w:tcW w:w="3290" w:type="dxa"/>
            <w:vMerge/>
            <w:noWrap/>
            <w:vAlign w:val="center"/>
            <w:hideMark/>
          </w:tcPr>
          <w:p w14:paraId="6B8265D1" w14:textId="77777777" w:rsidR="00D7200B" w:rsidRPr="00D7200B" w:rsidRDefault="00D7200B" w:rsidP="008A1CA8">
            <w:pPr>
              <w:ind w:left="432"/>
              <w:rPr>
                <w:rFonts w:ascii="Calibri" w:eastAsia="Times New Roman" w:hAnsi="Calibri" w:cs="Calibri"/>
                <w:color w:val="000000"/>
              </w:rPr>
            </w:pPr>
          </w:p>
        </w:tc>
        <w:tc>
          <w:tcPr>
            <w:tcW w:w="2215" w:type="dxa"/>
            <w:vAlign w:val="center"/>
            <w:hideMark/>
          </w:tcPr>
          <w:p w14:paraId="0488F8DE"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C420, C421, C424</w:t>
            </w:r>
          </w:p>
        </w:tc>
        <w:tc>
          <w:tcPr>
            <w:tcW w:w="4395" w:type="dxa"/>
            <w:vAlign w:val="center"/>
            <w:hideMark/>
          </w:tcPr>
          <w:p w14:paraId="15C00C88"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9811-9818, 9837</w:t>
            </w:r>
          </w:p>
        </w:tc>
      </w:tr>
      <w:tr w:rsidR="00D7200B" w:rsidRPr="00D7200B" w14:paraId="0E95D733" w14:textId="77777777" w:rsidTr="008B3ABC">
        <w:trPr>
          <w:trHeight w:val="298"/>
        </w:trPr>
        <w:tc>
          <w:tcPr>
            <w:tcW w:w="3290" w:type="dxa"/>
            <w:noWrap/>
            <w:vAlign w:val="center"/>
            <w:hideMark/>
          </w:tcPr>
          <w:p w14:paraId="3034FB40" w14:textId="77777777" w:rsidR="00D7200B" w:rsidRPr="00D7200B" w:rsidRDefault="00D7200B" w:rsidP="008A1CA8">
            <w:pPr>
              <w:ind w:left="432"/>
              <w:rPr>
                <w:rFonts w:ascii="Calibri" w:eastAsia="Times New Roman" w:hAnsi="Calibri" w:cs="Calibri"/>
                <w:color w:val="000000"/>
              </w:rPr>
            </w:pPr>
            <w:r w:rsidRPr="00D7200B">
              <w:rPr>
                <w:rFonts w:ascii="Calibri" w:eastAsia="Times New Roman" w:hAnsi="Calibri" w:cs="Calibri"/>
                <w:color w:val="000000"/>
              </w:rPr>
              <w:t>Chronic Lymphocytic Leukemia</w:t>
            </w:r>
          </w:p>
        </w:tc>
        <w:tc>
          <w:tcPr>
            <w:tcW w:w="2215" w:type="dxa"/>
            <w:vAlign w:val="center"/>
            <w:hideMark/>
          </w:tcPr>
          <w:p w14:paraId="7B97827D"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C420, C421, C424</w:t>
            </w:r>
          </w:p>
        </w:tc>
        <w:tc>
          <w:tcPr>
            <w:tcW w:w="4395" w:type="dxa"/>
            <w:vAlign w:val="center"/>
            <w:hideMark/>
          </w:tcPr>
          <w:p w14:paraId="7E75F71C"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9823</w:t>
            </w:r>
          </w:p>
        </w:tc>
      </w:tr>
      <w:tr w:rsidR="00D7200B" w:rsidRPr="00D7200B" w14:paraId="10900522" w14:textId="77777777" w:rsidTr="008B3ABC">
        <w:trPr>
          <w:trHeight w:val="298"/>
        </w:trPr>
        <w:tc>
          <w:tcPr>
            <w:tcW w:w="3290" w:type="dxa"/>
            <w:noWrap/>
            <w:vAlign w:val="center"/>
            <w:hideMark/>
          </w:tcPr>
          <w:p w14:paraId="256D73E7" w14:textId="77777777" w:rsidR="00D7200B" w:rsidRPr="00D7200B" w:rsidRDefault="00D7200B" w:rsidP="008A1CA8">
            <w:pPr>
              <w:ind w:left="432"/>
              <w:rPr>
                <w:rFonts w:ascii="Calibri" w:eastAsia="Times New Roman" w:hAnsi="Calibri" w:cs="Calibri"/>
                <w:color w:val="000000"/>
              </w:rPr>
            </w:pPr>
            <w:r w:rsidRPr="00D7200B">
              <w:rPr>
                <w:rFonts w:ascii="Calibri" w:eastAsia="Times New Roman" w:hAnsi="Calibri" w:cs="Calibri"/>
                <w:color w:val="000000"/>
              </w:rPr>
              <w:t>Other Lymphocytic Leukemia</w:t>
            </w:r>
          </w:p>
        </w:tc>
        <w:tc>
          <w:tcPr>
            <w:tcW w:w="2215" w:type="dxa"/>
            <w:vAlign w:val="center"/>
            <w:hideMark/>
          </w:tcPr>
          <w:p w14:paraId="73043D7B"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c>
          <w:tcPr>
            <w:tcW w:w="4395" w:type="dxa"/>
            <w:vAlign w:val="center"/>
            <w:hideMark/>
          </w:tcPr>
          <w:p w14:paraId="04B78C5A"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9820, 9832-9834, 9940</w:t>
            </w:r>
          </w:p>
        </w:tc>
      </w:tr>
      <w:tr w:rsidR="00D7200B" w:rsidRPr="00D7200B" w14:paraId="6744EC51" w14:textId="77777777" w:rsidTr="008B3ABC">
        <w:trPr>
          <w:trHeight w:val="298"/>
        </w:trPr>
        <w:tc>
          <w:tcPr>
            <w:tcW w:w="3290" w:type="dxa"/>
            <w:noWrap/>
            <w:vAlign w:val="center"/>
            <w:hideMark/>
          </w:tcPr>
          <w:p w14:paraId="002191D1" w14:textId="77777777" w:rsidR="00D7200B" w:rsidRPr="00D7200B" w:rsidRDefault="00D7200B" w:rsidP="00432D86">
            <w:pPr>
              <w:ind w:left="288"/>
              <w:rPr>
                <w:rFonts w:ascii="Calibri" w:eastAsia="Times New Roman" w:hAnsi="Calibri" w:cs="Calibri"/>
                <w:color w:val="000000"/>
              </w:rPr>
            </w:pPr>
            <w:r w:rsidRPr="00D7200B">
              <w:rPr>
                <w:rFonts w:ascii="Calibri" w:eastAsia="Times New Roman" w:hAnsi="Calibri" w:cs="Calibri"/>
                <w:color w:val="000000"/>
              </w:rPr>
              <w:t>Myeloid and Monocytic Leukemia</w:t>
            </w:r>
          </w:p>
        </w:tc>
        <w:tc>
          <w:tcPr>
            <w:tcW w:w="2215" w:type="dxa"/>
            <w:vAlign w:val="center"/>
            <w:hideMark/>
          </w:tcPr>
          <w:p w14:paraId="22E3B5B3"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c>
          <w:tcPr>
            <w:tcW w:w="4395" w:type="dxa"/>
            <w:vAlign w:val="center"/>
            <w:hideMark/>
          </w:tcPr>
          <w:p w14:paraId="14BE6567"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r>
      <w:tr w:rsidR="00D7200B" w:rsidRPr="00D7200B" w14:paraId="78B8B1F2" w14:textId="77777777" w:rsidTr="008B3ABC">
        <w:trPr>
          <w:trHeight w:val="597"/>
        </w:trPr>
        <w:tc>
          <w:tcPr>
            <w:tcW w:w="3290" w:type="dxa"/>
            <w:noWrap/>
            <w:vAlign w:val="center"/>
            <w:hideMark/>
          </w:tcPr>
          <w:p w14:paraId="5A2ADFB4" w14:textId="77777777" w:rsidR="00D7200B" w:rsidRPr="00D7200B" w:rsidRDefault="00D7200B" w:rsidP="008A1CA8">
            <w:pPr>
              <w:ind w:left="432"/>
              <w:rPr>
                <w:rFonts w:ascii="Calibri" w:eastAsia="Times New Roman" w:hAnsi="Calibri" w:cs="Calibri"/>
                <w:color w:val="000000"/>
              </w:rPr>
            </w:pPr>
            <w:r w:rsidRPr="00D7200B">
              <w:rPr>
                <w:rFonts w:ascii="Calibri" w:eastAsia="Times New Roman" w:hAnsi="Calibri" w:cs="Calibri"/>
                <w:color w:val="000000"/>
              </w:rPr>
              <w:t>Acute Myeloid Leukemia</w:t>
            </w:r>
          </w:p>
        </w:tc>
        <w:tc>
          <w:tcPr>
            <w:tcW w:w="2215" w:type="dxa"/>
            <w:vAlign w:val="center"/>
            <w:hideMark/>
          </w:tcPr>
          <w:p w14:paraId="39D4D508"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c>
          <w:tcPr>
            <w:tcW w:w="4395" w:type="dxa"/>
            <w:vAlign w:val="center"/>
            <w:hideMark/>
          </w:tcPr>
          <w:p w14:paraId="34FD692D"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9840, 9861, 9865-9867, 9869, 9871-9874, 9895-9897, 9898, 9910-9911, 9920</w:t>
            </w:r>
          </w:p>
        </w:tc>
      </w:tr>
      <w:tr w:rsidR="00D7200B" w:rsidRPr="00D7200B" w14:paraId="5F06E1AF" w14:textId="77777777" w:rsidTr="008B3ABC">
        <w:trPr>
          <w:trHeight w:val="298"/>
        </w:trPr>
        <w:tc>
          <w:tcPr>
            <w:tcW w:w="3290" w:type="dxa"/>
            <w:noWrap/>
            <w:vAlign w:val="center"/>
            <w:hideMark/>
          </w:tcPr>
          <w:p w14:paraId="608F7F82" w14:textId="77777777" w:rsidR="00D7200B" w:rsidRPr="00D7200B" w:rsidRDefault="00D7200B" w:rsidP="008A1CA8">
            <w:pPr>
              <w:ind w:left="432"/>
              <w:rPr>
                <w:rFonts w:ascii="Calibri" w:eastAsia="Times New Roman" w:hAnsi="Calibri" w:cs="Calibri"/>
                <w:color w:val="000000"/>
              </w:rPr>
            </w:pPr>
            <w:r w:rsidRPr="00D7200B">
              <w:rPr>
                <w:rFonts w:ascii="Calibri" w:eastAsia="Times New Roman" w:hAnsi="Calibri" w:cs="Calibri"/>
                <w:color w:val="000000"/>
              </w:rPr>
              <w:t>Acute Monocytic Leukemia</w:t>
            </w:r>
          </w:p>
        </w:tc>
        <w:tc>
          <w:tcPr>
            <w:tcW w:w="2215" w:type="dxa"/>
            <w:vAlign w:val="center"/>
            <w:hideMark/>
          </w:tcPr>
          <w:p w14:paraId="7C1B7BF5"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c>
          <w:tcPr>
            <w:tcW w:w="4395" w:type="dxa"/>
            <w:vAlign w:val="center"/>
            <w:hideMark/>
          </w:tcPr>
          <w:p w14:paraId="456F6F1F"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9891</w:t>
            </w:r>
          </w:p>
        </w:tc>
      </w:tr>
      <w:tr w:rsidR="00D7200B" w:rsidRPr="00D7200B" w14:paraId="165D48AE" w14:textId="77777777" w:rsidTr="008B3ABC">
        <w:trPr>
          <w:trHeight w:val="298"/>
        </w:trPr>
        <w:tc>
          <w:tcPr>
            <w:tcW w:w="3290" w:type="dxa"/>
            <w:noWrap/>
            <w:vAlign w:val="center"/>
            <w:hideMark/>
          </w:tcPr>
          <w:p w14:paraId="260CE638" w14:textId="77777777" w:rsidR="00D7200B" w:rsidRPr="00D7200B" w:rsidRDefault="00D7200B" w:rsidP="008A1CA8">
            <w:pPr>
              <w:ind w:left="432"/>
              <w:rPr>
                <w:rFonts w:ascii="Calibri" w:eastAsia="Times New Roman" w:hAnsi="Calibri" w:cs="Calibri"/>
                <w:color w:val="000000"/>
              </w:rPr>
            </w:pPr>
            <w:r w:rsidRPr="00D7200B">
              <w:rPr>
                <w:rFonts w:ascii="Calibri" w:eastAsia="Times New Roman" w:hAnsi="Calibri" w:cs="Calibri"/>
                <w:color w:val="000000"/>
              </w:rPr>
              <w:t>Chronic Myeloid Leukemia</w:t>
            </w:r>
          </w:p>
        </w:tc>
        <w:tc>
          <w:tcPr>
            <w:tcW w:w="2215" w:type="dxa"/>
            <w:vAlign w:val="center"/>
            <w:hideMark/>
          </w:tcPr>
          <w:p w14:paraId="57E8BE8B"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c>
          <w:tcPr>
            <w:tcW w:w="4395" w:type="dxa"/>
            <w:vAlign w:val="center"/>
            <w:hideMark/>
          </w:tcPr>
          <w:p w14:paraId="16E2D049"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9863, 9875-9876, 9945-9946</w:t>
            </w:r>
          </w:p>
        </w:tc>
      </w:tr>
      <w:tr w:rsidR="00D7200B" w:rsidRPr="00D7200B" w14:paraId="6F1F8CB9" w14:textId="77777777" w:rsidTr="008B3ABC">
        <w:trPr>
          <w:trHeight w:val="298"/>
        </w:trPr>
        <w:tc>
          <w:tcPr>
            <w:tcW w:w="3290" w:type="dxa"/>
            <w:noWrap/>
            <w:vAlign w:val="center"/>
            <w:hideMark/>
          </w:tcPr>
          <w:p w14:paraId="13B9EB9E" w14:textId="77777777" w:rsidR="00D7200B" w:rsidRPr="00D7200B" w:rsidRDefault="00D7200B" w:rsidP="008A1CA8">
            <w:pPr>
              <w:ind w:left="432"/>
              <w:rPr>
                <w:rFonts w:ascii="Calibri" w:eastAsia="Times New Roman" w:hAnsi="Calibri" w:cs="Calibri"/>
                <w:color w:val="000000"/>
              </w:rPr>
            </w:pPr>
            <w:r w:rsidRPr="00D7200B">
              <w:rPr>
                <w:rFonts w:ascii="Calibri" w:eastAsia="Times New Roman" w:hAnsi="Calibri" w:cs="Calibri"/>
                <w:color w:val="000000"/>
              </w:rPr>
              <w:t>Other Myeloid/Monocytic Leukemia</w:t>
            </w:r>
          </w:p>
        </w:tc>
        <w:tc>
          <w:tcPr>
            <w:tcW w:w="2215" w:type="dxa"/>
            <w:vAlign w:val="center"/>
            <w:hideMark/>
          </w:tcPr>
          <w:p w14:paraId="5E90CCE9"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c>
          <w:tcPr>
            <w:tcW w:w="4395" w:type="dxa"/>
            <w:vAlign w:val="center"/>
            <w:hideMark/>
          </w:tcPr>
          <w:p w14:paraId="7411EF8B"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9860, 9930</w:t>
            </w:r>
          </w:p>
        </w:tc>
      </w:tr>
      <w:tr w:rsidR="00D7200B" w:rsidRPr="00D7200B" w14:paraId="4CE91A3D" w14:textId="77777777" w:rsidTr="008B3ABC">
        <w:trPr>
          <w:trHeight w:val="298"/>
        </w:trPr>
        <w:tc>
          <w:tcPr>
            <w:tcW w:w="3290" w:type="dxa"/>
            <w:noWrap/>
            <w:vAlign w:val="center"/>
            <w:hideMark/>
          </w:tcPr>
          <w:p w14:paraId="28667E55" w14:textId="77777777" w:rsidR="00D7200B" w:rsidRPr="00D7200B" w:rsidRDefault="00D7200B" w:rsidP="00432D86">
            <w:pPr>
              <w:ind w:left="288"/>
              <w:rPr>
                <w:rFonts w:ascii="Calibri" w:eastAsia="Times New Roman" w:hAnsi="Calibri" w:cs="Calibri"/>
                <w:color w:val="000000"/>
              </w:rPr>
            </w:pPr>
            <w:r w:rsidRPr="00D7200B">
              <w:rPr>
                <w:rFonts w:ascii="Calibri" w:eastAsia="Times New Roman" w:hAnsi="Calibri" w:cs="Calibri"/>
                <w:color w:val="000000"/>
              </w:rPr>
              <w:t>Other Leukemia</w:t>
            </w:r>
          </w:p>
        </w:tc>
        <w:tc>
          <w:tcPr>
            <w:tcW w:w="2215" w:type="dxa"/>
            <w:vAlign w:val="center"/>
            <w:hideMark/>
          </w:tcPr>
          <w:p w14:paraId="7F0956B8"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c>
          <w:tcPr>
            <w:tcW w:w="4395" w:type="dxa"/>
            <w:vAlign w:val="center"/>
            <w:hideMark/>
          </w:tcPr>
          <w:p w14:paraId="2450DADD"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r>
      <w:tr w:rsidR="00D7200B" w:rsidRPr="00D7200B" w14:paraId="11703899" w14:textId="77777777" w:rsidTr="008B3ABC">
        <w:trPr>
          <w:trHeight w:val="298"/>
        </w:trPr>
        <w:tc>
          <w:tcPr>
            <w:tcW w:w="3290" w:type="dxa"/>
            <w:noWrap/>
            <w:vAlign w:val="center"/>
            <w:hideMark/>
          </w:tcPr>
          <w:p w14:paraId="25A07AB7" w14:textId="77777777" w:rsidR="00D7200B" w:rsidRPr="00D7200B" w:rsidRDefault="00D7200B" w:rsidP="008A1CA8">
            <w:pPr>
              <w:ind w:left="432"/>
              <w:rPr>
                <w:rFonts w:ascii="Calibri" w:eastAsia="Times New Roman" w:hAnsi="Calibri" w:cs="Calibri"/>
                <w:color w:val="000000"/>
              </w:rPr>
            </w:pPr>
            <w:r w:rsidRPr="00D7200B">
              <w:rPr>
                <w:rFonts w:ascii="Calibri" w:eastAsia="Times New Roman" w:hAnsi="Calibri" w:cs="Calibri"/>
                <w:color w:val="000000"/>
              </w:rPr>
              <w:t>Other Acute Leukemia</w:t>
            </w:r>
          </w:p>
        </w:tc>
        <w:tc>
          <w:tcPr>
            <w:tcW w:w="2215" w:type="dxa"/>
            <w:vAlign w:val="center"/>
            <w:hideMark/>
          </w:tcPr>
          <w:p w14:paraId="18908F2E"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c>
          <w:tcPr>
            <w:tcW w:w="4395" w:type="dxa"/>
            <w:vAlign w:val="center"/>
            <w:hideMark/>
          </w:tcPr>
          <w:p w14:paraId="7CD1A33C"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9801, 9805-9809, 9931</w:t>
            </w:r>
          </w:p>
        </w:tc>
      </w:tr>
      <w:tr w:rsidR="00D7200B" w:rsidRPr="00D7200B" w14:paraId="63B7459C" w14:textId="77777777" w:rsidTr="008B3ABC">
        <w:trPr>
          <w:trHeight w:val="298"/>
        </w:trPr>
        <w:tc>
          <w:tcPr>
            <w:tcW w:w="3290" w:type="dxa"/>
            <w:vMerge w:val="restart"/>
            <w:noWrap/>
            <w:vAlign w:val="center"/>
            <w:hideMark/>
          </w:tcPr>
          <w:p w14:paraId="19380C8B" w14:textId="69CB68D5" w:rsidR="00D7200B" w:rsidRPr="00D7200B" w:rsidRDefault="00D7200B" w:rsidP="008A1CA8">
            <w:pPr>
              <w:ind w:left="432"/>
              <w:rPr>
                <w:rFonts w:ascii="Calibri" w:eastAsia="Times New Roman" w:hAnsi="Calibri" w:cs="Calibri"/>
                <w:color w:val="000000"/>
              </w:rPr>
            </w:pPr>
            <w:r w:rsidRPr="00D7200B">
              <w:rPr>
                <w:rFonts w:ascii="Calibri" w:eastAsia="Times New Roman" w:hAnsi="Calibri" w:cs="Calibri"/>
                <w:color w:val="000000"/>
              </w:rPr>
              <w:t>Aleukemic, subleukemic and N</w:t>
            </w:r>
            <w:r w:rsidR="00DB1926">
              <w:rPr>
                <w:rFonts w:ascii="Calibri" w:eastAsia="Times New Roman" w:hAnsi="Calibri" w:cs="Calibri"/>
                <w:color w:val="000000"/>
              </w:rPr>
              <w:t xml:space="preserve">ot </w:t>
            </w:r>
            <w:r w:rsidRPr="00D7200B">
              <w:rPr>
                <w:rFonts w:ascii="Calibri" w:eastAsia="Times New Roman" w:hAnsi="Calibri" w:cs="Calibri"/>
                <w:color w:val="000000"/>
              </w:rPr>
              <w:t>O</w:t>
            </w:r>
            <w:r w:rsidR="00DB1926">
              <w:rPr>
                <w:rFonts w:ascii="Calibri" w:eastAsia="Times New Roman" w:hAnsi="Calibri" w:cs="Calibri"/>
                <w:color w:val="000000"/>
              </w:rPr>
              <w:t xml:space="preserve">therwise </w:t>
            </w:r>
            <w:r w:rsidRPr="00D7200B">
              <w:rPr>
                <w:rFonts w:ascii="Calibri" w:eastAsia="Times New Roman" w:hAnsi="Calibri" w:cs="Calibri"/>
                <w:color w:val="000000"/>
              </w:rPr>
              <w:t>S</w:t>
            </w:r>
            <w:r w:rsidR="00DB1926">
              <w:rPr>
                <w:rFonts w:ascii="Calibri" w:eastAsia="Times New Roman" w:hAnsi="Calibri" w:cs="Calibri"/>
                <w:color w:val="000000"/>
              </w:rPr>
              <w:t>pecified</w:t>
            </w:r>
          </w:p>
        </w:tc>
        <w:tc>
          <w:tcPr>
            <w:tcW w:w="2215" w:type="dxa"/>
            <w:vAlign w:val="center"/>
            <w:hideMark/>
          </w:tcPr>
          <w:p w14:paraId="1645E480"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 xml:space="preserve"> </w:t>
            </w:r>
          </w:p>
        </w:tc>
        <w:tc>
          <w:tcPr>
            <w:tcW w:w="4395" w:type="dxa"/>
            <w:vAlign w:val="center"/>
            <w:hideMark/>
          </w:tcPr>
          <w:p w14:paraId="125BB83A"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9733, 9742, 9800, 9831, 9870, 9948, 9963-9964</w:t>
            </w:r>
          </w:p>
        </w:tc>
      </w:tr>
      <w:tr w:rsidR="00D7200B" w:rsidRPr="00D7200B" w14:paraId="5BCEDCB7" w14:textId="77777777" w:rsidTr="008B3ABC">
        <w:trPr>
          <w:trHeight w:val="298"/>
        </w:trPr>
        <w:tc>
          <w:tcPr>
            <w:tcW w:w="3290" w:type="dxa"/>
            <w:vMerge/>
            <w:noWrap/>
            <w:hideMark/>
          </w:tcPr>
          <w:p w14:paraId="08F668E3" w14:textId="77777777" w:rsidR="00D7200B" w:rsidRPr="00D7200B" w:rsidRDefault="00D7200B" w:rsidP="00D7200B">
            <w:pPr>
              <w:rPr>
                <w:rFonts w:ascii="Calibri" w:eastAsia="Times New Roman" w:hAnsi="Calibri" w:cs="Calibri"/>
                <w:color w:val="000000"/>
              </w:rPr>
            </w:pPr>
          </w:p>
        </w:tc>
        <w:tc>
          <w:tcPr>
            <w:tcW w:w="2215" w:type="dxa"/>
            <w:vAlign w:val="center"/>
            <w:hideMark/>
          </w:tcPr>
          <w:p w14:paraId="70227F90"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C420, C421, C424</w:t>
            </w:r>
          </w:p>
        </w:tc>
        <w:tc>
          <w:tcPr>
            <w:tcW w:w="4395" w:type="dxa"/>
            <w:vAlign w:val="center"/>
            <w:hideMark/>
          </w:tcPr>
          <w:p w14:paraId="7684B2DE" w14:textId="77777777" w:rsidR="00D7200B" w:rsidRPr="00D7200B" w:rsidRDefault="00D7200B" w:rsidP="008B3ABC">
            <w:pPr>
              <w:rPr>
                <w:rFonts w:ascii="Calibri" w:eastAsia="Times New Roman" w:hAnsi="Calibri" w:cs="Calibri"/>
                <w:color w:val="000000"/>
              </w:rPr>
            </w:pPr>
            <w:r w:rsidRPr="00D7200B">
              <w:rPr>
                <w:rFonts w:ascii="Calibri" w:eastAsia="Times New Roman" w:hAnsi="Calibri" w:cs="Calibri"/>
                <w:color w:val="000000"/>
              </w:rPr>
              <w:t>9827</w:t>
            </w:r>
          </w:p>
        </w:tc>
      </w:tr>
    </w:tbl>
    <w:p w14:paraId="5B1DED45" w14:textId="77777777" w:rsidR="00D7200B" w:rsidRDefault="00D7200B" w:rsidP="00191E0D">
      <w:pPr>
        <w:spacing w:after="0"/>
        <w:rPr>
          <w:rFonts w:asciiTheme="minorHAnsi" w:hAnsiTheme="minorHAnsi"/>
          <w:i/>
          <w:sz w:val="14"/>
        </w:rPr>
      </w:pPr>
    </w:p>
    <w:p w14:paraId="047364AD" w14:textId="67E49084" w:rsidR="002A7213" w:rsidRPr="00EA7E44" w:rsidRDefault="002A7213" w:rsidP="00191E0D">
      <w:pPr>
        <w:spacing w:after="0"/>
        <w:rPr>
          <w:rFonts w:asciiTheme="minorHAnsi" w:hAnsiTheme="minorHAnsi"/>
          <w:i/>
          <w:sz w:val="16"/>
          <w:szCs w:val="16"/>
        </w:rPr>
      </w:pPr>
      <w:r w:rsidRPr="00EA7E44">
        <w:rPr>
          <w:rFonts w:asciiTheme="minorHAnsi" w:hAnsiTheme="minorHAnsi"/>
          <w:i/>
          <w:sz w:val="16"/>
          <w:szCs w:val="16"/>
        </w:rPr>
        <w:t xml:space="preserve">Source: </w:t>
      </w:r>
      <w:r w:rsidR="00EA7E44" w:rsidRPr="00EA7E44">
        <w:rPr>
          <w:rFonts w:asciiTheme="minorHAnsi" w:hAnsiTheme="minorHAnsi"/>
          <w:iCs/>
          <w:sz w:val="16"/>
          <w:szCs w:val="16"/>
        </w:rPr>
        <w:t xml:space="preserve">National Cancer Institute, </w:t>
      </w:r>
      <w:r w:rsidR="00EA7E44" w:rsidRPr="003108AC">
        <w:rPr>
          <w:rFonts w:asciiTheme="minorHAnsi" w:hAnsiTheme="minorHAnsi"/>
          <w:iCs/>
          <w:sz w:val="16"/>
          <w:szCs w:val="16"/>
        </w:rPr>
        <w:t>Surveillance, Epidemiolog</w:t>
      </w:r>
      <w:r w:rsidR="003108AC" w:rsidRPr="00DE5E8C">
        <w:rPr>
          <w:rFonts w:asciiTheme="minorHAnsi" w:hAnsiTheme="minorHAnsi"/>
          <w:iCs/>
          <w:sz w:val="16"/>
          <w:szCs w:val="16"/>
        </w:rPr>
        <w:t>y</w:t>
      </w:r>
      <w:r w:rsidR="00EA7E44" w:rsidRPr="003108AC">
        <w:rPr>
          <w:rFonts w:asciiTheme="minorHAnsi" w:hAnsiTheme="minorHAnsi"/>
          <w:iCs/>
          <w:sz w:val="16"/>
          <w:szCs w:val="16"/>
        </w:rPr>
        <w:t>, and End</w:t>
      </w:r>
      <w:r w:rsidR="00EA7E44" w:rsidRPr="00EA7E44">
        <w:rPr>
          <w:rFonts w:asciiTheme="minorHAnsi" w:hAnsiTheme="minorHAnsi"/>
          <w:iCs/>
          <w:sz w:val="16"/>
          <w:szCs w:val="16"/>
        </w:rPr>
        <w:t xml:space="preserve"> Results (SEER) Program,</w:t>
      </w:r>
      <w:r w:rsidR="00EA7E44">
        <w:rPr>
          <w:rFonts w:asciiTheme="minorHAnsi" w:hAnsiTheme="minorHAnsi"/>
          <w:i/>
          <w:sz w:val="16"/>
          <w:szCs w:val="16"/>
        </w:rPr>
        <w:t xml:space="preserve"> </w:t>
      </w:r>
      <w:r w:rsidRPr="00EA7E44">
        <w:rPr>
          <w:rFonts w:asciiTheme="minorHAnsi" w:hAnsiTheme="minorHAnsi"/>
          <w:i/>
          <w:sz w:val="16"/>
          <w:szCs w:val="16"/>
        </w:rPr>
        <w:t xml:space="preserve">Site Recode ICD-O-3/WHO 2008 Definition </w:t>
      </w:r>
      <w:hyperlink r:id="rId70" w:history="1">
        <w:r w:rsidRPr="00EA7E44">
          <w:rPr>
            <w:rStyle w:val="Hyperlink"/>
            <w:rFonts w:asciiTheme="minorHAnsi" w:hAnsiTheme="minorHAnsi"/>
            <w:i/>
            <w:sz w:val="16"/>
            <w:szCs w:val="16"/>
          </w:rPr>
          <w:t>http://seer.cancer.gov/siterecode/icdo3_dwhoheme/index.html</w:t>
        </w:r>
      </w:hyperlink>
      <w:r w:rsidRPr="00EA7E44">
        <w:rPr>
          <w:rFonts w:asciiTheme="minorHAnsi" w:hAnsiTheme="minorHAnsi"/>
          <w:i/>
          <w:sz w:val="16"/>
          <w:szCs w:val="16"/>
        </w:rPr>
        <w:t xml:space="preserve"> </w:t>
      </w:r>
    </w:p>
    <w:p w14:paraId="5A0401FA" w14:textId="5D428F9E" w:rsidR="002A7213" w:rsidRPr="002A7213" w:rsidRDefault="002A7213" w:rsidP="00B21C83">
      <w:pPr>
        <w:pStyle w:val="Heading1"/>
        <w:numPr>
          <w:ilvl w:val="0"/>
          <w:numId w:val="19"/>
        </w:numPr>
        <w:rPr>
          <w:rFonts w:asciiTheme="minorHAnsi" w:hAnsiTheme="minorHAnsi"/>
        </w:rPr>
      </w:pPr>
      <w:bookmarkStart w:id="5377" w:name="_Toc451778427"/>
      <w:bookmarkStart w:id="5378" w:name="_Toc451764695"/>
      <w:bookmarkStart w:id="5379" w:name="_Toc451778428"/>
      <w:bookmarkStart w:id="5380" w:name="_Toc486839571"/>
      <w:bookmarkStart w:id="5381" w:name="_Toc84256569"/>
      <w:bookmarkStart w:id="5382" w:name="_Toc179276355"/>
      <w:bookmarkEnd w:id="5377"/>
      <w:r w:rsidRPr="002A7213">
        <w:rPr>
          <w:rFonts w:asciiTheme="minorHAnsi" w:hAnsiTheme="minorHAnsi"/>
        </w:rPr>
        <w:lastRenderedPageBreak/>
        <w:t>Hispanic Ethnicity</w:t>
      </w:r>
      <w:bookmarkEnd w:id="5378"/>
      <w:bookmarkEnd w:id="5379"/>
      <w:bookmarkEnd w:id="5380"/>
      <w:bookmarkEnd w:id="5381"/>
      <w:bookmarkEnd w:id="5382"/>
    </w:p>
    <w:p w14:paraId="66CCB06E" w14:textId="159E4F13" w:rsidR="002A7213" w:rsidRPr="00D67A92" w:rsidRDefault="002A7213" w:rsidP="002A7213">
      <w:pPr>
        <w:spacing w:after="120" w:line="240" w:lineRule="auto"/>
        <w:rPr>
          <w:rFonts w:asciiTheme="minorHAnsi" w:hAnsiTheme="minorHAnsi"/>
          <w:szCs w:val="20"/>
        </w:rPr>
      </w:pPr>
      <w:r w:rsidRPr="00D67A92">
        <w:rPr>
          <w:rFonts w:asciiTheme="minorHAnsi" w:hAnsiTheme="minorHAnsi"/>
          <w:szCs w:val="20"/>
        </w:rPr>
        <w:t xml:space="preserve">The </w:t>
      </w:r>
      <w:r w:rsidR="00473AFD">
        <w:rPr>
          <w:rFonts w:asciiTheme="minorHAnsi" w:hAnsiTheme="minorHAnsi"/>
          <w:szCs w:val="20"/>
        </w:rPr>
        <w:t xml:space="preserve">U.S. </w:t>
      </w:r>
      <w:r w:rsidRPr="00D67A92">
        <w:rPr>
          <w:rFonts w:asciiTheme="minorHAnsi" w:hAnsiTheme="minorHAnsi"/>
          <w:szCs w:val="20"/>
        </w:rPr>
        <w:t>Census Bureau defines "Hispanic or Latino" as "a person of Cuban, Mexican, Puerto Rican, South                    or Central American, or other Spanish culture or origin regardless of race.”</w:t>
      </w:r>
      <w:r w:rsidRPr="00D67A92">
        <w:rPr>
          <w:rStyle w:val="FootnoteReference"/>
          <w:rFonts w:asciiTheme="minorHAnsi" w:hAnsiTheme="minorHAnsi"/>
          <w:szCs w:val="20"/>
        </w:rPr>
        <w:footnoteReference w:id="35"/>
      </w:r>
      <w:r w:rsidRPr="00D67A92">
        <w:rPr>
          <w:rFonts w:asciiTheme="minorHAnsi" w:hAnsiTheme="minorHAnsi"/>
          <w:szCs w:val="20"/>
          <w:vertAlign w:val="superscript"/>
        </w:rPr>
        <w:t xml:space="preserve"> </w:t>
      </w:r>
      <w:r w:rsidRPr="00D67A92">
        <w:rPr>
          <w:rFonts w:asciiTheme="minorHAnsi" w:hAnsiTheme="minorHAnsi"/>
          <w:szCs w:val="20"/>
        </w:rPr>
        <w:t xml:space="preserve"> </w:t>
      </w:r>
      <w:r w:rsidR="004A3279">
        <w:rPr>
          <w:rFonts w:asciiTheme="minorHAnsi" w:hAnsiTheme="minorHAnsi"/>
          <w:szCs w:val="20"/>
        </w:rPr>
        <w:t>According to the Census Bureau, i</w:t>
      </w:r>
      <w:r w:rsidRPr="00D67A92">
        <w:rPr>
          <w:rFonts w:asciiTheme="minorHAnsi" w:hAnsiTheme="minorHAnsi"/>
          <w:szCs w:val="20"/>
        </w:rPr>
        <w:t xml:space="preserve">n </w:t>
      </w:r>
      <w:r w:rsidR="00E27106">
        <w:rPr>
          <w:rFonts w:asciiTheme="minorHAnsi" w:hAnsiTheme="minorHAnsi"/>
          <w:szCs w:val="20"/>
        </w:rPr>
        <w:t>2000</w:t>
      </w:r>
      <w:r w:rsidRPr="00D67A92">
        <w:rPr>
          <w:rFonts w:asciiTheme="minorHAnsi" w:hAnsiTheme="minorHAnsi"/>
          <w:szCs w:val="20"/>
        </w:rPr>
        <w:t xml:space="preserve">, persons of Hispanic ethnicity comprised </w:t>
      </w:r>
      <w:r w:rsidR="00E27106">
        <w:rPr>
          <w:rFonts w:asciiTheme="minorHAnsi" w:hAnsiTheme="minorHAnsi"/>
          <w:szCs w:val="20"/>
        </w:rPr>
        <w:t>5</w:t>
      </w:r>
      <w:r w:rsidR="009E7832">
        <w:rPr>
          <w:rFonts w:asciiTheme="minorHAnsi" w:hAnsiTheme="minorHAnsi"/>
          <w:szCs w:val="20"/>
        </w:rPr>
        <w:t>%</w:t>
      </w:r>
      <w:r w:rsidRPr="00D67A92">
        <w:rPr>
          <w:rFonts w:asciiTheme="minorHAnsi" w:hAnsiTheme="minorHAnsi"/>
          <w:szCs w:val="20"/>
        </w:rPr>
        <w:t xml:space="preserve"> of Delaware’s population. </w:t>
      </w:r>
      <w:r w:rsidR="004950AA">
        <w:rPr>
          <w:rFonts w:asciiTheme="minorHAnsi" w:hAnsiTheme="minorHAnsi"/>
          <w:szCs w:val="20"/>
        </w:rPr>
        <w:t xml:space="preserve"> </w:t>
      </w:r>
      <w:r w:rsidRPr="00D67A92">
        <w:rPr>
          <w:rFonts w:asciiTheme="minorHAnsi" w:hAnsiTheme="minorHAnsi"/>
          <w:szCs w:val="20"/>
        </w:rPr>
        <w:t>By 20</w:t>
      </w:r>
      <w:r w:rsidR="00E27106">
        <w:rPr>
          <w:rFonts w:asciiTheme="minorHAnsi" w:hAnsiTheme="minorHAnsi"/>
          <w:szCs w:val="20"/>
        </w:rPr>
        <w:t>10</w:t>
      </w:r>
      <w:r w:rsidRPr="00D67A92">
        <w:rPr>
          <w:rFonts w:asciiTheme="minorHAnsi" w:hAnsiTheme="minorHAnsi"/>
          <w:szCs w:val="20"/>
        </w:rPr>
        <w:t xml:space="preserve">, Delaware’s Hispanic population </w:t>
      </w:r>
      <w:r w:rsidR="009E7832">
        <w:rPr>
          <w:rFonts w:asciiTheme="minorHAnsi" w:hAnsiTheme="minorHAnsi"/>
          <w:szCs w:val="20"/>
        </w:rPr>
        <w:t>increased</w:t>
      </w:r>
      <w:r w:rsidRPr="00D67A92">
        <w:rPr>
          <w:rFonts w:asciiTheme="minorHAnsi" w:hAnsiTheme="minorHAnsi"/>
          <w:szCs w:val="20"/>
        </w:rPr>
        <w:t xml:space="preserve"> to </w:t>
      </w:r>
      <w:r w:rsidR="00E27106">
        <w:rPr>
          <w:rFonts w:asciiTheme="minorHAnsi" w:hAnsiTheme="minorHAnsi"/>
          <w:szCs w:val="20"/>
        </w:rPr>
        <w:t>8</w:t>
      </w:r>
      <w:r w:rsidR="009E7832">
        <w:rPr>
          <w:rFonts w:asciiTheme="minorHAnsi" w:hAnsiTheme="minorHAnsi"/>
          <w:szCs w:val="20"/>
        </w:rPr>
        <w:t>%</w:t>
      </w:r>
      <w:r w:rsidRPr="00D67A92">
        <w:rPr>
          <w:rFonts w:asciiTheme="minorHAnsi" w:hAnsiTheme="minorHAnsi"/>
          <w:szCs w:val="20"/>
        </w:rPr>
        <w:t xml:space="preserve">. </w:t>
      </w:r>
      <w:r w:rsidR="004950AA">
        <w:rPr>
          <w:rFonts w:asciiTheme="minorHAnsi" w:hAnsiTheme="minorHAnsi"/>
          <w:szCs w:val="20"/>
        </w:rPr>
        <w:t xml:space="preserve"> </w:t>
      </w:r>
      <w:r w:rsidR="00D766FA">
        <w:rPr>
          <w:rFonts w:asciiTheme="minorHAnsi" w:hAnsiTheme="minorHAnsi"/>
          <w:szCs w:val="20"/>
        </w:rPr>
        <w:t xml:space="preserve">In </w:t>
      </w:r>
      <w:r w:rsidRPr="00D67A92">
        <w:rPr>
          <w:rFonts w:asciiTheme="minorHAnsi" w:hAnsiTheme="minorHAnsi"/>
          <w:szCs w:val="20"/>
        </w:rPr>
        <w:t>the 20</w:t>
      </w:r>
      <w:r w:rsidR="00E27106">
        <w:rPr>
          <w:rFonts w:asciiTheme="minorHAnsi" w:hAnsiTheme="minorHAnsi"/>
          <w:szCs w:val="20"/>
        </w:rPr>
        <w:t>2</w:t>
      </w:r>
      <w:r w:rsidRPr="00D67A92">
        <w:rPr>
          <w:rFonts w:asciiTheme="minorHAnsi" w:hAnsiTheme="minorHAnsi"/>
          <w:szCs w:val="20"/>
        </w:rPr>
        <w:t>0 U.S. Census, persons of Hispanic origin comprise</w:t>
      </w:r>
      <w:r w:rsidR="00D766FA">
        <w:rPr>
          <w:rFonts w:asciiTheme="minorHAnsi" w:hAnsiTheme="minorHAnsi"/>
          <w:szCs w:val="20"/>
        </w:rPr>
        <w:t>d</w:t>
      </w:r>
      <w:r w:rsidRPr="00D67A92">
        <w:rPr>
          <w:rFonts w:asciiTheme="minorHAnsi" w:hAnsiTheme="minorHAnsi"/>
          <w:szCs w:val="20"/>
        </w:rPr>
        <w:t xml:space="preserve"> </w:t>
      </w:r>
      <w:r w:rsidR="00E27106">
        <w:rPr>
          <w:rFonts w:asciiTheme="minorHAnsi" w:hAnsiTheme="minorHAnsi"/>
          <w:szCs w:val="20"/>
        </w:rPr>
        <w:t>11</w:t>
      </w:r>
      <w:r w:rsidR="009E7832">
        <w:rPr>
          <w:rFonts w:asciiTheme="minorHAnsi" w:hAnsiTheme="minorHAnsi"/>
          <w:szCs w:val="20"/>
        </w:rPr>
        <w:t>%</w:t>
      </w:r>
      <w:r w:rsidRPr="00D67A92">
        <w:rPr>
          <w:rFonts w:asciiTheme="minorHAnsi" w:hAnsiTheme="minorHAnsi"/>
          <w:szCs w:val="20"/>
        </w:rPr>
        <w:t xml:space="preserve"> of Delaware’s population. </w:t>
      </w:r>
    </w:p>
    <w:p w14:paraId="55995948" w14:textId="3C0C7A32" w:rsidR="002A7213" w:rsidRDefault="00A1207F" w:rsidP="002A7213">
      <w:pPr>
        <w:spacing w:after="120" w:line="240" w:lineRule="auto"/>
        <w:rPr>
          <w:rFonts w:asciiTheme="minorHAnsi" w:hAnsiTheme="minorHAnsi"/>
          <w:szCs w:val="20"/>
        </w:rPr>
      </w:pPr>
      <w:r>
        <w:rPr>
          <w:rFonts w:asciiTheme="minorHAnsi" w:hAnsiTheme="minorHAnsi"/>
          <w:szCs w:val="20"/>
        </w:rPr>
        <w:t xml:space="preserve">By county, </w:t>
      </w:r>
      <w:r w:rsidR="002A7213" w:rsidRPr="00D67A92">
        <w:rPr>
          <w:rFonts w:asciiTheme="minorHAnsi" w:hAnsiTheme="minorHAnsi"/>
          <w:szCs w:val="20"/>
        </w:rPr>
        <w:t xml:space="preserve">the Hispanic prevalence grew </w:t>
      </w:r>
      <w:r w:rsidR="0010742F">
        <w:rPr>
          <w:rFonts w:asciiTheme="minorHAnsi" w:hAnsiTheme="minorHAnsi"/>
          <w:szCs w:val="20"/>
        </w:rPr>
        <w:t>to</w:t>
      </w:r>
      <w:r w:rsidR="002A7213" w:rsidRPr="00D67A92">
        <w:rPr>
          <w:rFonts w:asciiTheme="minorHAnsi" w:hAnsiTheme="minorHAnsi"/>
          <w:szCs w:val="20"/>
        </w:rPr>
        <w:t xml:space="preserve"> 4</w:t>
      </w:r>
      <w:r w:rsidR="009E7832">
        <w:rPr>
          <w:rFonts w:asciiTheme="minorHAnsi" w:hAnsiTheme="minorHAnsi"/>
          <w:szCs w:val="20"/>
        </w:rPr>
        <w:t>%</w:t>
      </w:r>
      <w:r w:rsidR="002A7213" w:rsidRPr="00D67A92">
        <w:rPr>
          <w:rFonts w:asciiTheme="minorHAnsi" w:hAnsiTheme="minorHAnsi"/>
          <w:szCs w:val="20"/>
        </w:rPr>
        <w:t xml:space="preserve"> in 20</w:t>
      </w:r>
      <w:r w:rsidR="009E7832">
        <w:rPr>
          <w:rFonts w:asciiTheme="minorHAnsi" w:hAnsiTheme="minorHAnsi"/>
          <w:szCs w:val="20"/>
        </w:rPr>
        <w:t>00, 9%</w:t>
      </w:r>
      <w:r w:rsidR="002A7213" w:rsidRPr="00D67A92">
        <w:rPr>
          <w:rFonts w:asciiTheme="minorHAnsi" w:hAnsiTheme="minorHAnsi"/>
          <w:szCs w:val="20"/>
        </w:rPr>
        <w:t xml:space="preserve"> in 2010</w:t>
      </w:r>
      <w:r w:rsidR="0010742F">
        <w:rPr>
          <w:rFonts w:asciiTheme="minorHAnsi" w:hAnsiTheme="minorHAnsi"/>
          <w:szCs w:val="20"/>
        </w:rPr>
        <w:t>, and 11% in 2020</w:t>
      </w:r>
      <w:r>
        <w:rPr>
          <w:rFonts w:asciiTheme="minorHAnsi" w:hAnsiTheme="minorHAnsi"/>
          <w:szCs w:val="20"/>
        </w:rPr>
        <w:t xml:space="preserve"> in Sussex County</w:t>
      </w:r>
      <w:r w:rsidR="002A7213" w:rsidRPr="00D67A92">
        <w:rPr>
          <w:rFonts w:asciiTheme="minorHAnsi" w:hAnsiTheme="minorHAnsi"/>
          <w:szCs w:val="20"/>
        </w:rPr>
        <w:t xml:space="preserve">. </w:t>
      </w:r>
      <w:r w:rsidR="004950AA">
        <w:rPr>
          <w:rFonts w:asciiTheme="minorHAnsi" w:hAnsiTheme="minorHAnsi"/>
          <w:szCs w:val="20"/>
        </w:rPr>
        <w:t xml:space="preserve"> </w:t>
      </w:r>
      <w:r w:rsidR="002A7213" w:rsidRPr="00D67A92">
        <w:rPr>
          <w:rFonts w:asciiTheme="minorHAnsi" w:hAnsiTheme="minorHAnsi"/>
          <w:szCs w:val="20"/>
        </w:rPr>
        <w:t>New Castle County</w:t>
      </w:r>
      <w:r>
        <w:rPr>
          <w:rFonts w:asciiTheme="minorHAnsi" w:hAnsiTheme="minorHAnsi"/>
          <w:szCs w:val="20"/>
        </w:rPr>
        <w:t xml:space="preserve"> had a similar prevalence of</w:t>
      </w:r>
      <w:r w:rsidR="002A7213" w:rsidRPr="00D67A92">
        <w:rPr>
          <w:rFonts w:asciiTheme="minorHAnsi" w:hAnsiTheme="minorHAnsi"/>
          <w:szCs w:val="20"/>
        </w:rPr>
        <w:t xml:space="preserve"> 5</w:t>
      </w:r>
      <w:r w:rsidR="009E7832">
        <w:rPr>
          <w:rFonts w:asciiTheme="minorHAnsi" w:hAnsiTheme="minorHAnsi"/>
          <w:szCs w:val="20"/>
        </w:rPr>
        <w:t>%</w:t>
      </w:r>
      <w:r w:rsidR="002A7213" w:rsidRPr="00D67A92">
        <w:rPr>
          <w:rFonts w:asciiTheme="minorHAnsi" w:hAnsiTheme="minorHAnsi"/>
          <w:szCs w:val="20"/>
        </w:rPr>
        <w:t xml:space="preserve"> in 2000, </w:t>
      </w:r>
      <w:r w:rsidR="009E7832">
        <w:rPr>
          <w:rFonts w:asciiTheme="minorHAnsi" w:hAnsiTheme="minorHAnsi"/>
          <w:szCs w:val="20"/>
        </w:rPr>
        <w:t>9%</w:t>
      </w:r>
      <w:r w:rsidR="002A7213" w:rsidRPr="00D67A92">
        <w:rPr>
          <w:rFonts w:asciiTheme="minorHAnsi" w:hAnsiTheme="minorHAnsi"/>
          <w:szCs w:val="20"/>
        </w:rPr>
        <w:t xml:space="preserve"> in 2010</w:t>
      </w:r>
      <w:r w:rsidR="0010742F">
        <w:rPr>
          <w:rFonts w:asciiTheme="minorHAnsi" w:hAnsiTheme="minorHAnsi"/>
          <w:szCs w:val="20"/>
        </w:rPr>
        <w:t>, and 11% in 2020</w:t>
      </w:r>
      <w:r w:rsidR="002A7213" w:rsidRPr="00D67A92">
        <w:rPr>
          <w:rFonts w:asciiTheme="minorHAnsi" w:hAnsiTheme="minorHAnsi"/>
          <w:szCs w:val="20"/>
        </w:rPr>
        <w:t xml:space="preserve">. </w:t>
      </w:r>
      <w:r w:rsidR="004950AA">
        <w:rPr>
          <w:rFonts w:asciiTheme="minorHAnsi" w:hAnsiTheme="minorHAnsi"/>
          <w:szCs w:val="20"/>
        </w:rPr>
        <w:t xml:space="preserve"> </w:t>
      </w:r>
      <w:r w:rsidR="002A7213" w:rsidRPr="00D67A92">
        <w:rPr>
          <w:rFonts w:asciiTheme="minorHAnsi" w:hAnsiTheme="minorHAnsi"/>
          <w:szCs w:val="20"/>
        </w:rPr>
        <w:t xml:space="preserve">Among Kent County residents, the Hispanic population grew </w:t>
      </w:r>
      <w:r w:rsidR="0010742F">
        <w:rPr>
          <w:rFonts w:asciiTheme="minorHAnsi" w:hAnsiTheme="minorHAnsi"/>
          <w:szCs w:val="20"/>
        </w:rPr>
        <w:t>to</w:t>
      </w:r>
      <w:r w:rsidR="002A7213" w:rsidRPr="00D67A92">
        <w:rPr>
          <w:rFonts w:asciiTheme="minorHAnsi" w:hAnsiTheme="minorHAnsi"/>
          <w:szCs w:val="20"/>
        </w:rPr>
        <w:t xml:space="preserve"> 3</w:t>
      </w:r>
      <w:r w:rsidR="009E7832">
        <w:rPr>
          <w:rFonts w:asciiTheme="minorHAnsi" w:hAnsiTheme="minorHAnsi"/>
          <w:szCs w:val="20"/>
        </w:rPr>
        <w:t>%</w:t>
      </w:r>
      <w:r w:rsidR="002A7213" w:rsidRPr="00D67A92">
        <w:rPr>
          <w:rFonts w:asciiTheme="minorHAnsi" w:hAnsiTheme="minorHAnsi"/>
          <w:szCs w:val="20"/>
        </w:rPr>
        <w:t xml:space="preserve"> in 2000, </w:t>
      </w:r>
      <w:r w:rsidR="009E7832">
        <w:rPr>
          <w:rFonts w:asciiTheme="minorHAnsi" w:hAnsiTheme="minorHAnsi"/>
          <w:szCs w:val="20"/>
        </w:rPr>
        <w:t>6%</w:t>
      </w:r>
      <w:r w:rsidR="002A7213" w:rsidRPr="00D67A92">
        <w:rPr>
          <w:rFonts w:asciiTheme="minorHAnsi" w:hAnsiTheme="minorHAnsi"/>
          <w:szCs w:val="20"/>
        </w:rPr>
        <w:t xml:space="preserve"> in 2010</w:t>
      </w:r>
      <w:r w:rsidR="0010742F">
        <w:rPr>
          <w:rFonts w:asciiTheme="minorHAnsi" w:hAnsiTheme="minorHAnsi"/>
          <w:szCs w:val="20"/>
        </w:rPr>
        <w:t xml:space="preserve">, and </w:t>
      </w:r>
      <w:r>
        <w:rPr>
          <w:rFonts w:asciiTheme="minorHAnsi" w:hAnsiTheme="minorHAnsi"/>
          <w:szCs w:val="20"/>
        </w:rPr>
        <w:t>8% in 2020</w:t>
      </w:r>
      <w:r w:rsidR="002A7213" w:rsidRPr="00D67A92">
        <w:rPr>
          <w:rFonts w:asciiTheme="minorHAnsi" w:hAnsiTheme="minorHAnsi"/>
          <w:szCs w:val="20"/>
        </w:rPr>
        <w:t xml:space="preserve">. </w:t>
      </w:r>
    </w:p>
    <w:p w14:paraId="2F5FCB1E" w14:textId="6FA3E04E" w:rsidR="00E8503E" w:rsidRPr="00D67A92" w:rsidRDefault="00E8503E" w:rsidP="002A7213">
      <w:pPr>
        <w:spacing w:after="120" w:line="240" w:lineRule="auto"/>
        <w:rPr>
          <w:rFonts w:asciiTheme="minorHAnsi" w:hAnsiTheme="minorHAnsi"/>
          <w:szCs w:val="20"/>
        </w:rPr>
      </w:pPr>
      <w:r>
        <w:rPr>
          <w:rFonts w:asciiTheme="minorHAnsi" w:hAnsiTheme="minorHAnsi"/>
          <w:szCs w:val="20"/>
        </w:rPr>
        <w:t xml:space="preserve">Figure C-1 shows the percentage change of the Hispanic population by county and decade in Delaware.  From </w:t>
      </w:r>
      <w:r w:rsidR="00362236">
        <w:rPr>
          <w:rFonts w:asciiTheme="minorHAnsi" w:hAnsiTheme="minorHAnsi"/>
          <w:szCs w:val="20"/>
        </w:rPr>
        <w:t>2000 to 2010</w:t>
      </w:r>
      <w:r>
        <w:rPr>
          <w:rFonts w:asciiTheme="minorHAnsi" w:hAnsiTheme="minorHAnsi"/>
          <w:szCs w:val="20"/>
        </w:rPr>
        <w:t xml:space="preserve">, the Hispanic population grew by </w:t>
      </w:r>
      <w:r w:rsidR="00362236">
        <w:rPr>
          <w:rFonts w:asciiTheme="minorHAnsi" w:hAnsiTheme="minorHAnsi"/>
          <w:szCs w:val="20"/>
        </w:rPr>
        <w:t>118% in Kent County, 78% in New Castle County, and 152% in Sussex County</w:t>
      </w:r>
      <w:r>
        <w:rPr>
          <w:rFonts w:asciiTheme="minorHAnsi" w:hAnsiTheme="minorHAnsi"/>
          <w:szCs w:val="20"/>
        </w:rPr>
        <w:t>.  In the following decade, from 20</w:t>
      </w:r>
      <w:r w:rsidR="00362236">
        <w:rPr>
          <w:rFonts w:asciiTheme="minorHAnsi" w:hAnsiTheme="minorHAnsi"/>
          <w:szCs w:val="20"/>
        </w:rPr>
        <w:t xml:space="preserve">10 </w:t>
      </w:r>
      <w:r w:rsidR="00D766FA">
        <w:rPr>
          <w:rFonts w:asciiTheme="minorHAnsi" w:hAnsiTheme="minorHAnsi"/>
          <w:szCs w:val="20"/>
        </w:rPr>
        <w:t xml:space="preserve">to </w:t>
      </w:r>
      <w:r>
        <w:rPr>
          <w:rFonts w:asciiTheme="minorHAnsi" w:hAnsiTheme="minorHAnsi"/>
          <w:szCs w:val="20"/>
        </w:rPr>
        <w:t>20</w:t>
      </w:r>
      <w:r w:rsidR="00362236">
        <w:rPr>
          <w:rFonts w:asciiTheme="minorHAnsi" w:hAnsiTheme="minorHAnsi"/>
          <w:szCs w:val="20"/>
        </w:rPr>
        <w:t>2</w:t>
      </w:r>
      <w:r>
        <w:rPr>
          <w:rFonts w:asciiTheme="minorHAnsi" w:hAnsiTheme="minorHAnsi"/>
          <w:szCs w:val="20"/>
        </w:rPr>
        <w:t xml:space="preserve">0, the Hispanic population grew by </w:t>
      </w:r>
      <w:r w:rsidR="00362236">
        <w:rPr>
          <w:rFonts w:asciiTheme="minorHAnsi" w:hAnsiTheme="minorHAnsi"/>
          <w:szCs w:val="20"/>
        </w:rPr>
        <w:t>50</w:t>
      </w:r>
      <w:r>
        <w:rPr>
          <w:rFonts w:asciiTheme="minorHAnsi" w:hAnsiTheme="minorHAnsi"/>
          <w:szCs w:val="20"/>
        </w:rPr>
        <w:t xml:space="preserve">% in Kent County, </w:t>
      </w:r>
      <w:r w:rsidR="00362236">
        <w:rPr>
          <w:rFonts w:asciiTheme="minorHAnsi" w:hAnsiTheme="minorHAnsi"/>
          <w:szCs w:val="20"/>
        </w:rPr>
        <w:t>35</w:t>
      </w:r>
      <w:r>
        <w:rPr>
          <w:rFonts w:asciiTheme="minorHAnsi" w:hAnsiTheme="minorHAnsi"/>
          <w:szCs w:val="20"/>
        </w:rPr>
        <w:t xml:space="preserve">% in New Castle County, and </w:t>
      </w:r>
      <w:r w:rsidR="00362236">
        <w:rPr>
          <w:rFonts w:asciiTheme="minorHAnsi" w:hAnsiTheme="minorHAnsi"/>
          <w:szCs w:val="20"/>
        </w:rPr>
        <w:t>58</w:t>
      </w:r>
      <w:r>
        <w:rPr>
          <w:rFonts w:asciiTheme="minorHAnsi" w:hAnsiTheme="minorHAnsi"/>
          <w:szCs w:val="20"/>
        </w:rPr>
        <w:t>% in Sussex County.</w:t>
      </w:r>
    </w:p>
    <w:p w14:paraId="7702F984" w14:textId="589DDB0B" w:rsidR="002A7213" w:rsidRPr="00CC27DB" w:rsidRDefault="002A7213" w:rsidP="002A7213">
      <w:pPr>
        <w:pStyle w:val="Caption"/>
        <w:spacing w:after="120" w:line="240" w:lineRule="auto"/>
        <w:jc w:val="center"/>
        <w:rPr>
          <w:rFonts w:asciiTheme="minorHAnsi" w:hAnsiTheme="minorHAnsi" w:cs="Arial"/>
          <w:b/>
          <w:sz w:val="22"/>
          <w:szCs w:val="22"/>
        </w:rPr>
      </w:pPr>
      <w:bookmarkStart w:id="5383" w:name="_Toc307482354"/>
      <w:r w:rsidRPr="00A64337">
        <w:rPr>
          <w:rFonts w:asciiTheme="minorHAnsi" w:hAnsiTheme="minorHAnsi"/>
          <w:b/>
          <w:sz w:val="22"/>
          <w:szCs w:val="22"/>
        </w:rPr>
        <w:t xml:space="preserve">Figure </w:t>
      </w:r>
      <w:r>
        <w:rPr>
          <w:rFonts w:asciiTheme="minorHAnsi" w:hAnsiTheme="minorHAnsi"/>
          <w:b/>
          <w:sz w:val="22"/>
          <w:szCs w:val="22"/>
        </w:rPr>
        <w:fldChar w:fldCharType="begin"/>
      </w:r>
      <w:r>
        <w:rPr>
          <w:rFonts w:asciiTheme="minorHAnsi" w:hAnsiTheme="minorHAnsi"/>
          <w:b/>
          <w:sz w:val="22"/>
          <w:szCs w:val="22"/>
        </w:rPr>
        <w:instrText xml:space="preserve"> STYLEREF 1 \s </w:instrText>
      </w:r>
      <w:r>
        <w:rPr>
          <w:rFonts w:asciiTheme="minorHAnsi" w:hAnsiTheme="minorHAnsi"/>
          <w:b/>
          <w:sz w:val="22"/>
          <w:szCs w:val="22"/>
        </w:rPr>
        <w:fldChar w:fldCharType="separate"/>
      </w:r>
      <w:r w:rsidR="006C24CC">
        <w:rPr>
          <w:rFonts w:asciiTheme="minorHAnsi" w:hAnsiTheme="minorHAnsi"/>
          <w:b/>
          <w:noProof/>
          <w:sz w:val="22"/>
          <w:szCs w:val="22"/>
        </w:rPr>
        <w:t>C</w:t>
      </w:r>
      <w:r>
        <w:rPr>
          <w:rFonts w:asciiTheme="minorHAnsi" w:hAnsiTheme="minorHAnsi"/>
          <w:b/>
          <w:sz w:val="22"/>
          <w:szCs w:val="22"/>
        </w:rPr>
        <w:fldChar w:fldCharType="end"/>
      </w:r>
      <w:r>
        <w:rPr>
          <w:rFonts w:asciiTheme="minorHAnsi" w:hAnsiTheme="minorHAnsi"/>
          <w:b/>
          <w:sz w:val="22"/>
          <w:szCs w:val="22"/>
        </w:rPr>
        <w:noBreakHyphen/>
      </w:r>
      <w:r>
        <w:rPr>
          <w:rFonts w:asciiTheme="minorHAnsi" w:hAnsiTheme="minorHAnsi"/>
          <w:b/>
          <w:sz w:val="22"/>
          <w:szCs w:val="22"/>
        </w:rPr>
        <w:fldChar w:fldCharType="begin"/>
      </w:r>
      <w:r>
        <w:rPr>
          <w:rFonts w:asciiTheme="minorHAnsi" w:hAnsiTheme="minorHAnsi"/>
          <w:b/>
          <w:sz w:val="22"/>
          <w:szCs w:val="22"/>
        </w:rPr>
        <w:instrText xml:space="preserve"> SEQ Figure \* ARABIC \s 1 </w:instrText>
      </w:r>
      <w:r>
        <w:rPr>
          <w:rFonts w:asciiTheme="minorHAnsi" w:hAnsiTheme="minorHAnsi"/>
          <w:b/>
          <w:sz w:val="22"/>
          <w:szCs w:val="22"/>
        </w:rPr>
        <w:fldChar w:fldCharType="separate"/>
      </w:r>
      <w:r w:rsidR="006C24CC">
        <w:rPr>
          <w:rFonts w:asciiTheme="minorHAnsi" w:hAnsiTheme="minorHAnsi"/>
          <w:b/>
          <w:noProof/>
          <w:sz w:val="22"/>
          <w:szCs w:val="22"/>
        </w:rPr>
        <w:t>1</w:t>
      </w:r>
      <w:r>
        <w:rPr>
          <w:rFonts w:asciiTheme="minorHAnsi" w:hAnsiTheme="minorHAnsi"/>
          <w:b/>
          <w:sz w:val="22"/>
          <w:szCs w:val="22"/>
        </w:rPr>
        <w:fldChar w:fldCharType="end"/>
      </w:r>
      <w:r w:rsidRPr="00A64337">
        <w:rPr>
          <w:rFonts w:asciiTheme="minorHAnsi" w:hAnsiTheme="minorHAnsi"/>
          <w:b/>
          <w:sz w:val="22"/>
          <w:szCs w:val="22"/>
        </w:rPr>
        <w:t xml:space="preserve">: </w:t>
      </w:r>
      <w:r w:rsidR="00AE209D" w:rsidRPr="00AE209D">
        <w:rPr>
          <w:rFonts w:asciiTheme="minorHAnsi" w:hAnsiTheme="minorHAnsi"/>
          <w:b/>
          <w:sz w:val="22"/>
          <w:szCs w:val="22"/>
        </w:rPr>
        <w:t>PERCENTAGE OF CHANGES IN HISPANIC POPULATION BY COUNTY AND DECADE</w:t>
      </w:r>
      <w:r w:rsidR="00CA378B">
        <w:rPr>
          <w:rFonts w:asciiTheme="minorHAnsi" w:hAnsiTheme="minorHAnsi"/>
          <w:b/>
          <w:sz w:val="22"/>
          <w:szCs w:val="22"/>
        </w:rPr>
        <w:t>;</w:t>
      </w:r>
      <w:r w:rsidR="00AE209D" w:rsidRPr="00AE209D">
        <w:rPr>
          <w:rFonts w:asciiTheme="minorHAnsi" w:hAnsiTheme="minorHAnsi"/>
          <w:b/>
          <w:sz w:val="22"/>
          <w:szCs w:val="22"/>
        </w:rPr>
        <w:t xml:space="preserve"> </w:t>
      </w:r>
      <w:r w:rsidR="00473AFD">
        <w:rPr>
          <w:rFonts w:asciiTheme="minorHAnsi" w:hAnsiTheme="minorHAnsi"/>
          <w:b/>
          <w:sz w:val="22"/>
          <w:szCs w:val="22"/>
        </w:rPr>
        <w:t xml:space="preserve">DELAWARE, </w:t>
      </w:r>
      <w:r w:rsidR="00AE209D" w:rsidRPr="00AE209D">
        <w:rPr>
          <w:rFonts w:asciiTheme="minorHAnsi" w:hAnsiTheme="minorHAnsi"/>
          <w:b/>
          <w:sz w:val="22"/>
          <w:szCs w:val="22"/>
        </w:rPr>
        <w:t>2000-2010</w:t>
      </w:r>
      <w:bookmarkEnd w:id="5383"/>
      <w:r w:rsidR="00362236">
        <w:rPr>
          <w:rFonts w:asciiTheme="minorHAnsi" w:hAnsiTheme="minorHAnsi"/>
          <w:b/>
          <w:sz w:val="22"/>
          <w:szCs w:val="22"/>
        </w:rPr>
        <w:t xml:space="preserve"> and 2010-2020</w:t>
      </w:r>
    </w:p>
    <w:p w14:paraId="482B3F67" w14:textId="290A422D" w:rsidR="002A7213" w:rsidRPr="00D67A92" w:rsidRDefault="00DB1926" w:rsidP="002A7213">
      <w:pPr>
        <w:widowControl w:val="0"/>
        <w:spacing w:after="0" w:line="240" w:lineRule="auto"/>
        <w:jc w:val="center"/>
        <w:rPr>
          <w:rFonts w:asciiTheme="minorHAnsi" w:hAnsiTheme="minorHAnsi" w:cs="Arial"/>
          <w:sz w:val="18"/>
          <w:szCs w:val="18"/>
        </w:rPr>
      </w:pPr>
      <w:r>
        <w:rPr>
          <w:rFonts w:asciiTheme="minorHAnsi" w:hAnsiTheme="minorHAnsi" w:cs="Arial"/>
          <w:noProof/>
          <w:sz w:val="18"/>
          <w:szCs w:val="18"/>
        </w:rPr>
        <w:drawing>
          <wp:inline distT="0" distB="0" distL="0" distR="0" wp14:anchorId="17D861DB" wp14:editId="272F2F49">
            <wp:extent cx="5067300" cy="2361439"/>
            <wp:effectExtent l="0" t="0" r="0" b="1270"/>
            <wp:docPr id="942870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093661" cy="2373724"/>
                    </a:xfrm>
                    <a:prstGeom prst="rect">
                      <a:avLst/>
                    </a:prstGeom>
                    <a:noFill/>
                  </pic:spPr>
                </pic:pic>
              </a:graphicData>
            </a:graphic>
          </wp:inline>
        </w:drawing>
      </w:r>
    </w:p>
    <w:p w14:paraId="3E2C3566" w14:textId="0B28F068" w:rsidR="002A7213" w:rsidRPr="00EA7E44" w:rsidRDefault="002A7213" w:rsidP="002A7213">
      <w:pPr>
        <w:widowControl w:val="0"/>
        <w:spacing w:after="120" w:line="240" w:lineRule="auto"/>
        <w:ind w:left="1440"/>
        <w:rPr>
          <w:rFonts w:asciiTheme="minorHAnsi" w:hAnsiTheme="minorHAnsi" w:cs="Arial"/>
          <w:i/>
          <w:sz w:val="16"/>
          <w:szCs w:val="16"/>
        </w:rPr>
      </w:pPr>
      <w:r w:rsidRPr="00EA7E44">
        <w:rPr>
          <w:rFonts w:asciiTheme="minorHAnsi" w:hAnsiTheme="minorHAnsi" w:cs="Arial"/>
          <w:i/>
          <w:sz w:val="16"/>
          <w:szCs w:val="16"/>
        </w:rPr>
        <w:t>Source: U.S. Census Bureau 20</w:t>
      </w:r>
      <w:r w:rsidR="00362236">
        <w:rPr>
          <w:rFonts w:asciiTheme="minorHAnsi" w:hAnsiTheme="minorHAnsi" w:cs="Arial"/>
          <w:i/>
          <w:sz w:val="16"/>
          <w:szCs w:val="16"/>
        </w:rPr>
        <w:t>2</w:t>
      </w:r>
      <w:r w:rsidRPr="00EA7E44">
        <w:rPr>
          <w:rFonts w:asciiTheme="minorHAnsi" w:hAnsiTheme="minorHAnsi" w:cs="Arial"/>
          <w:i/>
          <w:sz w:val="16"/>
          <w:szCs w:val="16"/>
        </w:rPr>
        <w:t xml:space="preserve">0, </w:t>
      </w:r>
      <w:hyperlink r:id="rId72" w:history="1">
        <w:r w:rsidR="00737F7E" w:rsidRPr="00EA7E44">
          <w:rPr>
            <w:rStyle w:val="Hyperlink"/>
            <w:rFonts w:asciiTheme="minorHAnsi" w:hAnsiTheme="minorHAnsi" w:cs="Arial"/>
            <w:i/>
            <w:sz w:val="16"/>
            <w:szCs w:val="16"/>
          </w:rPr>
          <w:t>https://data.census.gov/</w:t>
        </w:r>
      </w:hyperlink>
      <w:r w:rsidR="00737F7E" w:rsidRPr="00EA7E44">
        <w:rPr>
          <w:rFonts w:asciiTheme="minorHAnsi" w:hAnsiTheme="minorHAnsi" w:cs="Arial"/>
          <w:i/>
          <w:sz w:val="16"/>
          <w:szCs w:val="16"/>
        </w:rPr>
        <w:t xml:space="preserve">  </w:t>
      </w:r>
    </w:p>
    <w:p w14:paraId="410961DF" w14:textId="303106A3" w:rsidR="002A7213" w:rsidRPr="00D67A92" w:rsidRDefault="002A7213" w:rsidP="002A7213">
      <w:pPr>
        <w:spacing w:after="120" w:line="240" w:lineRule="auto"/>
        <w:rPr>
          <w:rFonts w:asciiTheme="minorHAnsi" w:hAnsiTheme="minorHAnsi" w:cs="Arial"/>
          <w:szCs w:val="20"/>
        </w:rPr>
      </w:pPr>
      <w:r w:rsidRPr="00D67A92">
        <w:rPr>
          <w:rFonts w:asciiTheme="minorHAnsi" w:hAnsiTheme="minorHAnsi" w:cs="Arial"/>
          <w:szCs w:val="20"/>
        </w:rPr>
        <w:t xml:space="preserve">Specific issues that suggest that Hispanic cancer rates </w:t>
      </w:r>
      <w:r w:rsidR="00EA7E44">
        <w:rPr>
          <w:rFonts w:asciiTheme="minorHAnsi" w:hAnsiTheme="minorHAnsi" w:cs="Arial"/>
          <w:szCs w:val="20"/>
        </w:rPr>
        <w:t>c</w:t>
      </w:r>
      <w:r w:rsidRPr="00D67A92">
        <w:rPr>
          <w:rFonts w:asciiTheme="minorHAnsi" w:hAnsiTheme="minorHAnsi" w:cs="Arial"/>
          <w:szCs w:val="20"/>
        </w:rPr>
        <w:t>ould be subject to misinterpretation are discussed below:</w:t>
      </w:r>
    </w:p>
    <w:p w14:paraId="1FFC7D5B" w14:textId="7C46B0E6" w:rsidR="002A7213" w:rsidRDefault="002A7213" w:rsidP="00B21C83">
      <w:pPr>
        <w:pStyle w:val="ListParagraph"/>
        <w:numPr>
          <w:ilvl w:val="0"/>
          <w:numId w:val="12"/>
        </w:numPr>
        <w:tabs>
          <w:tab w:val="left" w:pos="360"/>
        </w:tabs>
        <w:autoSpaceDE w:val="0"/>
        <w:autoSpaceDN w:val="0"/>
        <w:adjustRightInd w:val="0"/>
        <w:spacing w:after="120" w:line="240" w:lineRule="auto"/>
        <w:contextualSpacing w:val="0"/>
        <w:rPr>
          <w:rFonts w:asciiTheme="minorHAnsi" w:hAnsiTheme="minorHAnsi" w:cs="Arial"/>
          <w:szCs w:val="20"/>
        </w:rPr>
      </w:pPr>
      <w:r w:rsidRPr="00AA26CD">
        <w:rPr>
          <w:rFonts w:asciiTheme="minorHAnsi" w:hAnsiTheme="minorHAnsi" w:cs="Arial"/>
          <w:b/>
          <w:bCs/>
          <w:iCs/>
          <w:szCs w:val="20"/>
        </w:rPr>
        <w:t xml:space="preserve">Uncertain estimate of Delaware’s Hispanic population — </w:t>
      </w:r>
      <w:r w:rsidRPr="00AA26CD">
        <w:rPr>
          <w:rFonts w:asciiTheme="minorHAnsi" w:hAnsiTheme="minorHAnsi" w:cs="Arial"/>
          <w:szCs w:val="20"/>
        </w:rPr>
        <w:t>Estimates of Delaware’s population are derived from the census performed every 10 y</w:t>
      </w:r>
      <w:r w:rsidR="004950AA">
        <w:rPr>
          <w:rFonts w:asciiTheme="minorHAnsi" w:hAnsiTheme="minorHAnsi" w:cs="Arial"/>
          <w:szCs w:val="20"/>
        </w:rPr>
        <w:t>ears by the U.S. Census Bureau and a</w:t>
      </w:r>
      <w:r w:rsidRPr="00AA26CD">
        <w:rPr>
          <w:rFonts w:asciiTheme="minorHAnsi" w:hAnsiTheme="minorHAnsi" w:cs="Arial"/>
          <w:szCs w:val="20"/>
        </w:rPr>
        <w:t xml:space="preserve"> final adjustment based on projections from the U.S. Census Bureau as to the overall rate of growth for the Hispanic population in both the state and the nation. </w:t>
      </w:r>
    </w:p>
    <w:p w14:paraId="3461E1A1" w14:textId="2B2B6EF9" w:rsidR="002A7213" w:rsidRPr="00D67A92" w:rsidRDefault="002A7213" w:rsidP="00B21C83">
      <w:pPr>
        <w:numPr>
          <w:ilvl w:val="0"/>
          <w:numId w:val="14"/>
        </w:numPr>
        <w:spacing w:after="120" w:line="240" w:lineRule="auto"/>
        <w:rPr>
          <w:rFonts w:asciiTheme="minorHAnsi" w:hAnsiTheme="minorHAnsi" w:cs="Arial"/>
          <w:color w:val="000000"/>
          <w:szCs w:val="20"/>
        </w:rPr>
      </w:pPr>
      <w:r w:rsidRPr="00D67A92">
        <w:rPr>
          <w:rFonts w:asciiTheme="minorHAnsi" w:hAnsiTheme="minorHAnsi" w:cs="Arial"/>
          <w:b/>
          <w:bCs/>
          <w:iCs/>
          <w:color w:val="000000"/>
          <w:szCs w:val="20"/>
        </w:rPr>
        <w:t xml:space="preserve">Inaccurate recording of Hispanic ethnicity on death certificates — </w:t>
      </w:r>
      <w:r w:rsidRPr="00D67A92">
        <w:rPr>
          <w:rFonts w:asciiTheme="minorHAnsi" w:hAnsiTheme="minorHAnsi" w:cs="Arial"/>
          <w:color w:val="000000"/>
          <w:szCs w:val="20"/>
        </w:rPr>
        <w:t xml:space="preserve">Race and Hispanic origin are treated as distinct categories and reported separately on death certificates and to the </w:t>
      </w:r>
      <w:r w:rsidR="00BE0121">
        <w:rPr>
          <w:rFonts w:asciiTheme="minorHAnsi" w:hAnsiTheme="minorHAnsi" w:cs="Arial"/>
          <w:color w:val="000000"/>
          <w:szCs w:val="20"/>
        </w:rPr>
        <w:t>D</w:t>
      </w:r>
      <w:r w:rsidR="000B56BB">
        <w:rPr>
          <w:rFonts w:asciiTheme="minorHAnsi" w:hAnsiTheme="minorHAnsi" w:cs="Arial"/>
          <w:color w:val="000000"/>
          <w:szCs w:val="20"/>
        </w:rPr>
        <w:t>elaware Cancer Registry</w:t>
      </w:r>
      <w:r w:rsidRPr="00D67A92">
        <w:rPr>
          <w:rFonts w:asciiTheme="minorHAnsi" w:hAnsiTheme="minorHAnsi" w:cs="Arial"/>
          <w:color w:val="000000"/>
          <w:szCs w:val="20"/>
        </w:rPr>
        <w:t xml:space="preserve">, in accordance with guidelines from the federal Office of Management and Budget. </w:t>
      </w:r>
      <w:r w:rsidR="004950AA">
        <w:rPr>
          <w:rFonts w:asciiTheme="minorHAnsi" w:hAnsiTheme="minorHAnsi" w:cs="Arial"/>
          <w:color w:val="000000"/>
          <w:szCs w:val="20"/>
        </w:rPr>
        <w:t xml:space="preserve"> </w:t>
      </w:r>
      <w:r w:rsidRPr="00D67A92">
        <w:rPr>
          <w:rFonts w:asciiTheme="minorHAnsi" w:hAnsiTheme="minorHAnsi" w:cs="Arial"/>
          <w:color w:val="000000"/>
          <w:szCs w:val="20"/>
        </w:rPr>
        <w:t xml:space="preserve">However, it is possible that Hispanic race is under-reported both in the cancer registry and on death certificates. </w:t>
      </w:r>
    </w:p>
    <w:p w14:paraId="2A19A19A" w14:textId="64FE5C79" w:rsidR="002A7213" w:rsidRPr="00D67A92" w:rsidRDefault="002A7213" w:rsidP="00B21C83">
      <w:pPr>
        <w:numPr>
          <w:ilvl w:val="0"/>
          <w:numId w:val="14"/>
        </w:numPr>
        <w:spacing w:after="120" w:line="240" w:lineRule="auto"/>
        <w:rPr>
          <w:rFonts w:asciiTheme="minorHAnsi" w:hAnsiTheme="minorHAnsi" w:cs="Arial"/>
          <w:color w:val="000000"/>
          <w:szCs w:val="20"/>
        </w:rPr>
      </w:pPr>
      <w:r w:rsidRPr="00D67A92">
        <w:rPr>
          <w:rFonts w:asciiTheme="minorHAnsi" w:hAnsiTheme="minorHAnsi" w:cs="Arial"/>
          <w:b/>
          <w:szCs w:val="20"/>
        </w:rPr>
        <w:t xml:space="preserve">Hispanic </w:t>
      </w:r>
      <w:r w:rsidR="00BE0121">
        <w:rPr>
          <w:rFonts w:asciiTheme="minorHAnsi" w:hAnsiTheme="minorHAnsi" w:cs="Arial"/>
          <w:b/>
          <w:szCs w:val="20"/>
        </w:rPr>
        <w:t>i</w:t>
      </w:r>
      <w:r w:rsidRPr="00D67A92">
        <w:rPr>
          <w:rFonts w:asciiTheme="minorHAnsi" w:hAnsiTheme="minorHAnsi" w:cs="Arial"/>
          <w:b/>
          <w:szCs w:val="20"/>
        </w:rPr>
        <w:t>dentification in the Delaware Cancer Registry data</w:t>
      </w:r>
      <w:r w:rsidRPr="00D67A92">
        <w:rPr>
          <w:rFonts w:asciiTheme="minorHAnsi" w:hAnsiTheme="minorHAnsi" w:cs="Arial"/>
          <w:szCs w:val="20"/>
        </w:rPr>
        <w:t xml:space="preserve"> </w:t>
      </w:r>
      <w:r w:rsidRPr="00D67A92">
        <w:rPr>
          <w:rFonts w:asciiTheme="minorHAnsi" w:hAnsiTheme="minorHAnsi" w:cs="Arial"/>
          <w:b/>
          <w:bCs/>
          <w:iCs/>
          <w:color w:val="000000"/>
          <w:szCs w:val="20"/>
        </w:rPr>
        <w:t>—</w:t>
      </w:r>
      <w:r w:rsidRPr="00D67A92">
        <w:rPr>
          <w:rFonts w:asciiTheme="minorHAnsi" w:hAnsiTheme="minorHAnsi" w:cs="Arial"/>
          <w:szCs w:val="20"/>
        </w:rPr>
        <w:t xml:space="preserve"> </w:t>
      </w:r>
      <w:r w:rsidR="00105926">
        <w:rPr>
          <w:rFonts w:asciiTheme="minorHAnsi" w:hAnsiTheme="minorHAnsi" w:cs="Arial"/>
          <w:szCs w:val="20"/>
        </w:rPr>
        <w:t>The North American Association of Central Cancer Registries (</w:t>
      </w:r>
      <w:r w:rsidRPr="00D67A92">
        <w:rPr>
          <w:rFonts w:asciiTheme="minorHAnsi" w:hAnsiTheme="minorHAnsi" w:cs="Arial"/>
          <w:szCs w:val="20"/>
        </w:rPr>
        <w:t>NAACCR</w:t>
      </w:r>
      <w:r w:rsidR="00105926">
        <w:rPr>
          <w:rFonts w:asciiTheme="minorHAnsi" w:hAnsiTheme="minorHAnsi" w:cs="Arial"/>
          <w:szCs w:val="20"/>
        </w:rPr>
        <w:t>)</w:t>
      </w:r>
      <w:r w:rsidRPr="00D67A92">
        <w:rPr>
          <w:rFonts w:asciiTheme="minorHAnsi" w:hAnsiTheme="minorHAnsi" w:cs="Arial"/>
          <w:szCs w:val="20"/>
        </w:rPr>
        <w:t xml:space="preserve"> convened an </w:t>
      </w:r>
      <w:r w:rsidR="00BE0121">
        <w:rPr>
          <w:rFonts w:asciiTheme="minorHAnsi" w:hAnsiTheme="minorHAnsi" w:cs="Arial"/>
          <w:szCs w:val="20"/>
        </w:rPr>
        <w:t>e</w:t>
      </w:r>
      <w:r w:rsidRPr="00D67A92">
        <w:rPr>
          <w:rFonts w:asciiTheme="minorHAnsi" w:hAnsiTheme="minorHAnsi" w:cs="Arial"/>
          <w:szCs w:val="20"/>
        </w:rPr>
        <w:t>xpert</w:t>
      </w:r>
      <w:r>
        <w:rPr>
          <w:rFonts w:asciiTheme="minorHAnsi" w:hAnsiTheme="minorHAnsi" w:cs="Arial"/>
          <w:szCs w:val="20"/>
        </w:rPr>
        <w:t xml:space="preserve"> </w:t>
      </w:r>
      <w:r w:rsidR="00BE0121">
        <w:rPr>
          <w:rFonts w:asciiTheme="minorHAnsi" w:hAnsiTheme="minorHAnsi" w:cs="Arial"/>
          <w:szCs w:val="20"/>
        </w:rPr>
        <w:t>p</w:t>
      </w:r>
      <w:r w:rsidRPr="00D67A92">
        <w:rPr>
          <w:rFonts w:asciiTheme="minorHAnsi" w:hAnsiTheme="minorHAnsi" w:cs="Arial"/>
          <w:szCs w:val="20"/>
        </w:rPr>
        <w:t>anel in 2001 to develop a best practices approach to Hispanic identification.</w:t>
      </w:r>
      <w:r w:rsidR="00191E0D">
        <w:rPr>
          <w:rFonts w:asciiTheme="minorHAnsi" w:hAnsiTheme="minorHAnsi" w:cs="Arial"/>
          <w:szCs w:val="20"/>
        </w:rPr>
        <w:t xml:space="preserve"> </w:t>
      </w:r>
      <w:r w:rsidRPr="00D67A92">
        <w:rPr>
          <w:rFonts w:asciiTheme="minorHAnsi" w:hAnsiTheme="minorHAnsi" w:cs="Arial"/>
          <w:szCs w:val="20"/>
        </w:rPr>
        <w:t xml:space="preserve"> </w:t>
      </w:r>
      <w:r>
        <w:rPr>
          <w:rFonts w:asciiTheme="minorHAnsi" w:hAnsiTheme="minorHAnsi" w:cs="Arial"/>
          <w:szCs w:val="20"/>
        </w:rPr>
        <w:t xml:space="preserve">In the resulting approach </w:t>
      </w:r>
      <w:r w:rsidRPr="00D67A92">
        <w:rPr>
          <w:rFonts w:asciiTheme="minorHAnsi" w:hAnsiTheme="minorHAnsi" w:cs="Arial"/>
          <w:szCs w:val="20"/>
        </w:rPr>
        <w:t xml:space="preserve">to enhance Hispanic identification, the NAACCR Hispanic Identification Algorithm (NHIA) was computerized and released for use by central cancer registries in 2003. </w:t>
      </w:r>
      <w:r w:rsidR="00191E0D">
        <w:rPr>
          <w:rFonts w:asciiTheme="minorHAnsi" w:hAnsiTheme="minorHAnsi" w:cs="Arial"/>
          <w:szCs w:val="20"/>
        </w:rPr>
        <w:t xml:space="preserve"> </w:t>
      </w:r>
      <w:r>
        <w:rPr>
          <w:rFonts w:asciiTheme="minorHAnsi" w:hAnsiTheme="minorHAnsi" w:cs="Arial"/>
          <w:szCs w:val="20"/>
        </w:rPr>
        <w:t xml:space="preserve">In this report, </w:t>
      </w:r>
      <w:r w:rsidRPr="00D67A92">
        <w:rPr>
          <w:rFonts w:asciiTheme="minorHAnsi" w:hAnsiTheme="minorHAnsi" w:cs="Arial"/>
          <w:szCs w:val="20"/>
        </w:rPr>
        <w:t xml:space="preserve">NHIA is used </w:t>
      </w:r>
      <w:r w:rsidR="00BE0121">
        <w:rPr>
          <w:rFonts w:asciiTheme="minorHAnsi" w:hAnsiTheme="minorHAnsi" w:cs="Arial"/>
          <w:szCs w:val="20"/>
        </w:rPr>
        <w:t xml:space="preserve">to </w:t>
      </w:r>
      <w:r w:rsidRPr="00D67A92">
        <w:rPr>
          <w:rFonts w:asciiTheme="minorHAnsi" w:hAnsiTheme="minorHAnsi" w:cs="Arial"/>
          <w:szCs w:val="20"/>
        </w:rPr>
        <w:t>identif</w:t>
      </w:r>
      <w:r>
        <w:rPr>
          <w:rFonts w:asciiTheme="minorHAnsi" w:hAnsiTheme="minorHAnsi" w:cs="Arial"/>
          <w:szCs w:val="20"/>
        </w:rPr>
        <w:t xml:space="preserve">y Delawareans </w:t>
      </w:r>
      <w:r w:rsidRPr="00D67A92">
        <w:rPr>
          <w:rFonts w:asciiTheme="minorHAnsi" w:hAnsiTheme="minorHAnsi" w:cs="Arial"/>
          <w:szCs w:val="20"/>
        </w:rPr>
        <w:t xml:space="preserve">of Hispanic </w:t>
      </w:r>
      <w:r>
        <w:rPr>
          <w:rFonts w:asciiTheme="minorHAnsi" w:hAnsiTheme="minorHAnsi" w:cs="Arial"/>
          <w:szCs w:val="20"/>
        </w:rPr>
        <w:t>o</w:t>
      </w:r>
      <w:r w:rsidRPr="00D67A92">
        <w:rPr>
          <w:rFonts w:asciiTheme="minorHAnsi" w:hAnsiTheme="minorHAnsi" w:cs="Arial"/>
          <w:szCs w:val="20"/>
        </w:rPr>
        <w:t xml:space="preserve">rigin. </w:t>
      </w:r>
      <w:r w:rsidR="00191E0D">
        <w:rPr>
          <w:rFonts w:asciiTheme="minorHAnsi" w:hAnsiTheme="minorHAnsi" w:cs="Arial"/>
          <w:szCs w:val="20"/>
        </w:rPr>
        <w:t xml:space="preserve"> </w:t>
      </w:r>
      <w:r>
        <w:rPr>
          <w:rFonts w:asciiTheme="minorHAnsi" w:hAnsiTheme="minorHAnsi" w:cs="Arial"/>
          <w:szCs w:val="20"/>
        </w:rPr>
        <w:t xml:space="preserve">To minimize </w:t>
      </w:r>
      <w:r>
        <w:rPr>
          <w:rFonts w:asciiTheme="minorHAnsi" w:hAnsiTheme="minorHAnsi" w:cs="Arial"/>
          <w:szCs w:val="20"/>
        </w:rPr>
        <w:lastRenderedPageBreak/>
        <w:t>misclassification, t</w:t>
      </w:r>
      <w:r w:rsidRPr="00D67A92">
        <w:rPr>
          <w:rFonts w:asciiTheme="minorHAnsi" w:hAnsiTheme="minorHAnsi" w:cs="Arial"/>
          <w:szCs w:val="20"/>
        </w:rPr>
        <w:t>he expert panel continues to evaluate</w:t>
      </w:r>
      <w:r w:rsidR="00F9309E">
        <w:rPr>
          <w:rFonts w:asciiTheme="minorHAnsi" w:hAnsiTheme="minorHAnsi" w:cs="Arial"/>
          <w:szCs w:val="20"/>
        </w:rPr>
        <w:t xml:space="preserve"> the </w:t>
      </w:r>
      <w:r w:rsidRPr="00D67A92">
        <w:rPr>
          <w:rFonts w:asciiTheme="minorHAnsi" w:hAnsiTheme="minorHAnsi" w:cs="Arial"/>
          <w:szCs w:val="20"/>
        </w:rPr>
        <w:t xml:space="preserve">NHIA </w:t>
      </w:r>
      <w:r>
        <w:rPr>
          <w:rFonts w:asciiTheme="minorHAnsi" w:hAnsiTheme="minorHAnsi" w:cs="Arial"/>
          <w:szCs w:val="20"/>
        </w:rPr>
        <w:t xml:space="preserve">while </w:t>
      </w:r>
      <w:r w:rsidRPr="00D67A92">
        <w:rPr>
          <w:rFonts w:asciiTheme="minorHAnsi" w:hAnsiTheme="minorHAnsi" w:cs="Arial"/>
          <w:szCs w:val="20"/>
        </w:rPr>
        <w:t xml:space="preserve">considering the possibility of </w:t>
      </w:r>
      <w:r w:rsidR="00BE0121">
        <w:rPr>
          <w:rFonts w:asciiTheme="minorHAnsi" w:hAnsiTheme="minorHAnsi" w:cs="Arial"/>
          <w:szCs w:val="20"/>
        </w:rPr>
        <w:t xml:space="preserve">the </w:t>
      </w:r>
      <w:r w:rsidRPr="00D67A92">
        <w:rPr>
          <w:rFonts w:asciiTheme="minorHAnsi" w:hAnsiTheme="minorHAnsi" w:cs="Arial"/>
          <w:szCs w:val="20"/>
        </w:rPr>
        <w:t>under- or over-estimation of Hispanic cancer incidence.</w:t>
      </w:r>
    </w:p>
    <w:p w14:paraId="345948B1" w14:textId="7275694E" w:rsidR="002A7213" w:rsidRPr="00D67A92" w:rsidRDefault="002A7213" w:rsidP="00B21C83">
      <w:pPr>
        <w:numPr>
          <w:ilvl w:val="0"/>
          <w:numId w:val="14"/>
        </w:numPr>
        <w:spacing w:after="120" w:line="240" w:lineRule="auto"/>
        <w:rPr>
          <w:rFonts w:asciiTheme="minorHAnsi" w:hAnsiTheme="minorHAnsi" w:cs="Arial"/>
          <w:color w:val="000000"/>
          <w:szCs w:val="20"/>
        </w:rPr>
      </w:pPr>
      <w:r w:rsidRPr="00D67A92">
        <w:rPr>
          <w:rFonts w:asciiTheme="minorHAnsi" w:hAnsiTheme="minorHAnsi" w:cs="Arial"/>
          <w:b/>
          <w:bCs/>
          <w:iCs/>
          <w:color w:val="000000"/>
          <w:szCs w:val="20"/>
        </w:rPr>
        <w:t xml:space="preserve">Small number of cases or deaths and small population sizes — </w:t>
      </w:r>
      <w:r w:rsidRPr="00D67A92">
        <w:rPr>
          <w:rFonts w:asciiTheme="minorHAnsi" w:hAnsiTheme="minorHAnsi" w:cs="Arial"/>
          <w:color w:val="000000"/>
          <w:szCs w:val="20"/>
        </w:rPr>
        <w:t xml:space="preserve">An incidence or mortality rate is an estimate, and the reliability of estimates can be measured by calculating a confidence interval. </w:t>
      </w:r>
      <w:r w:rsidR="00191E0D">
        <w:rPr>
          <w:rFonts w:asciiTheme="minorHAnsi" w:hAnsiTheme="minorHAnsi" w:cs="Arial"/>
          <w:color w:val="000000"/>
          <w:szCs w:val="20"/>
        </w:rPr>
        <w:t xml:space="preserve"> </w:t>
      </w:r>
      <w:r w:rsidRPr="00D67A92">
        <w:rPr>
          <w:rFonts w:asciiTheme="minorHAnsi" w:hAnsiTheme="minorHAnsi" w:cs="Arial"/>
          <w:color w:val="000000"/>
          <w:szCs w:val="20"/>
        </w:rPr>
        <w:t>A narrow confidence interval suggests that the rate is a good estimate; a wide confidence interval suggests that</w:t>
      </w:r>
      <w:r>
        <w:rPr>
          <w:rFonts w:asciiTheme="minorHAnsi" w:hAnsiTheme="minorHAnsi" w:cs="Arial"/>
          <w:color w:val="000000"/>
          <w:szCs w:val="20"/>
        </w:rPr>
        <w:t xml:space="preserve"> </w:t>
      </w:r>
      <w:r w:rsidRPr="00D67A92">
        <w:rPr>
          <w:rFonts w:asciiTheme="minorHAnsi" w:hAnsiTheme="minorHAnsi" w:cs="Arial"/>
          <w:color w:val="000000"/>
          <w:szCs w:val="20"/>
        </w:rPr>
        <w:t xml:space="preserve">the rate should be interpreted with caution. </w:t>
      </w:r>
      <w:r w:rsidR="00191E0D">
        <w:rPr>
          <w:rFonts w:asciiTheme="minorHAnsi" w:hAnsiTheme="minorHAnsi" w:cs="Arial"/>
          <w:color w:val="000000"/>
          <w:szCs w:val="20"/>
        </w:rPr>
        <w:t xml:space="preserve"> </w:t>
      </w:r>
      <w:r w:rsidRPr="00D67A92">
        <w:rPr>
          <w:rFonts w:asciiTheme="minorHAnsi" w:hAnsiTheme="minorHAnsi" w:cs="Arial"/>
          <w:color w:val="000000"/>
          <w:szCs w:val="20"/>
        </w:rPr>
        <w:t xml:space="preserve">If the </w:t>
      </w:r>
      <w:r w:rsidRPr="00D67A92">
        <w:rPr>
          <w:rFonts w:asciiTheme="minorHAnsi" w:hAnsiTheme="minorHAnsi" w:cs="Arial"/>
          <w:szCs w:val="20"/>
        </w:rPr>
        <w:t>confidence</w:t>
      </w:r>
      <w:r w:rsidRPr="00D67A92">
        <w:rPr>
          <w:rFonts w:asciiTheme="minorHAnsi" w:hAnsiTheme="minorHAnsi" w:cs="Arial"/>
          <w:color w:val="000000"/>
          <w:szCs w:val="20"/>
        </w:rPr>
        <w:t xml:space="preserve"> intervals of two rates do not overlap, the rates are considered to be statistically different. </w:t>
      </w:r>
      <w:r w:rsidR="00191E0D">
        <w:rPr>
          <w:rFonts w:asciiTheme="minorHAnsi" w:hAnsiTheme="minorHAnsi" w:cs="Arial"/>
          <w:color w:val="000000"/>
          <w:szCs w:val="20"/>
        </w:rPr>
        <w:t xml:space="preserve"> </w:t>
      </w:r>
      <w:r w:rsidRPr="00D67A92">
        <w:rPr>
          <w:rFonts w:asciiTheme="minorHAnsi" w:hAnsiTheme="minorHAnsi" w:cs="Arial"/>
          <w:color w:val="000000"/>
          <w:szCs w:val="20"/>
        </w:rPr>
        <w:t xml:space="preserve">Both the size of the numerator (the number of cases or deaths) and </w:t>
      </w:r>
      <w:r>
        <w:rPr>
          <w:rFonts w:asciiTheme="minorHAnsi" w:hAnsiTheme="minorHAnsi" w:cs="Arial"/>
          <w:color w:val="000000"/>
          <w:szCs w:val="20"/>
        </w:rPr>
        <w:t xml:space="preserve">the </w:t>
      </w:r>
      <w:r w:rsidRPr="00D67A92">
        <w:rPr>
          <w:rFonts w:asciiTheme="minorHAnsi" w:hAnsiTheme="minorHAnsi" w:cs="Arial"/>
          <w:color w:val="000000"/>
          <w:szCs w:val="20"/>
        </w:rPr>
        <w:t xml:space="preserve">size of the denominator (the population) determine the width of the confidence interval. </w:t>
      </w:r>
      <w:r w:rsidR="00191E0D">
        <w:rPr>
          <w:rFonts w:asciiTheme="minorHAnsi" w:hAnsiTheme="minorHAnsi" w:cs="Arial"/>
          <w:color w:val="000000"/>
          <w:szCs w:val="20"/>
        </w:rPr>
        <w:t xml:space="preserve"> </w:t>
      </w:r>
      <w:r w:rsidRPr="00D67A92">
        <w:rPr>
          <w:rFonts w:asciiTheme="minorHAnsi" w:hAnsiTheme="minorHAnsi" w:cs="Arial"/>
          <w:color w:val="000000"/>
          <w:szCs w:val="20"/>
        </w:rPr>
        <w:t>Typically, researchers report 95</w:t>
      </w:r>
      <w:r w:rsidR="009E7832">
        <w:rPr>
          <w:rFonts w:asciiTheme="minorHAnsi" w:hAnsiTheme="minorHAnsi" w:cs="Arial"/>
          <w:color w:val="000000"/>
          <w:szCs w:val="20"/>
        </w:rPr>
        <w:t>%</w:t>
      </w:r>
      <w:r>
        <w:rPr>
          <w:rFonts w:asciiTheme="minorHAnsi" w:hAnsiTheme="minorHAnsi" w:cs="Arial"/>
          <w:color w:val="000000"/>
          <w:szCs w:val="20"/>
        </w:rPr>
        <w:t xml:space="preserve"> </w:t>
      </w:r>
      <w:r w:rsidRPr="00D67A92">
        <w:rPr>
          <w:rFonts w:asciiTheme="minorHAnsi" w:hAnsiTheme="minorHAnsi" w:cs="Arial"/>
          <w:color w:val="000000"/>
          <w:szCs w:val="20"/>
        </w:rPr>
        <w:t xml:space="preserve">confidence intervals. </w:t>
      </w:r>
      <w:r w:rsidR="00890AD8">
        <w:rPr>
          <w:rFonts w:asciiTheme="minorHAnsi" w:hAnsiTheme="minorHAnsi" w:cs="Arial"/>
          <w:color w:val="000000"/>
          <w:szCs w:val="20"/>
        </w:rPr>
        <w:t xml:space="preserve"> </w:t>
      </w:r>
      <w:r w:rsidRPr="00D67A92">
        <w:rPr>
          <w:rFonts w:asciiTheme="minorHAnsi" w:hAnsiTheme="minorHAnsi" w:cs="Arial"/>
          <w:szCs w:val="20"/>
        </w:rPr>
        <w:t>When constructed properly, a 95</w:t>
      </w:r>
      <w:r w:rsidR="009E7832">
        <w:rPr>
          <w:rFonts w:asciiTheme="minorHAnsi" w:hAnsiTheme="minorHAnsi" w:cs="Arial"/>
          <w:szCs w:val="20"/>
        </w:rPr>
        <w:t>%</w:t>
      </w:r>
      <w:r w:rsidRPr="00D67A92">
        <w:rPr>
          <w:rFonts w:asciiTheme="minorHAnsi" w:hAnsiTheme="minorHAnsi" w:cs="Arial"/>
          <w:szCs w:val="20"/>
        </w:rPr>
        <w:t xml:space="preserve"> confidence interval includes the true cancer rate 95</w:t>
      </w:r>
      <w:r w:rsidR="009E7832">
        <w:rPr>
          <w:rFonts w:asciiTheme="minorHAnsi" w:hAnsiTheme="minorHAnsi" w:cs="Arial"/>
          <w:szCs w:val="20"/>
        </w:rPr>
        <w:t>%</w:t>
      </w:r>
      <w:r w:rsidRPr="00D67A92">
        <w:rPr>
          <w:rFonts w:asciiTheme="minorHAnsi" w:hAnsiTheme="minorHAnsi" w:cs="Arial"/>
          <w:szCs w:val="20"/>
        </w:rPr>
        <w:t xml:space="preserve"> of the time.</w:t>
      </w:r>
    </w:p>
    <w:p w14:paraId="61E15447" w14:textId="77777777" w:rsidR="004B1222" w:rsidRPr="00E778EA" w:rsidRDefault="004B1222" w:rsidP="004B1222">
      <w:pPr>
        <w:pStyle w:val="Heading1"/>
        <w:rPr>
          <w:rFonts w:asciiTheme="minorHAnsi" w:hAnsiTheme="minorHAnsi" w:cstheme="minorHAnsi"/>
        </w:rPr>
      </w:pPr>
      <w:bookmarkStart w:id="5384" w:name="_Toc451778429"/>
      <w:bookmarkStart w:id="5385" w:name="_Toc179276356"/>
      <w:bookmarkStart w:id="5386" w:name="_Toc451764696"/>
      <w:bookmarkStart w:id="5387" w:name="_Toc451778430"/>
      <w:bookmarkStart w:id="5388" w:name="_Toc486839572"/>
      <w:bookmarkStart w:id="5389" w:name="_Toc84256570"/>
      <w:bookmarkEnd w:id="5384"/>
      <w:r w:rsidRPr="00E778EA">
        <w:rPr>
          <w:rFonts w:asciiTheme="minorHAnsi" w:hAnsiTheme="minorHAnsi" w:cstheme="minorHAnsi"/>
        </w:rPr>
        <w:lastRenderedPageBreak/>
        <w:t>Appendix D: Early Detection</w:t>
      </w:r>
      <w:bookmarkEnd w:id="5385"/>
    </w:p>
    <w:p w14:paraId="1C6B0947" w14:textId="77777777" w:rsidR="004B1222" w:rsidRPr="005360B8" w:rsidRDefault="004B1222" w:rsidP="00E01C9E">
      <w:pPr>
        <w:pStyle w:val="Heading2"/>
      </w:pPr>
      <w:r w:rsidRPr="005360B8">
        <w:t>Female Breast cancer Screening Recommendations</w:t>
      </w:r>
    </w:p>
    <w:p w14:paraId="514FA855" w14:textId="1D94F11B" w:rsidR="004B1222" w:rsidRPr="005360B8" w:rsidRDefault="004B1222" w:rsidP="004B1222">
      <w:pPr>
        <w:spacing w:after="120" w:line="240" w:lineRule="auto"/>
        <w:rPr>
          <w:rFonts w:asciiTheme="minorHAnsi" w:hAnsiTheme="minorHAnsi"/>
        </w:rPr>
      </w:pPr>
      <w:r w:rsidRPr="005360B8">
        <w:rPr>
          <w:rFonts w:asciiTheme="minorHAnsi" w:hAnsiTheme="minorHAnsi"/>
        </w:rPr>
        <w:t>A s</w:t>
      </w:r>
      <w:r w:rsidRPr="005360B8">
        <w:rPr>
          <w:rFonts w:asciiTheme="minorHAnsi" w:hAnsiTheme="minorHAnsi"/>
          <w:iCs/>
        </w:rPr>
        <w:t>creening</w:t>
      </w:r>
      <w:r w:rsidRPr="005360B8">
        <w:rPr>
          <w:rFonts w:asciiTheme="minorHAnsi" w:hAnsiTheme="minorHAnsi"/>
        </w:rPr>
        <w:t xml:space="preserve"> mammogram (x-ray of the breast) is used to detect breast disease in females who appear to have no breast problems.  F</w:t>
      </w:r>
      <w:r w:rsidRPr="005360B8">
        <w:rPr>
          <w:rFonts w:asciiTheme="minorHAnsi" w:hAnsiTheme="minorHAnsi"/>
          <w:bCs/>
          <w:kern w:val="36"/>
        </w:rPr>
        <w:t>or early breast cancer detection in females without breast symptoms, t</w:t>
      </w:r>
      <w:r w:rsidRPr="005360B8">
        <w:rPr>
          <w:rFonts w:asciiTheme="minorHAnsi" w:hAnsiTheme="minorHAnsi"/>
        </w:rPr>
        <w:t xml:space="preserve">he </w:t>
      </w:r>
      <w:r w:rsidRPr="00FE308C">
        <w:rPr>
          <w:rFonts w:asciiTheme="minorHAnsi" w:eastAsia="Times New Roman" w:hAnsiTheme="minorHAnsi" w:cstheme="minorHAnsi"/>
          <w:color w:val="000000"/>
        </w:rPr>
        <w:t xml:space="preserve">Delaware Cancer Consortium (DCC) </w:t>
      </w:r>
      <w:r w:rsidRPr="005360B8">
        <w:rPr>
          <w:rFonts w:asciiTheme="minorHAnsi" w:hAnsiTheme="minorHAnsi"/>
        </w:rPr>
        <w:t>recommends that:</w:t>
      </w:r>
      <w:r w:rsidRPr="005360B8">
        <w:rPr>
          <w:rFonts w:asciiTheme="minorHAnsi" w:hAnsiTheme="minorHAnsi"/>
          <w:vertAlign w:val="superscript"/>
        </w:rPr>
        <w:fldChar w:fldCharType="begin"/>
      </w:r>
      <w:r w:rsidRPr="005360B8">
        <w:rPr>
          <w:rFonts w:asciiTheme="minorHAnsi" w:hAnsiTheme="minorHAnsi"/>
          <w:vertAlign w:val="superscript"/>
        </w:rPr>
        <w:instrText xml:space="preserve"> NOTEREF _Ref445816771 \h  \* MERGEFORMAT </w:instrText>
      </w:r>
      <w:r w:rsidRPr="005360B8">
        <w:rPr>
          <w:rFonts w:asciiTheme="minorHAnsi" w:hAnsiTheme="minorHAnsi"/>
          <w:vertAlign w:val="superscript"/>
        </w:rPr>
      </w:r>
      <w:r w:rsidRPr="005360B8">
        <w:rPr>
          <w:rFonts w:asciiTheme="minorHAnsi" w:hAnsiTheme="minorHAnsi"/>
          <w:vertAlign w:val="superscript"/>
        </w:rPr>
        <w:fldChar w:fldCharType="separate"/>
      </w:r>
      <w:r w:rsidR="006C24CC">
        <w:rPr>
          <w:rFonts w:asciiTheme="minorHAnsi" w:hAnsiTheme="minorHAnsi"/>
          <w:vertAlign w:val="superscript"/>
        </w:rPr>
        <w:t>36</w:t>
      </w:r>
      <w:r w:rsidRPr="005360B8">
        <w:rPr>
          <w:rFonts w:asciiTheme="minorHAnsi" w:hAnsiTheme="minorHAnsi"/>
          <w:vertAlign w:val="superscript"/>
        </w:rPr>
        <w:fldChar w:fldCharType="end"/>
      </w:r>
      <w:r w:rsidRPr="005360B8">
        <w:rPr>
          <w:rFonts w:asciiTheme="minorHAnsi" w:hAnsiTheme="minorHAnsi"/>
        </w:rPr>
        <w:t xml:space="preserve"> </w:t>
      </w:r>
    </w:p>
    <w:p w14:paraId="77F99FEA" w14:textId="77777777" w:rsidR="004B1222" w:rsidRPr="005360B8" w:rsidRDefault="004B1222" w:rsidP="004B1222">
      <w:pPr>
        <w:pStyle w:val="ListParagraph"/>
        <w:numPr>
          <w:ilvl w:val="0"/>
          <w:numId w:val="10"/>
        </w:numPr>
        <w:spacing w:after="0" w:line="240" w:lineRule="auto"/>
        <w:ind w:left="360"/>
        <w:contextualSpacing w:val="0"/>
        <w:rPr>
          <w:rFonts w:asciiTheme="minorHAnsi" w:hAnsiTheme="minorHAnsi"/>
        </w:rPr>
      </w:pPr>
      <w:r w:rsidRPr="005360B8">
        <w:rPr>
          <w:rFonts w:asciiTheme="minorHAnsi" w:hAnsiTheme="minorHAnsi"/>
        </w:rPr>
        <w:t>Females 40 years of age and older should get a mammogram and clinical breast exam annually.</w:t>
      </w:r>
    </w:p>
    <w:p w14:paraId="3E78C872" w14:textId="77777777" w:rsidR="004B1222" w:rsidRPr="005360B8" w:rsidRDefault="004B1222" w:rsidP="004B1222">
      <w:pPr>
        <w:pStyle w:val="ListParagraph"/>
        <w:numPr>
          <w:ilvl w:val="0"/>
          <w:numId w:val="10"/>
        </w:numPr>
        <w:spacing w:after="120" w:line="240" w:lineRule="auto"/>
        <w:ind w:left="360"/>
        <w:contextualSpacing w:val="0"/>
        <w:rPr>
          <w:rFonts w:asciiTheme="minorHAnsi" w:hAnsiTheme="minorHAnsi"/>
        </w:rPr>
      </w:pPr>
      <w:r w:rsidRPr="005360B8">
        <w:rPr>
          <w:rFonts w:asciiTheme="minorHAnsi" w:hAnsiTheme="minorHAnsi"/>
        </w:rPr>
        <w:t xml:space="preserve">Females </w:t>
      </w:r>
      <w:r>
        <w:rPr>
          <w:rFonts w:asciiTheme="minorHAnsi" w:hAnsiTheme="minorHAnsi"/>
        </w:rPr>
        <w:t>25</w:t>
      </w:r>
      <w:r w:rsidRPr="005360B8">
        <w:rPr>
          <w:rFonts w:asciiTheme="minorHAnsi" w:hAnsiTheme="minorHAnsi"/>
        </w:rPr>
        <w:t xml:space="preserve"> years of age</w:t>
      </w:r>
      <w:r>
        <w:rPr>
          <w:rFonts w:asciiTheme="minorHAnsi" w:hAnsiTheme="minorHAnsi"/>
        </w:rPr>
        <w:t xml:space="preserve"> and older</w:t>
      </w:r>
      <w:r w:rsidRPr="005360B8">
        <w:rPr>
          <w:rFonts w:asciiTheme="minorHAnsi" w:hAnsiTheme="minorHAnsi"/>
        </w:rPr>
        <w:t xml:space="preserve"> should get a clinical breast exam annually.</w:t>
      </w:r>
    </w:p>
    <w:p w14:paraId="3AAEA1BE" w14:textId="60E0829D" w:rsidR="004B1222" w:rsidRDefault="004B1222" w:rsidP="00AA53A0">
      <w:pPr>
        <w:spacing w:after="0" w:line="240" w:lineRule="auto"/>
        <w:rPr>
          <w:rFonts w:asciiTheme="minorHAnsi" w:hAnsiTheme="minorHAnsi"/>
        </w:rPr>
      </w:pPr>
      <w:bookmarkStart w:id="5390" w:name="_Ref445816771"/>
      <w:r>
        <w:rPr>
          <w:rFonts w:asciiTheme="minorHAnsi" w:hAnsiTheme="minorHAnsi"/>
        </w:rPr>
        <w:t>The American Cancer Society suggests females are aware how her breast feel and look.  If changes occur, these changes should be reported to her health care provider</w:t>
      </w:r>
      <w:r w:rsidR="00C17B3D">
        <w:rPr>
          <w:rFonts w:asciiTheme="minorHAnsi" w:hAnsiTheme="minorHAnsi"/>
        </w:rPr>
        <w:t>.</w:t>
      </w:r>
      <w:r w:rsidRPr="005360B8">
        <w:rPr>
          <w:rStyle w:val="FootnoteReference"/>
          <w:rFonts w:asciiTheme="minorHAnsi" w:hAnsiTheme="minorHAnsi"/>
        </w:rPr>
        <w:footnoteReference w:id="36"/>
      </w:r>
      <w:bookmarkEnd w:id="5390"/>
      <w:r w:rsidRPr="005360B8">
        <w:rPr>
          <w:rFonts w:asciiTheme="minorHAnsi" w:hAnsiTheme="minorHAnsi"/>
        </w:rPr>
        <w:t xml:space="preserve">  </w:t>
      </w:r>
      <w:r w:rsidRPr="005360B8">
        <w:rPr>
          <w:rFonts w:asciiTheme="minorHAnsi" w:hAnsiTheme="minorHAnsi"/>
          <w:spacing w:val="1"/>
        </w:rPr>
        <w:t xml:space="preserve">Females at increased risk for breast cancer should discuss with their health care provider the benefits and </w:t>
      </w:r>
      <w:r w:rsidRPr="005360B8">
        <w:rPr>
          <w:rFonts w:asciiTheme="minorHAnsi" w:hAnsiTheme="minorHAnsi"/>
        </w:rPr>
        <w:t xml:space="preserve">limitations of beginning mammograms when they are younger, having additional tests, and/or having more frequent exams. </w:t>
      </w:r>
    </w:p>
    <w:p w14:paraId="72C00D3C" w14:textId="77777777" w:rsidR="00623E41" w:rsidRPr="00AA53A0" w:rsidRDefault="00623E41" w:rsidP="0086497A">
      <w:pPr>
        <w:spacing w:after="0" w:line="240" w:lineRule="auto"/>
        <w:rPr>
          <w:rFonts w:asciiTheme="minorHAnsi" w:hAnsiTheme="minorHAnsi"/>
          <w:sz w:val="14"/>
          <w:szCs w:val="14"/>
        </w:rPr>
      </w:pPr>
    </w:p>
    <w:p w14:paraId="587FD82E" w14:textId="77777777" w:rsidR="004B1222" w:rsidRPr="005360B8" w:rsidRDefault="004B1222" w:rsidP="00E01C9E">
      <w:pPr>
        <w:pStyle w:val="Heading2"/>
      </w:pPr>
      <w:r w:rsidRPr="005360B8">
        <w:t>Female Breast Cancer Screening in Delaware</w:t>
      </w:r>
    </w:p>
    <w:p w14:paraId="3B95349A" w14:textId="77777777" w:rsidR="004B1222" w:rsidRPr="00C73D78" w:rsidRDefault="004B1222" w:rsidP="00114C11">
      <w:pPr>
        <w:spacing w:after="120" w:line="240" w:lineRule="auto"/>
        <w:rPr>
          <w:rFonts w:asciiTheme="minorHAnsi" w:hAnsiTheme="minorHAnsi" w:cs="Book Antiqua"/>
        </w:rPr>
      </w:pPr>
      <w:r w:rsidRPr="3EDEAD46">
        <w:rPr>
          <w:rFonts w:asciiTheme="minorHAnsi" w:hAnsiTheme="minorHAnsi" w:cs="Book Antiqua"/>
        </w:rPr>
        <w:t xml:space="preserve">The </w:t>
      </w:r>
      <w:r w:rsidRPr="3EDEAD46">
        <w:rPr>
          <w:rFonts w:ascii="Calibri" w:eastAsia="Times New Roman" w:hAnsi="Calibri" w:cs="Arial"/>
        </w:rPr>
        <w:t>Behavioral Risk Factor Survey (</w:t>
      </w:r>
      <w:r w:rsidRPr="3EDEAD46">
        <w:rPr>
          <w:rFonts w:asciiTheme="minorHAnsi" w:hAnsiTheme="minorHAnsi" w:cs="Book Antiqua"/>
        </w:rPr>
        <w:t xml:space="preserve">BRFS) has collected yearly mammogram use data through 2000; after 2000, mammogram use data are collected biennially.  The BRFS asks a female respondent about her receiving a </w:t>
      </w:r>
      <w:r w:rsidRPr="00C73D78">
        <w:rPr>
          <w:rFonts w:asciiTheme="minorHAnsi" w:hAnsiTheme="minorHAnsi" w:cs="Book Antiqua"/>
        </w:rPr>
        <w:t xml:space="preserve">mammogram during the previous two years (as opposed to the annual mammogram screening schedule recommended by the DCC) to account for minor variations in scheduling that may cause a woman to miss the one-year threshold (e.g., two mammogram screening appointments 14 months apart). </w:t>
      </w:r>
    </w:p>
    <w:p w14:paraId="660FD441" w14:textId="77777777" w:rsidR="004B1222" w:rsidRPr="00B21C83" w:rsidRDefault="004B1222" w:rsidP="004B1222">
      <w:pPr>
        <w:spacing w:after="120" w:line="240" w:lineRule="auto"/>
        <w:rPr>
          <w:rFonts w:asciiTheme="minorHAnsi" w:hAnsiTheme="minorHAnsi" w:cstheme="minorHAnsi"/>
        </w:rPr>
      </w:pPr>
      <w:r w:rsidRPr="00B21C83">
        <w:rPr>
          <w:rFonts w:asciiTheme="minorHAnsi" w:hAnsiTheme="minorHAnsi" w:cstheme="minorHAnsi"/>
        </w:rPr>
        <w:t>Data from the 2022 BRFS provides information on breast cancer screening among Delaware females: </w:t>
      </w:r>
    </w:p>
    <w:p w14:paraId="084EB96D" w14:textId="77777777" w:rsidR="004B1222" w:rsidRPr="00B21C83" w:rsidRDefault="004B1222" w:rsidP="004B1222">
      <w:pPr>
        <w:pStyle w:val="ListParagraph"/>
        <w:numPr>
          <w:ilvl w:val="0"/>
          <w:numId w:val="40"/>
        </w:numPr>
        <w:spacing w:after="120" w:line="240" w:lineRule="auto"/>
        <w:rPr>
          <w:rFonts w:asciiTheme="minorHAnsi" w:hAnsiTheme="minorHAnsi" w:cstheme="minorHAnsi"/>
        </w:rPr>
      </w:pPr>
      <w:r w:rsidRPr="00B21C83">
        <w:rPr>
          <w:rFonts w:asciiTheme="minorHAnsi" w:hAnsiTheme="minorHAnsi" w:cstheme="minorHAnsi"/>
        </w:rPr>
        <w:t xml:space="preserve">Of Delaware females 40 years of age and older, 74% reported having a mammogram within the previous two years, compared to a national median of 70%.  Delaware females ranked </w:t>
      </w:r>
      <w:r>
        <w:rPr>
          <w:rFonts w:asciiTheme="minorHAnsi" w:hAnsiTheme="minorHAnsi" w:cstheme="minorHAnsi"/>
        </w:rPr>
        <w:t>seventh</w:t>
      </w:r>
      <w:r w:rsidRPr="00B21C83">
        <w:rPr>
          <w:rFonts w:asciiTheme="minorHAnsi" w:hAnsiTheme="minorHAnsi" w:cstheme="minorHAnsi"/>
        </w:rPr>
        <w:t xml:space="preserve"> highest nationally for this response.  </w:t>
      </w:r>
    </w:p>
    <w:p w14:paraId="4F2C4F15" w14:textId="77777777" w:rsidR="004B1222" w:rsidRPr="00B21C83" w:rsidRDefault="004B1222" w:rsidP="004B1222">
      <w:pPr>
        <w:pStyle w:val="ListParagraph"/>
        <w:numPr>
          <w:ilvl w:val="0"/>
          <w:numId w:val="40"/>
        </w:numPr>
        <w:spacing w:after="120" w:line="240" w:lineRule="auto"/>
        <w:rPr>
          <w:rFonts w:asciiTheme="minorHAnsi" w:hAnsiTheme="minorHAnsi" w:cstheme="minorHAnsi"/>
        </w:rPr>
      </w:pPr>
      <w:r w:rsidRPr="00B21C83">
        <w:rPr>
          <w:rFonts w:asciiTheme="minorHAnsi" w:hAnsiTheme="minorHAnsi" w:cstheme="minorHAnsi"/>
        </w:rPr>
        <w:t xml:space="preserve">In Delaware, the percentage of non-Hispanic White females 40 years of age and older who reported having a mammogram in the past two years was slightly lower compared to </w:t>
      </w:r>
      <w:r>
        <w:rPr>
          <w:rFonts w:asciiTheme="minorHAnsi" w:hAnsiTheme="minorHAnsi" w:cstheme="minorHAnsi"/>
        </w:rPr>
        <w:t>n</w:t>
      </w:r>
      <w:r w:rsidRPr="00B21C83">
        <w:rPr>
          <w:rFonts w:asciiTheme="minorHAnsi" w:hAnsiTheme="minorHAnsi" w:cstheme="minorHAnsi"/>
        </w:rPr>
        <w:t>on-Hispanic Black females.  The difference was not significantly different (73% versus 79%, respectively). </w:t>
      </w:r>
    </w:p>
    <w:p w14:paraId="71E2B337" w14:textId="77777777" w:rsidR="004B1222" w:rsidRPr="00B21C83" w:rsidRDefault="004B1222" w:rsidP="004B1222">
      <w:pPr>
        <w:pStyle w:val="ListParagraph"/>
        <w:numPr>
          <w:ilvl w:val="0"/>
          <w:numId w:val="40"/>
        </w:numPr>
        <w:spacing w:after="120" w:line="240" w:lineRule="auto"/>
        <w:rPr>
          <w:rFonts w:asciiTheme="minorHAnsi" w:hAnsiTheme="minorHAnsi" w:cstheme="minorHAnsi"/>
        </w:rPr>
      </w:pPr>
      <w:r w:rsidRPr="00B21C83">
        <w:rPr>
          <w:rFonts w:asciiTheme="minorHAnsi" w:hAnsiTheme="minorHAnsi" w:cstheme="minorHAnsi"/>
        </w:rPr>
        <w:t>Delaware females 40 years of age and older in the two highest income categories had the highest percentages of mammography use (74% for females with an annual household income between $25,000 to $34,999 and 77% for females with an annual income of $50,000 or more).  </w:t>
      </w:r>
    </w:p>
    <w:p w14:paraId="210235F9" w14:textId="77777777" w:rsidR="004B1222" w:rsidRDefault="004B1222" w:rsidP="00114C11">
      <w:pPr>
        <w:pStyle w:val="ListParagraph"/>
        <w:numPr>
          <w:ilvl w:val="0"/>
          <w:numId w:val="40"/>
        </w:numPr>
        <w:spacing w:after="120" w:line="240" w:lineRule="auto"/>
        <w:rPr>
          <w:rFonts w:asciiTheme="minorHAnsi" w:hAnsiTheme="minorHAnsi" w:cstheme="minorHAnsi"/>
        </w:rPr>
      </w:pPr>
      <w:r w:rsidRPr="00B21C83">
        <w:rPr>
          <w:rFonts w:asciiTheme="minorHAnsi" w:hAnsiTheme="minorHAnsi" w:cstheme="minorHAnsi"/>
        </w:rPr>
        <w:t>Delaware females (40 years of age and older) who were college graduates (78%) had a higher prevalence of having had a mammogram in the past two years, compared to Delaware females who had less than a high school diploma (48%); this difference was statistically significant.  </w:t>
      </w:r>
    </w:p>
    <w:p w14:paraId="6CDD67FF" w14:textId="77777777" w:rsidR="004B1222" w:rsidRPr="008029ED" w:rsidRDefault="004B1222" w:rsidP="00AA53A0">
      <w:pPr>
        <w:pStyle w:val="ListParagraph"/>
        <w:spacing w:after="0" w:line="240" w:lineRule="auto"/>
        <w:rPr>
          <w:rFonts w:asciiTheme="minorHAnsi" w:hAnsiTheme="minorHAnsi" w:cstheme="minorHAnsi"/>
          <w:sz w:val="14"/>
          <w:szCs w:val="14"/>
        </w:rPr>
      </w:pPr>
    </w:p>
    <w:p w14:paraId="04EB99FA" w14:textId="77777777" w:rsidR="004B1222" w:rsidRPr="00C73D78" w:rsidRDefault="004B1222" w:rsidP="004B1222">
      <w:pPr>
        <w:numPr>
          <w:ilvl w:val="1"/>
          <w:numId w:val="0"/>
        </w:numPr>
        <w:pBdr>
          <w:bottom w:val="single" w:sz="4" w:space="1" w:color="1A4070"/>
        </w:pBdr>
        <w:spacing w:before="120" w:after="120" w:line="240" w:lineRule="auto"/>
        <w:jc w:val="center"/>
        <w:outlineLvl w:val="1"/>
        <w:rPr>
          <w:rFonts w:asciiTheme="minorHAnsi" w:hAnsiTheme="minorHAnsi" w:cs="Calibri"/>
          <w:b/>
          <w:caps/>
          <w:color w:val="1B4171"/>
          <w:spacing w:val="15"/>
          <w:sz w:val="24"/>
          <w:szCs w:val="24"/>
        </w:rPr>
      </w:pPr>
      <w:r w:rsidRPr="00C73D78">
        <w:rPr>
          <w:rFonts w:asciiTheme="minorHAnsi" w:hAnsiTheme="minorHAnsi" w:cs="Calibri"/>
          <w:b/>
          <w:caps/>
          <w:color w:val="1B4171"/>
          <w:spacing w:val="15"/>
          <w:sz w:val="24"/>
          <w:szCs w:val="24"/>
        </w:rPr>
        <w:t>Cervical Cancer Screening Recommendations</w:t>
      </w:r>
    </w:p>
    <w:p w14:paraId="5D7EB481" w14:textId="3E816869" w:rsidR="004B1222" w:rsidRPr="00C73D78" w:rsidRDefault="004B1222" w:rsidP="008029ED">
      <w:pPr>
        <w:autoSpaceDE w:val="0"/>
        <w:autoSpaceDN w:val="0"/>
        <w:adjustRightInd w:val="0"/>
        <w:spacing w:after="120" w:line="240" w:lineRule="auto"/>
        <w:rPr>
          <w:rFonts w:asciiTheme="minorHAnsi" w:hAnsiTheme="minorHAnsi" w:cs="Calibri"/>
          <w:color w:val="000000"/>
          <w:shd w:val="clear" w:color="auto" w:fill="FFFFFF"/>
        </w:rPr>
      </w:pPr>
      <w:r w:rsidRPr="00C73D78">
        <w:rPr>
          <w:rFonts w:asciiTheme="minorHAnsi" w:hAnsiTheme="minorHAnsi" w:cs="Calibri"/>
        </w:rPr>
        <w:t>In 2020, the American Cancer Society (ACS) updated their recommendations for cervical cancer screening.  Their recommendations are that “</w:t>
      </w:r>
      <w:r w:rsidRPr="00C73D78">
        <w:rPr>
          <w:rFonts w:asciiTheme="minorHAnsi" w:hAnsiTheme="minorHAnsi" w:cs="Calibri"/>
          <w:color w:val="000000"/>
          <w:shd w:val="clear" w:color="auto" w:fill="FFFFFF"/>
        </w:rPr>
        <w:t>individuals with a cervix initiate cervical cancer screening at age 25 and undergo primary HPV testing every 5 years through age 65 (preferred).  If primary HPV testing is not available, individuals aged 25-65 years should be screened with co-testing (HPV testing in combination with cytology) every 5 years or cytology alone every 3 years (acceptable) (</w:t>
      </w:r>
      <w:r w:rsidRPr="00C73D78">
        <w:rPr>
          <w:rFonts w:asciiTheme="minorHAnsi" w:hAnsiTheme="minorHAnsi" w:cs="Calibri"/>
          <w:i/>
          <w:iCs/>
          <w:color w:val="000000"/>
          <w:shd w:val="clear" w:color="auto" w:fill="FFFFFF"/>
        </w:rPr>
        <w:t>strong recommendation</w:t>
      </w:r>
      <w:proofErr w:type="gramStart"/>
      <w:r w:rsidRPr="00C73D78">
        <w:rPr>
          <w:rFonts w:asciiTheme="minorHAnsi" w:hAnsiTheme="minorHAnsi" w:cs="Calibri"/>
          <w:color w:val="000000"/>
          <w:shd w:val="clear" w:color="auto" w:fill="FFFFFF"/>
        </w:rPr>
        <w:t>)”*</w:t>
      </w:r>
      <w:proofErr w:type="gramEnd"/>
      <w:r w:rsidRPr="00C73D78">
        <w:rPr>
          <w:rFonts w:asciiTheme="minorHAnsi" w:hAnsiTheme="minorHAnsi" w:cs="Calibri"/>
          <w:color w:val="000000"/>
          <w:shd w:val="clear" w:color="auto" w:fill="FFFFFF"/>
        </w:rPr>
        <w:t xml:space="preserve">. </w:t>
      </w:r>
      <w:r w:rsidR="00C17B3D">
        <w:rPr>
          <w:rFonts w:asciiTheme="minorHAnsi" w:hAnsiTheme="minorHAnsi" w:cs="Calibri"/>
          <w:color w:val="000000"/>
          <w:shd w:val="clear" w:color="auto" w:fill="FFFFFF"/>
        </w:rPr>
        <w:t xml:space="preserve"> </w:t>
      </w:r>
      <w:r w:rsidRPr="00C73D78">
        <w:rPr>
          <w:rFonts w:asciiTheme="minorHAnsi" w:hAnsiTheme="minorHAnsi" w:cs="Calibri"/>
          <w:color w:val="000000"/>
          <w:shd w:val="clear" w:color="auto" w:fill="FFFFFF"/>
        </w:rPr>
        <w:t>A</w:t>
      </w:r>
      <w:r>
        <w:rPr>
          <w:rFonts w:asciiTheme="minorHAnsi" w:hAnsiTheme="minorHAnsi" w:cs="Calibri"/>
          <w:color w:val="000000"/>
          <w:shd w:val="clear" w:color="auto" w:fill="FFFFFF"/>
        </w:rPr>
        <w:t>dditionally</w:t>
      </w:r>
      <w:r w:rsidRPr="00C73D78">
        <w:rPr>
          <w:rFonts w:asciiTheme="minorHAnsi" w:hAnsiTheme="minorHAnsi" w:cs="Calibri"/>
          <w:color w:val="000000"/>
          <w:shd w:val="clear" w:color="auto" w:fill="FFFFFF"/>
        </w:rPr>
        <w:t xml:space="preserve">, “The ACS recommends that individuals with a cervix who are older than age 65, who have no history of cervical intraepithelial neoplasia grade 2 or a more severe diagnosis within the past 25 years, and who have documented adequate negative prior screening in the 10-year period before age 65 discontinue cervical </w:t>
      </w:r>
      <w:r w:rsidRPr="00C73D78">
        <w:rPr>
          <w:rFonts w:asciiTheme="minorHAnsi" w:hAnsiTheme="minorHAnsi" w:cs="Calibri"/>
          <w:color w:val="000000"/>
          <w:shd w:val="clear" w:color="auto" w:fill="FFFFFF"/>
        </w:rPr>
        <w:lastRenderedPageBreak/>
        <w:t>cancer screening with any modality (</w:t>
      </w:r>
      <w:r w:rsidRPr="00C73D78">
        <w:rPr>
          <w:rFonts w:asciiTheme="minorHAnsi" w:hAnsiTheme="minorHAnsi" w:cs="Calibri"/>
          <w:i/>
          <w:iCs/>
          <w:color w:val="000000"/>
          <w:shd w:val="clear" w:color="auto" w:fill="FFFFFF"/>
        </w:rPr>
        <w:t>qualified recommendation</w:t>
      </w:r>
      <w:r w:rsidRPr="00C73D78">
        <w:rPr>
          <w:rFonts w:asciiTheme="minorHAnsi" w:hAnsiTheme="minorHAnsi" w:cs="Calibri"/>
          <w:color w:val="000000"/>
          <w:shd w:val="clear" w:color="auto" w:fill="FFFFFF"/>
        </w:rPr>
        <w:t>)”*.</w:t>
      </w:r>
      <w:r w:rsidRPr="00C73D78">
        <w:rPr>
          <w:rStyle w:val="FootnoteReference"/>
          <w:rFonts w:cs="Calibri"/>
          <w:color w:val="000000"/>
          <w:shd w:val="clear" w:color="auto" w:fill="FFFFFF"/>
        </w:rPr>
        <w:footnoteReference w:id="37"/>
      </w:r>
      <w:r w:rsidRPr="00C73D78">
        <w:rPr>
          <w:rFonts w:asciiTheme="minorHAnsi" w:hAnsiTheme="minorHAnsi" w:cs="Calibri"/>
          <w:color w:val="000000"/>
          <w:shd w:val="clear" w:color="auto" w:fill="FFFFFF"/>
        </w:rPr>
        <w:t xml:space="preserve"> A Pap test is conducted as part of cervical cancer screening.</w:t>
      </w:r>
      <w:r w:rsidRPr="00C73D78">
        <w:rPr>
          <w:rStyle w:val="FootnoteReference"/>
          <w:rFonts w:cs="Calibri"/>
          <w:color w:val="000000"/>
          <w:shd w:val="clear" w:color="auto" w:fill="FFFFFF"/>
        </w:rPr>
        <w:footnoteReference w:id="38"/>
      </w:r>
    </w:p>
    <w:p w14:paraId="60DFAAE7" w14:textId="77777777" w:rsidR="004B1222" w:rsidRDefault="004B1222" w:rsidP="008029ED">
      <w:pPr>
        <w:autoSpaceDE w:val="0"/>
        <w:autoSpaceDN w:val="0"/>
        <w:adjustRightInd w:val="0"/>
        <w:spacing w:after="120" w:line="240" w:lineRule="auto"/>
        <w:rPr>
          <w:rFonts w:asciiTheme="minorHAnsi" w:hAnsiTheme="minorHAnsi" w:cs="Calibri"/>
          <w:sz w:val="20"/>
          <w:szCs w:val="20"/>
        </w:rPr>
      </w:pPr>
      <w:r w:rsidRPr="00C73D78">
        <w:rPr>
          <w:rFonts w:asciiTheme="minorHAnsi" w:hAnsiTheme="minorHAnsi" w:cs="Calibri"/>
          <w:color w:val="000000"/>
          <w:sz w:val="20"/>
          <w:szCs w:val="20"/>
          <w:shd w:val="clear" w:color="auto" w:fill="FFFFFF"/>
        </w:rPr>
        <w:t>*A strong recommendation conveys the consensus that the benefits of adherence to that intervention outweigh the undesirable effects that may result from screening.  Qualified recommendations indicate there is clear evidence of benefit of screening but less certainty about the balance of benefits and harms or about patients' values and preferences, which could lead to different decisions about screening.”</w:t>
      </w:r>
      <w:r w:rsidRPr="00C73D78">
        <w:rPr>
          <w:rFonts w:asciiTheme="minorHAnsi" w:hAnsiTheme="minorHAnsi" w:cs="Calibri"/>
          <w:sz w:val="20"/>
          <w:szCs w:val="20"/>
        </w:rPr>
        <w:t xml:space="preserve"> </w:t>
      </w:r>
    </w:p>
    <w:p w14:paraId="7FAC4B49" w14:textId="77777777" w:rsidR="004B1222" w:rsidRPr="00AA53A0" w:rsidRDefault="004B1222" w:rsidP="00AA53A0">
      <w:pPr>
        <w:autoSpaceDE w:val="0"/>
        <w:autoSpaceDN w:val="0"/>
        <w:adjustRightInd w:val="0"/>
        <w:spacing w:after="0" w:line="240" w:lineRule="auto"/>
        <w:rPr>
          <w:rFonts w:asciiTheme="minorHAnsi" w:hAnsiTheme="minorHAnsi"/>
          <w:sz w:val="10"/>
          <w:szCs w:val="10"/>
        </w:rPr>
      </w:pPr>
    </w:p>
    <w:p w14:paraId="0FD13AE4" w14:textId="77777777" w:rsidR="004B1222" w:rsidRPr="00C73D78" w:rsidRDefault="004B1222" w:rsidP="004B1222">
      <w:pPr>
        <w:numPr>
          <w:ilvl w:val="1"/>
          <w:numId w:val="0"/>
        </w:numPr>
        <w:pBdr>
          <w:bottom w:val="single" w:sz="4" w:space="1" w:color="1A4070"/>
        </w:pBdr>
        <w:spacing w:before="120" w:after="120" w:line="240" w:lineRule="auto"/>
        <w:jc w:val="center"/>
        <w:outlineLvl w:val="1"/>
        <w:rPr>
          <w:rFonts w:asciiTheme="minorHAnsi" w:hAnsiTheme="minorHAnsi" w:cs="Calibri"/>
          <w:b/>
          <w:caps/>
          <w:color w:val="1B4171"/>
          <w:spacing w:val="15"/>
          <w:sz w:val="24"/>
          <w:szCs w:val="24"/>
        </w:rPr>
      </w:pPr>
      <w:r w:rsidRPr="00C73D78">
        <w:rPr>
          <w:rFonts w:asciiTheme="minorHAnsi" w:hAnsiTheme="minorHAnsi" w:cs="Calibri"/>
          <w:b/>
          <w:caps/>
          <w:color w:val="1B4171"/>
          <w:spacing w:val="15"/>
          <w:sz w:val="24"/>
          <w:szCs w:val="24"/>
        </w:rPr>
        <w:t>Cervical Cancer Screening in Delaware</w:t>
      </w:r>
    </w:p>
    <w:p w14:paraId="68CCEA9B" w14:textId="77777777" w:rsidR="004B1222" w:rsidRPr="00B21C83" w:rsidRDefault="004B1222" w:rsidP="00AA53A0">
      <w:pPr>
        <w:spacing w:after="120" w:line="240" w:lineRule="auto"/>
        <w:rPr>
          <w:rFonts w:asciiTheme="minorHAnsi" w:hAnsiTheme="minorHAnsi" w:cstheme="minorHAnsi"/>
        </w:rPr>
      </w:pPr>
      <w:r w:rsidRPr="00B21C83">
        <w:rPr>
          <w:rFonts w:asciiTheme="minorHAnsi" w:hAnsiTheme="minorHAnsi" w:cstheme="minorHAnsi"/>
        </w:rPr>
        <w:t>The BRFS has collected data on cervical cancer screening in Delaware annually from 1995 to 2000 and biannually since then.  In 2022 the BRFS showed that: </w:t>
      </w:r>
    </w:p>
    <w:p w14:paraId="18513BD7" w14:textId="77777777" w:rsidR="004B1222" w:rsidRPr="00B21C83" w:rsidRDefault="004B1222" w:rsidP="00AA53A0">
      <w:pPr>
        <w:pStyle w:val="ListParagraph"/>
        <w:numPr>
          <w:ilvl w:val="0"/>
          <w:numId w:val="39"/>
        </w:numPr>
        <w:spacing w:after="120" w:line="240" w:lineRule="auto"/>
        <w:rPr>
          <w:rFonts w:asciiTheme="minorHAnsi" w:hAnsiTheme="minorHAnsi" w:cstheme="minorHAnsi"/>
        </w:rPr>
      </w:pPr>
      <w:r w:rsidRPr="00B21C83">
        <w:rPr>
          <w:rFonts w:asciiTheme="minorHAnsi" w:hAnsiTheme="minorHAnsi" w:cstheme="minorHAnsi"/>
        </w:rPr>
        <w:t>Fifty-two percent of Delaware women aged 21 to 65 years reported that they had had a Pap test within the previous three years, compared to the nation median of 78% among U.S. women of the same ages.  Delaware ranked 10th highest among all states. </w:t>
      </w:r>
    </w:p>
    <w:p w14:paraId="7F71606C" w14:textId="77777777" w:rsidR="004B1222" w:rsidRPr="00B21C83" w:rsidRDefault="004B1222" w:rsidP="00AA53A0">
      <w:pPr>
        <w:pStyle w:val="ListParagraph"/>
        <w:numPr>
          <w:ilvl w:val="0"/>
          <w:numId w:val="39"/>
        </w:numPr>
        <w:spacing w:after="120" w:line="240" w:lineRule="auto"/>
        <w:rPr>
          <w:rFonts w:asciiTheme="minorHAnsi" w:hAnsiTheme="minorHAnsi" w:cstheme="minorHAnsi"/>
        </w:rPr>
      </w:pPr>
      <w:r w:rsidRPr="00B21C83">
        <w:rPr>
          <w:rFonts w:asciiTheme="minorHAnsi" w:hAnsiTheme="minorHAnsi" w:cstheme="minorHAnsi"/>
        </w:rPr>
        <w:t xml:space="preserve">In Delaware, the prevalence of receiving a Pap test in the past three years was not different when comparing </w:t>
      </w:r>
      <w:r>
        <w:rPr>
          <w:rFonts w:asciiTheme="minorHAnsi" w:hAnsiTheme="minorHAnsi" w:cstheme="minorHAnsi"/>
        </w:rPr>
        <w:t>n</w:t>
      </w:r>
      <w:r w:rsidRPr="00B21C83">
        <w:rPr>
          <w:rFonts w:asciiTheme="minorHAnsi" w:hAnsiTheme="minorHAnsi" w:cstheme="minorHAnsi"/>
        </w:rPr>
        <w:t xml:space="preserve">on-Hispanic White females and </w:t>
      </w:r>
      <w:r>
        <w:rPr>
          <w:rFonts w:asciiTheme="minorHAnsi" w:hAnsiTheme="minorHAnsi" w:cstheme="minorHAnsi"/>
        </w:rPr>
        <w:t>non</w:t>
      </w:r>
      <w:r w:rsidRPr="00B21C83">
        <w:rPr>
          <w:rFonts w:asciiTheme="minorHAnsi" w:hAnsiTheme="minorHAnsi" w:cstheme="minorHAnsi"/>
        </w:rPr>
        <w:t>-Hispanic Black females (74% vs. 85%, respectively).   </w:t>
      </w:r>
    </w:p>
    <w:p w14:paraId="3B8D0DB7" w14:textId="77777777" w:rsidR="004B1222" w:rsidRPr="00B21C83" w:rsidRDefault="004B1222" w:rsidP="00AA53A0">
      <w:pPr>
        <w:pStyle w:val="ListParagraph"/>
        <w:numPr>
          <w:ilvl w:val="0"/>
          <w:numId w:val="39"/>
        </w:numPr>
        <w:spacing w:after="120" w:line="240" w:lineRule="auto"/>
        <w:rPr>
          <w:rFonts w:asciiTheme="minorHAnsi" w:hAnsiTheme="minorHAnsi" w:cstheme="minorHAnsi"/>
        </w:rPr>
      </w:pPr>
      <w:r w:rsidRPr="00B21C83">
        <w:rPr>
          <w:rFonts w:asciiTheme="minorHAnsi" w:hAnsiTheme="minorHAnsi" w:cstheme="minorHAnsi"/>
        </w:rPr>
        <w:t>Delaware women aged 21 to 39 had about the same prevalence (83%) of receiving a Pap test in the past three years.  The prevalence increases to 75% among Delaware women aged 40 to 65.   </w:t>
      </w:r>
    </w:p>
    <w:p w14:paraId="2D53F056" w14:textId="77777777" w:rsidR="004B1222" w:rsidRPr="00B21C83" w:rsidRDefault="004B1222" w:rsidP="00AA53A0">
      <w:pPr>
        <w:pStyle w:val="ListParagraph"/>
        <w:numPr>
          <w:ilvl w:val="0"/>
          <w:numId w:val="39"/>
        </w:numPr>
        <w:spacing w:after="120" w:line="240" w:lineRule="auto"/>
        <w:rPr>
          <w:rFonts w:asciiTheme="minorHAnsi" w:hAnsiTheme="minorHAnsi" w:cstheme="minorHAnsi"/>
        </w:rPr>
      </w:pPr>
      <w:r w:rsidRPr="00B21C83">
        <w:rPr>
          <w:rFonts w:asciiTheme="minorHAnsi" w:hAnsiTheme="minorHAnsi" w:cstheme="minorHAnsi"/>
        </w:rPr>
        <w:t>In Delaware, women aged 21 to 65 years with an annual household income of less than $25,000 (67%) had the lowest prevalence of receiving a Pap test within the past three years.  Delaware women aged 21 to 65 with an annual household income of $50,000 or more (80%) had the highest prevalence of receiving a Pap test within the past three years.   </w:t>
      </w:r>
    </w:p>
    <w:p w14:paraId="0837D854" w14:textId="77777777" w:rsidR="004B1222" w:rsidRPr="00B21C83" w:rsidRDefault="004B1222" w:rsidP="00AA53A0">
      <w:pPr>
        <w:pStyle w:val="ListParagraph"/>
        <w:numPr>
          <w:ilvl w:val="0"/>
          <w:numId w:val="39"/>
        </w:numPr>
        <w:spacing w:after="120" w:line="240" w:lineRule="auto"/>
        <w:rPr>
          <w:rFonts w:asciiTheme="minorHAnsi" w:hAnsiTheme="minorHAnsi" w:cstheme="minorHAnsi"/>
        </w:rPr>
      </w:pPr>
      <w:r w:rsidRPr="00B21C83">
        <w:rPr>
          <w:rFonts w:asciiTheme="minorHAnsi" w:hAnsiTheme="minorHAnsi" w:cstheme="minorHAnsi"/>
        </w:rPr>
        <w:t>Seventy-four percent of Delaware women with a high school diploma or less reported having a Pap test within the past three years.  The percentage of Delaware women reporting having a Pap test in the past three years was slightly higher for women with a college degree (86%).  This difference between the lowest educational attainment category and the highest educational attainment category was not statistically significant. </w:t>
      </w:r>
    </w:p>
    <w:p w14:paraId="6172D41F" w14:textId="77777777" w:rsidR="004B1222" w:rsidRPr="00AA53A0" w:rsidRDefault="004B1222" w:rsidP="00114C11">
      <w:pPr>
        <w:pStyle w:val="Bullet"/>
        <w:numPr>
          <w:ilvl w:val="0"/>
          <w:numId w:val="0"/>
        </w:numPr>
        <w:spacing w:before="0" w:after="0"/>
        <w:ind w:left="360" w:hanging="360"/>
        <w:rPr>
          <w:rFonts w:ascii="Calibri" w:hAnsi="Calibri" w:cs="Arial"/>
          <w:sz w:val="8"/>
          <w:szCs w:val="8"/>
        </w:rPr>
      </w:pPr>
    </w:p>
    <w:p w14:paraId="0D409FA7" w14:textId="77777777" w:rsidR="004B1222" w:rsidRPr="00C73D78" w:rsidRDefault="004B1222" w:rsidP="00E01C9E">
      <w:pPr>
        <w:pStyle w:val="Heading2"/>
      </w:pPr>
      <w:r w:rsidRPr="00C73D78">
        <w:t>Colorectal Cancer Screening Recommendations</w:t>
      </w:r>
    </w:p>
    <w:p w14:paraId="03397CD9" w14:textId="1FFFB0C1" w:rsidR="004B1222" w:rsidRPr="00C73D78" w:rsidRDefault="004B1222" w:rsidP="00114C11">
      <w:pPr>
        <w:spacing w:after="120" w:line="240" w:lineRule="auto"/>
        <w:rPr>
          <w:rFonts w:asciiTheme="minorHAnsi" w:hAnsiTheme="minorHAnsi"/>
        </w:rPr>
      </w:pPr>
      <w:r w:rsidRPr="00C73D78">
        <w:rPr>
          <w:rFonts w:asciiTheme="minorHAnsi" w:hAnsiTheme="minorHAnsi"/>
        </w:rPr>
        <w:t xml:space="preserve">The ACS and Delaware Cancer Consortium (DCC) colorectal cancer screening guidelines recommend that at 50 years of age, </w:t>
      </w:r>
      <w:proofErr w:type="gramStart"/>
      <w:r w:rsidRPr="00C73D78">
        <w:rPr>
          <w:rFonts w:asciiTheme="minorHAnsi" w:hAnsiTheme="minorHAnsi"/>
        </w:rPr>
        <w:t>males</w:t>
      </w:r>
      <w:proofErr w:type="gramEnd"/>
      <w:r w:rsidRPr="00C73D78">
        <w:rPr>
          <w:rFonts w:asciiTheme="minorHAnsi" w:hAnsiTheme="minorHAnsi"/>
        </w:rPr>
        <w:t xml:space="preserve"> and females at </w:t>
      </w:r>
      <w:r w:rsidRPr="0076408E">
        <w:rPr>
          <w:rFonts w:asciiTheme="minorHAnsi" w:hAnsiTheme="minorHAnsi"/>
        </w:rPr>
        <w:t>average risk</w:t>
      </w:r>
      <w:r w:rsidRPr="00C73D78">
        <w:rPr>
          <w:rFonts w:asciiTheme="minorHAnsi" w:hAnsiTheme="minorHAnsi"/>
        </w:rPr>
        <w:t xml:space="preserve"> of developing colorectal cancer should use one of the following screening options</w:t>
      </w:r>
      <w:r w:rsidR="00C17B3D">
        <w:rPr>
          <w:rFonts w:asciiTheme="minorHAnsi" w:hAnsiTheme="minorHAnsi"/>
        </w:rPr>
        <w:t>:</w:t>
      </w:r>
      <w:r w:rsidRPr="00C73D78">
        <w:rPr>
          <w:rStyle w:val="FootnoteReference"/>
          <w:rFonts w:asciiTheme="minorHAnsi" w:hAnsiTheme="minorHAnsi"/>
        </w:rPr>
        <w:footnoteReference w:id="39"/>
      </w:r>
    </w:p>
    <w:p w14:paraId="4F7746A1" w14:textId="77777777" w:rsidR="004B1222" w:rsidRPr="00C73D78" w:rsidRDefault="004B1222" w:rsidP="00AA53A0">
      <w:pPr>
        <w:pStyle w:val="ListParagraph"/>
        <w:numPr>
          <w:ilvl w:val="0"/>
          <w:numId w:val="11"/>
        </w:numPr>
        <w:spacing w:after="120" w:line="240" w:lineRule="auto"/>
        <w:rPr>
          <w:rFonts w:asciiTheme="minorHAnsi" w:hAnsiTheme="minorHAnsi"/>
        </w:rPr>
      </w:pPr>
      <w:r w:rsidRPr="00C73D78">
        <w:rPr>
          <w:rFonts w:asciiTheme="minorHAnsi" w:hAnsiTheme="minorHAnsi"/>
        </w:rPr>
        <w:t>Fecal occult blood tests (FOBT) every year</w:t>
      </w:r>
      <w:r>
        <w:rPr>
          <w:rFonts w:asciiTheme="minorHAnsi" w:hAnsiTheme="minorHAnsi"/>
        </w:rPr>
        <w:t>.</w:t>
      </w:r>
    </w:p>
    <w:p w14:paraId="2DDD785E" w14:textId="77777777" w:rsidR="004B1222" w:rsidRPr="00C73D78" w:rsidRDefault="004B1222" w:rsidP="00AA53A0">
      <w:pPr>
        <w:pStyle w:val="ListParagraph"/>
        <w:numPr>
          <w:ilvl w:val="0"/>
          <w:numId w:val="11"/>
        </w:numPr>
        <w:spacing w:after="120" w:line="240" w:lineRule="auto"/>
        <w:rPr>
          <w:rFonts w:asciiTheme="minorHAnsi" w:hAnsiTheme="minorHAnsi"/>
        </w:rPr>
      </w:pPr>
      <w:r w:rsidRPr="00C73D78">
        <w:rPr>
          <w:rFonts w:asciiTheme="minorHAnsi" w:hAnsiTheme="minorHAnsi"/>
        </w:rPr>
        <w:t>Fecal immunochemical test (FIT) every year</w:t>
      </w:r>
      <w:r>
        <w:rPr>
          <w:rFonts w:asciiTheme="minorHAnsi" w:hAnsiTheme="minorHAnsi"/>
        </w:rPr>
        <w:t>.</w:t>
      </w:r>
    </w:p>
    <w:p w14:paraId="245F6B84" w14:textId="77777777" w:rsidR="004B1222" w:rsidRPr="00C73D78" w:rsidRDefault="004B1222" w:rsidP="00AA53A0">
      <w:pPr>
        <w:pStyle w:val="ListParagraph"/>
        <w:numPr>
          <w:ilvl w:val="0"/>
          <w:numId w:val="11"/>
        </w:numPr>
        <w:spacing w:after="120" w:line="240" w:lineRule="auto"/>
        <w:rPr>
          <w:rFonts w:asciiTheme="minorHAnsi" w:hAnsiTheme="minorHAnsi"/>
        </w:rPr>
      </w:pPr>
      <w:r w:rsidRPr="00C73D78">
        <w:rPr>
          <w:rFonts w:asciiTheme="minorHAnsi" w:hAnsiTheme="minorHAnsi"/>
        </w:rPr>
        <w:t>Flexible sigmoidoscopy every five years</w:t>
      </w:r>
      <w:r>
        <w:rPr>
          <w:rFonts w:asciiTheme="minorHAnsi" w:hAnsiTheme="minorHAnsi"/>
        </w:rPr>
        <w:t>.</w:t>
      </w:r>
    </w:p>
    <w:p w14:paraId="7BAC77B9" w14:textId="77777777" w:rsidR="004B1222" w:rsidRPr="00C73D78" w:rsidRDefault="004B1222" w:rsidP="00AA53A0">
      <w:pPr>
        <w:pStyle w:val="ListParagraph"/>
        <w:numPr>
          <w:ilvl w:val="0"/>
          <w:numId w:val="11"/>
        </w:numPr>
        <w:spacing w:after="120" w:line="240" w:lineRule="auto"/>
        <w:rPr>
          <w:rFonts w:asciiTheme="minorHAnsi" w:hAnsiTheme="minorHAnsi"/>
        </w:rPr>
      </w:pPr>
      <w:r w:rsidRPr="00C73D78">
        <w:rPr>
          <w:rFonts w:asciiTheme="minorHAnsi" w:hAnsiTheme="minorHAnsi"/>
        </w:rPr>
        <w:t>Double-contrast barium enema every five years</w:t>
      </w:r>
      <w:r>
        <w:rPr>
          <w:rFonts w:asciiTheme="minorHAnsi" w:hAnsiTheme="minorHAnsi"/>
        </w:rPr>
        <w:t>.</w:t>
      </w:r>
    </w:p>
    <w:p w14:paraId="2279ED12" w14:textId="77777777" w:rsidR="004B1222" w:rsidRPr="00C73D78" w:rsidRDefault="004B1222" w:rsidP="00AA53A0">
      <w:pPr>
        <w:pStyle w:val="ListParagraph"/>
        <w:numPr>
          <w:ilvl w:val="0"/>
          <w:numId w:val="11"/>
        </w:numPr>
        <w:spacing w:after="120" w:line="240" w:lineRule="auto"/>
        <w:rPr>
          <w:rFonts w:asciiTheme="minorHAnsi" w:hAnsiTheme="minorHAnsi"/>
        </w:rPr>
      </w:pPr>
      <w:r w:rsidRPr="00C73D78">
        <w:rPr>
          <w:rFonts w:asciiTheme="minorHAnsi" w:hAnsiTheme="minorHAnsi"/>
        </w:rPr>
        <w:t>Computed tomography (CT) colonography (virtual colonoscopy) every five years</w:t>
      </w:r>
      <w:r>
        <w:rPr>
          <w:rFonts w:asciiTheme="minorHAnsi" w:hAnsiTheme="minorHAnsi"/>
        </w:rPr>
        <w:t>.</w:t>
      </w:r>
    </w:p>
    <w:p w14:paraId="3A887E91" w14:textId="77777777" w:rsidR="004B1222" w:rsidRPr="00C73D78" w:rsidRDefault="004B1222" w:rsidP="00114C11">
      <w:pPr>
        <w:pStyle w:val="ListParagraph"/>
        <w:numPr>
          <w:ilvl w:val="0"/>
          <w:numId w:val="11"/>
        </w:numPr>
        <w:spacing w:after="120" w:line="240" w:lineRule="auto"/>
        <w:rPr>
          <w:rFonts w:asciiTheme="minorHAnsi" w:hAnsiTheme="minorHAnsi"/>
        </w:rPr>
      </w:pPr>
      <w:r w:rsidRPr="00C73D78">
        <w:rPr>
          <w:rFonts w:asciiTheme="minorHAnsi" w:hAnsiTheme="minorHAnsi"/>
        </w:rPr>
        <w:t>Colonoscopy every 10 years.</w:t>
      </w:r>
    </w:p>
    <w:p w14:paraId="216C4EE7" w14:textId="77777777" w:rsidR="004B1222" w:rsidRPr="00C73D78" w:rsidRDefault="004B1222" w:rsidP="00AA53A0">
      <w:pPr>
        <w:spacing w:after="0" w:line="240" w:lineRule="auto"/>
        <w:rPr>
          <w:rFonts w:asciiTheme="minorHAnsi" w:hAnsiTheme="minorHAnsi"/>
        </w:rPr>
      </w:pPr>
      <w:r w:rsidRPr="00C73D78">
        <w:rPr>
          <w:rFonts w:asciiTheme="minorHAnsi" w:hAnsiTheme="minorHAnsi"/>
        </w:rPr>
        <w:t xml:space="preserve">For options ‘a’ through ‘e,’ a follow-up colonoscopy should be performed if results from an initial screening test are positive.  ACS and DCC screening guidelines offer suggested screening schedules for individuals with an </w:t>
      </w:r>
      <w:r w:rsidRPr="0076408E">
        <w:rPr>
          <w:rFonts w:asciiTheme="minorHAnsi" w:hAnsiTheme="minorHAnsi"/>
        </w:rPr>
        <w:t>elevated risk</w:t>
      </w:r>
      <w:r w:rsidRPr="00C73D78">
        <w:rPr>
          <w:rFonts w:asciiTheme="minorHAnsi" w:hAnsiTheme="minorHAnsi"/>
        </w:rPr>
        <w:t xml:space="preserve"> of developing colorectal cancer.</w:t>
      </w:r>
      <w:r>
        <w:rPr>
          <w:rFonts w:asciiTheme="minorHAnsi" w:hAnsiTheme="minorHAnsi"/>
        </w:rPr>
        <w:t xml:space="preserve"> A risk calculator can be used by the physician. This calculator uses age, gender, race and ethnicity, height, weight, diet and physical activity, medical and family history to determine risk status.</w:t>
      </w:r>
    </w:p>
    <w:p w14:paraId="531BBFAB" w14:textId="77777777" w:rsidR="004B1222" w:rsidRPr="00C73D78" w:rsidRDefault="004B1222" w:rsidP="004B1222">
      <w:pPr>
        <w:spacing w:after="120" w:line="240" w:lineRule="auto"/>
        <w:rPr>
          <w:rFonts w:asciiTheme="minorHAnsi" w:hAnsiTheme="minorHAnsi"/>
        </w:rPr>
      </w:pPr>
    </w:p>
    <w:p w14:paraId="6A94F576" w14:textId="77777777" w:rsidR="004B1222" w:rsidRPr="00C73D78" w:rsidRDefault="004B1222" w:rsidP="00E01C9E">
      <w:pPr>
        <w:pStyle w:val="Heading2"/>
      </w:pPr>
      <w:r w:rsidRPr="00C73D78">
        <w:t>Colorectal Cancer Screening in Delaware</w:t>
      </w:r>
    </w:p>
    <w:p w14:paraId="6F9990BF" w14:textId="77777777" w:rsidR="004B1222" w:rsidRPr="00C73D78" w:rsidRDefault="004B1222" w:rsidP="004B1222">
      <w:pPr>
        <w:pStyle w:val="paragraph"/>
        <w:spacing w:before="0" w:beforeAutospacing="0" w:after="0" w:afterAutospacing="0"/>
        <w:textAlignment w:val="baseline"/>
        <w:rPr>
          <w:rFonts w:ascii="Segoe UI" w:hAnsi="Segoe UI" w:cs="Segoe UI"/>
          <w:sz w:val="18"/>
          <w:szCs w:val="18"/>
        </w:rPr>
      </w:pPr>
      <w:r w:rsidRPr="00C73D78">
        <w:rPr>
          <w:rStyle w:val="normaltextrun"/>
          <w:rFonts w:ascii="Calibri" w:hAnsi="Calibri" w:cs="Calibri"/>
          <w:sz w:val="22"/>
          <w:szCs w:val="22"/>
        </w:rPr>
        <w:t>Data from the 2022 BRFS provides information on colorectal cancer screening patterns among Delawareans:</w:t>
      </w:r>
      <w:r w:rsidRPr="00C73D78">
        <w:rPr>
          <w:rStyle w:val="eop"/>
          <w:rFonts w:ascii="Calibri" w:hAnsi="Calibri" w:cs="Calibri"/>
          <w:sz w:val="22"/>
          <w:szCs w:val="22"/>
        </w:rPr>
        <w:t> </w:t>
      </w:r>
    </w:p>
    <w:p w14:paraId="7152EA44" w14:textId="77777777" w:rsidR="004B1222" w:rsidRPr="00C73D78" w:rsidRDefault="004B1222" w:rsidP="004B1222">
      <w:pPr>
        <w:pStyle w:val="paragraph"/>
        <w:spacing w:before="0" w:beforeAutospacing="0" w:after="0" w:afterAutospacing="0"/>
        <w:textAlignment w:val="baseline"/>
        <w:rPr>
          <w:rFonts w:ascii="Segoe UI" w:hAnsi="Segoe UI" w:cs="Segoe UI"/>
          <w:sz w:val="18"/>
          <w:szCs w:val="18"/>
        </w:rPr>
      </w:pPr>
      <w:r w:rsidRPr="00C73D78">
        <w:rPr>
          <w:rStyle w:val="eop"/>
          <w:rFonts w:ascii="Calibri" w:hAnsi="Calibri" w:cs="Calibri"/>
          <w:sz w:val="12"/>
          <w:szCs w:val="12"/>
        </w:rPr>
        <w:t> </w:t>
      </w:r>
    </w:p>
    <w:p w14:paraId="14F22EB6" w14:textId="77777777" w:rsidR="004B1222" w:rsidRPr="00B21C83" w:rsidRDefault="004B1222" w:rsidP="004B1222">
      <w:pPr>
        <w:pStyle w:val="ListParagraph"/>
        <w:numPr>
          <w:ilvl w:val="0"/>
          <w:numId w:val="38"/>
        </w:numPr>
        <w:spacing w:after="120" w:line="240" w:lineRule="auto"/>
        <w:rPr>
          <w:rFonts w:asciiTheme="minorHAnsi" w:hAnsiTheme="minorHAnsi" w:cstheme="minorHAnsi"/>
        </w:rPr>
      </w:pPr>
      <w:r w:rsidRPr="00B21C83">
        <w:rPr>
          <w:rFonts w:asciiTheme="minorHAnsi" w:hAnsiTheme="minorHAnsi" w:cstheme="minorHAnsi"/>
        </w:rPr>
        <w:t>Delaware ranked 12th highest in the prevalence (70%) of adults aged 45 to 74 years who reported meeting the U.S. Preventive Services Task Force (USPSTF) recommendations for colorectal screening.  The U.S. national median for meeting the USPSTF recommendation for colorectal cancer screening was 67%. </w:t>
      </w:r>
    </w:p>
    <w:p w14:paraId="29F6C746" w14:textId="77777777" w:rsidR="004B1222" w:rsidRPr="00B21C83" w:rsidRDefault="004B1222" w:rsidP="004B1222">
      <w:pPr>
        <w:pStyle w:val="ListParagraph"/>
        <w:numPr>
          <w:ilvl w:val="0"/>
          <w:numId w:val="38"/>
        </w:numPr>
        <w:spacing w:after="120" w:line="240" w:lineRule="auto"/>
        <w:rPr>
          <w:rFonts w:asciiTheme="minorHAnsi" w:hAnsiTheme="minorHAnsi" w:cstheme="minorHAnsi"/>
        </w:rPr>
      </w:pPr>
      <w:r w:rsidRPr="00B21C83">
        <w:rPr>
          <w:rFonts w:asciiTheme="minorHAnsi" w:hAnsiTheme="minorHAnsi" w:cstheme="minorHAnsi"/>
        </w:rPr>
        <w:t>The percentage of Delawareans who met the USPSTF recommendation for colorectal cancer screening increased by age group.  Significantly more Delawareans aged 55 to 64 years and aged 65 to 75 years (76% and 82%, respectively) reported meeting the recommendation, compared to those aged 45 to 54 years (47%). </w:t>
      </w:r>
    </w:p>
    <w:p w14:paraId="7B478305" w14:textId="77777777" w:rsidR="004B1222" w:rsidRPr="00B21C83" w:rsidRDefault="004B1222" w:rsidP="004B1222">
      <w:pPr>
        <w:pStyle w:val="ListParagraph"/>
        <w:numPr>
          <w:ilvl w:val="0"/>
          <w:numId w:val="38"/>
        </w:numPr>
        <w:spacing w:after="120" w:line="240" w:lineRule="auto"/>
        <w:rPr>
          <w:rFonts w:asciiTheme="minorHAnsi" w:hAnsiTheme="minorHAnsi" w:cstheme="minorHAnsi"/>
        </w:rPr>
      </w:pPr>
      <w:r w:rsidRPr="00B21C83">
        <w:rPr>
          <w:rFonts w:asciiTheme="minorHAnsi" w:hAnsiTheme="minorHAnsi" w:cstheme="minorHAnsi"/>
        </w:rPr>
        <w:t xml:space="preserve">The prevalence of </w:t>
      </w:r>
      <w:r>
        <w:rPr>
          <w:rFonts w:asciiTheme="minorHAnsi" w:hAnsiTheme="minorHAnsi" w:cstheme="minorHAnsi"/>
        </w:rPr>
        <w:t>non</w:t>
      </w:r>
      <w:r w:rsidRPr="00B21C83">
        <w:rPr>
          <w:rFonts w:asciiTheme="minorHAnsi" w:hAnsiTheme="minorHAnsi" w:cstheme="minorHAnsi"/>
        </w:rPr>
        <w:t xml:space="preserve">-Hispanic </w:t>
      </w:r>
      <w:r w:rsidRPr="0076408E">
        <w:rPr>
          <w:rFonts w:asciiTheme="minorHAnsi" w:hAnsiTheme="minorHAnsi" w:cstheme="minorHAnsi"/>
        </w:rPr>
        <w:t>White</w:t>
      </w:r>
      <w:r>
        <w:rPr>
          <w:rFonts w:asciiTheme="minorHAnsi" w:hAnsiTheme="minorHAnsi" w:cstheme="minorHAnsi"/>
        </w:rPr>
        <w:t xml:space="preserve"> adults</w:t>
      </w:r>
      <w:r w:rsidRPr="00B21C83">
        <w:rPr>
          <w:rFonts w:asciiTheme="minorHAnsi" w:hAnsiTheme="minorHAnsi" w:cstheme="minorHAnsi"/>
        </w:rPr>
        <w:t xml:space="preserve"> aged 50 to 74 years in Delaware who met the USPSTF recommendation for colorectal cancer screening (72%) was lower compared to the prevalence for </w:t>
      </w:r>
      <w:r>
        <w:rPr>
          <w:rFonts w:asciiTheme="minorHAnsi" w:hAnsiTheme="minorHAnsi" w:cstheme="minorHAnsi"/>
        </w:rPr>
        <w:t>non</w:t>
      </w:r>
      <w:r w:rsidRPr="00B21C83">
        <w:rPr>
          <w:rFonts w:asciiTheme="minorHAnsi" w:hAnsiTheme="minorHAnsi" w:cstheme="minorHAnsi"/>
        </w:rPr>
        <w:t>-Hispanic Black Delawareans (68%).  However, this difference was not statistically significant. </w:t>
      </w:r>
    </w:p>
    <w:p w14:paraId="017A58AC" w14:textId="77777777" w:rsidR="004B1222" w:rsidRPr="00B21C83" w:rsidRDefault="004B1222" w:rsidP="004B1222">
      <w:pPr>
        <w:pStyle w:val="ListParagraph"/>
        <w:numPr>
          <w:ilvl w:val="0"/>
          <w:numId w:val="38"/>
        </w:numPr>
        <w:spacing w:after="120" w:line="240" w:lineRule="auto"/>
        <w:rPr>
          <w:rFonts w:asciiTheme="minorHAnsi" w:hAnsiTheme="minorHAnsi" w:cstheme="minorHAnsi"/>
        </w:rPr>
      </w:pPr>
      <w:r w:rsidRPr="00B21C83">
        <w:rPr>
          <w:rFonts w:asciiTheme="minorHAnsi" w:hAnsiTheme="minorHAnsi" w:cstheme="minorHAnsi"/>
        </w:rPr>
        <w:t>In Delaware, the prevalence of adults aged 45 to 74 years who met the USPSTF colorectal cancer screening increased by education level. </w:t>
      </w:r>
    </w:p>
    <w:p w14:paraId="4DA869B8" w14:textId="6B1B78F6" w:rsidR="004B1222" w:rsidRPr="00B21C83" w:rsidRDefault="004B1222" w:rsidP="004B1222">
      <w:pPr>
        <w:pStyle w:val="ListParagraph"/>
        <w:numPr>
          <w:ilvl w:val="0"/>
          <w:numId w:val="38"/>
        </w:numPr>
        <w:spacing w:after="120" w:line="240" w:lineRule="auto"/>
        <w:rPr>
          <w:rFonts w:asciiTheme="minorHAnsi" w:hAnsiTheme="minorHAnsi" w:cstheme="minorHAnsi"/>
        </w:rPr>
      </w:pPr>
      <w:r w:rsidRPr="00B21C83">
        <w:rPr>
          <w:rFonts w:asciiTheme="minorHAnsi" w:hAnsiTheme="minorHAnsi" w:cstheme="minorHAnsi"/>
        </w:rPr>
        <w:t xml:space="preserve">As income increases, so does the prevalence of meeting the USPSTF recommendation for colorectal cancer screening: </w:t>
      </w:r>
      <w:r w:rsidR="00AE459D">
        <w:rPr>
          <w:rFonts w:asciiTheme="minorHAnsi" w:hAnsiTheme="minorHAnsi" w:cstheme="minorHAnsi"/>
        </w:rPr>
        <w:t xml:space="preserve"> </w:t>
      </w:r>
      <w:r w:rsidRPr="00B21C83">
        <w:rPr>
          <w:rFonts w:asciiTheme="minorHAnsi" w:hAnsiTheme="minorHAnsi" w:cstheme="minorHAnsi"/>
        </w:rPr>
        <w:t>58% of Delaware adults in the lowest income category (less than $15,000 annual household income) reported meeting the USPSTF recommendation, compared to 70% in the highest income category ($50,000 or more).  </w:t>
      </w:r>
    </w:p>
    <w:p w14:paraId="50EC8A44" w14:textId="77777777" w:rsidR="004B1222" w:rsidRPr="00C73D78" w:rsidRDefault="004B1222" w:rsidP="004B1222">
      <w:pPr>
        <w:pStyle w:val="paragraph"/>
        <w:spacing w:before="0" w:beforeAutospacing="0" w:after="0" w:afterAutospacing="0"/>
        <w:ind w:left="360"/>
        <w:textAlignment w:val="baseline"/>
        <w:rPr>
          <w:rFonts w:ascii="Calibri" w:hAnsi="Calibri" w:cs="Calibri"/>
          <w:sz w:val="22"/>
          <w:szCs w:val="22"/>
        </w:rPr>
      </w:pPr>
    </w:p>
    <w:p w14:paraId="1D813084" w14:textId="77777777" w:rsidR="004B1222" w:rsidRPr="00C73D78" w:rsidRDefault="004B1222" w:rsidP="00E01C9E">
      <w:pPr>
        <w:pStyle w:val="Heading2"/>
      </w:pPr>
      <w:r w:rsidRPr="00C73D78">
        <w:t>Lung Cancer Screening Recommendations</w:t>
      </w:r>
    </w:p>
    <w:p w14:paraId="002EFB51" w14:textId="00C9F5DB" w:rsidR="004B1222" w:rsidRPr="0076408E" w:rsidRDefault="004B1222" w:rsidP="004B1222">
      <w:pPr>
        <w:spacing w:after="120" w:line="240" w:lineRule="auto"/>
        <w:rPr>
          <w:rFonts w:asciiTheme="minorHAnsi" w:hAnsiTheme="minorHAnsi" w:cstheme="minorHAnsi"/>
        </w:rPr>
      </w:pPr>
      <w:r w:rsidRPr="00C73D78">
        <w:rPr>
          <w:rFonts w:asciiTheme="minorHAnsi" w:hAnsiTheme="minorHAnsi" w:cstheme="minorHAnsi"/>
        </w:rPr>
        <w:t>In May 2021, the ACS published new lung cancer screening guidelines</w:t>
      </w:r>
      <w:r w:rsidR="00744715">
        <w:rPr>
          <w:rStyle w:val="FootnoteReference"/>
          <w:rFonts w:asciiTheme="minorHAnsi" w:hAnsiTheme="minorHAnsi" w:cstheme="minorHAnsi"/>
        </w:rPr>
        <w:footnoteReference w:id="40"/>
      </w:r>
      <w:r w:rsidRPr="00C73D78">
        <w:rPr>
          <w:rFonts w:asciiTheme="minorHAnsi" w:hAnsiTheme="minorHAnsi" w:cstheme="minorHAnsi"/>
        </w:rPr>
        <w:t xml:space="preserve"> that recommend that doctors discuss screening options with patients who meet certain criteria for high risk of developing the disease.  High-risk patients are defined as those who</w:t>
      </w:r>
      <w:r>
        <w:rPr>
          <w:rFonts w:asciiTheme="minorHAnsi" w:hAnsiTheme="minorHAnsi" w:cstheme="minorHAnsi"/>
        </w:rPr>
        <w:t xml:space="preserve"> a</w:t>
      </w:r>
      <w:r w:rsidRPr="0076408E">
        <w:rPr>
          <w:rFonts w:asciiTheme="minorHAnsi" w:hAnsiTheme="minorHAnsi" w:cstheme="minorHAnsi"/>
        </w:rPr>
        <w:t>re aged 50 to 80 years and </w:t>
      </w:r>
      <w:r>
        <w:rPr>
          <w:rFonts w:asciiTheme="minorHAnsi" w:hAnsiTheme="minorHAnsi" w:cstheme="minorHAnsi"/>
        </w:rPr>
        <w:t>h</w:t>
      </w:r>
      <w:r w:rsidRPr="0076408E">
        <w:rPr>
          <w:rFonts w:asciiTheme="minorHAnsi" w:hAnsiTheme="minorHAnsi" w:cstheme="minorHAnsi"/>
        </w:rPr>
        <w:t>ave a smoking history equivalent to a pack a day for 20 years or longer </w:t>
      </w:r>
      <w:r>
        <w:rPr>
          <w:rFonts w:asciiTheme="minorHAnsi" w:hAnsiTheme="minorHAnsi" w:cstheme="minorHAnsi"/>
        </w:rPr>
        <w:t>or c</w:t>
      </w:r>
      <w:r w:rsidRPr="0076408E">
        <w:rPr>
          <w:rFonts w:asciiTheme="minorHAnsi" w:hAnsiTheme="minorHAnsi" w:cstheme="minorHAnsi"/>
        </w:rPr>
        <w:t>urrently smoke or have quit within the past 15 years. </w:t>
      </w:r>
    </w:p>
    <w:p w14:paraId="256C1138" w14:textId="77777777" w:rsidR="004B1222" w:rsidRPr="00161F92" w:rsidRDefault="004B1222" w:rsidP="00AE459D">
      <w:pPr>
        <w:spacing w:after="120" w:line="240" w:lineRule="auto"/>
        <w:rPr>
          <w:rStyle w:val="eop"/>
          <w:rFonts w:asciiTheme="minorHAnsi" w:hAnsiTheme="minorHAnsi" w:cstheme="minorHAnsi"/>
        </w:rPr>
      </w:pPr>
      <w:r w:rsidRPr="00C73D78">
        <w:rPr>
          <w:rFonts w:asciiTheme="minorHAnsi" w:hAnsiTheme="minorHAnsi" w:cstheme="minorHAnsi"/>
        </w:rPr>
        <w:t>If a high-risk individual decides to be screened for lung cancer, the ACS recommends that the testing be performed using a low dose CT scan at a facility with experience in lung cancer screening.  The guidelines emphasize that screening is not a substitute for quitting smoking. </w:t>
      </w:r>
    </w:p>
    <w:p w14:paraId="3DDD4D10" w14:textId="77777777" w:rsidR="004B1222" w:rsidRPr="00C73D78" w:rsidRDefault="004B1222" w:rsidP="004B1222">
      <w:pPr>
        <w:pStyle w:val="paragraph"/>
        <w:spacing w:before="0" w:beforeAutospacing="0" w:after="120" w:afterAutospacing="0"/>
        <w:textAlignment w:val="baseline"/>
        <w:rPr>
          <w:rFonts w:ascii="Segoe UI" w:hAnsi="Segoe UI" w:cs="Segoe UI"/>
          <w:sz w:val="18"/>
          <w:szCs w:val="18"/>
        </w:rPr>
      </w:pPr>
    </w:p>
    <w:p w14:paraId="6DE23E1E" w14:textId="77777777" w:rsidR="004B1222" w:rsidRPr="00C73D78" w:rsidRDefault="004B1222" w:rsidP="00E01C9E">
      <w:pPr>
        <w:pStyle w:val="Heading2"/>
      </w:pPr>
      <w:r w:rsidRPr="00C73D78">
        <w:t>Lung Cancer Screening in Delaware</w:t>
      </w:r>
    </w:p>
    <w:p w14:paraId="1B7606E7" w14:textId="77777777" w:rsidR="004B1222" w:rsidRPr="00C73D78" w:rsidRDefault="004B1222" w:rsidP="004B1222">
      <w:pPr>
        <w:spacing w:after="120" w:line="240" w:lineRule="auto"/>
        <w:rPr>
          <w:rFonts w:asciiTheme="minorHAnsi" w:hAnsiTheme="minorHAnsi" w:cstheme="minorHAnsi"/>
        </w:rPr>
      </w:pPr>
      <w:r w:rsidRPr="00C73D78">
        <w:rPr>
          <w:rFonts w:asciiTheme="minorHAnsi" w:hAnsiTheme="minorHAnsi" w:cstheme="minorHAnsi"/>
        </w:rPr>
        <w:t>Data from the 202</w:t>
      </w:r>
      <w:r>
        <w:rPr>
          <w:rFonts w:asciiTheme="minorHAnsi" w:hAnsiTheme="minorHAnsi" w:cstheme="minorHAnsi"/>
        </w:rPr>
        <w:t>2</w:t>
      </w:r>
      <w:r w:rsidRPr="00C73D78">
        <w:rPr>
          <w:rFonts w:asciiTheme="minorHAnsi" w:hAnsiTheme="minorHAnsi" w:cstheme="minorHAnsi"/>
        </w:rPr>
        <w:t xml:space="preserve"> BRFS provides information on lung cancer screening patterns among Delawareans:</w:t>
      </w:r>
    </w:p>
    <w:p w14:paraId="19F38517" w14:textId="77777777" w:rsidR="004B1222" w:rsidRPr="00C73D78" w:rsidRDefault="004B1222" w:rsidP="004B1222">
      <w:pPr>
        <w:pStyle w:val="ListParagraph"/>
        <w:numPr>
          <w:ilvl w:val="0"/>
          <w:numId w:val="35"/>
        </w:numPr>
        <w:spacing w:after="120" w:line="240" w:lineRule="auto"/>
        <w:rPr>
          <w:rFonts w:asciiTheme="minorHAnsi" w:hAnsiTheme="minorHAnsi" w:cstheme="minorHAnsi"/>
        </w:rPr>
      </w:pPr>
      <w:r w:rsidRPr="00C73D78">
        <w:rPr>
          <w:rFonts w:asciiTheme="minorHAnsi" w:hAnsiTheme="minorHAnsi" w:cstheme="minorHAnsi"/>
        </w:rPr>
        <w:t>It is estimated that approximately 8% of Delaware adults between the ages of 50 and 80 may be eligible for lung cancer screening. </w:t>
      </w:r>
    </w:p>
    <w:p w14:paraId="2E458D89" w14:textId="77777777" w:rsidR="004B1222" w:rsidRPr="00FD7D46" w:rsidRDefault="004B1222" w:rsidP="004B1222">
      <w:pPr>
        <w:pStyle w:val="ListParagraph"/>
        <w:numPr>
          <w:ilvl w:val="0"/>
          <w:numId w:val="35"/>
        </w:numPr>
        <w:spacing w:after="120" w:line="240" w:lineRule="auto"/>
        <w:rPr>
          <w:rFonts w:asciiTheme="minorHAnsi" w:hAnsiTheme="minorHAnsi" w:cstheme="minorHAnsi"/>
        </w:rPr>
      </w:pPr>
      <w:r w:rsidRPr="00FD7D46">
        <w:rPr>
          <w:rFonts w:asciiTheme="minorHAnsi" w:hAnsiTheme="minorHAnsi" w:cstheme="minorHAnsi"/>
        </w:rPr>
        <w:t xml:space="preserve">The vast majority of Delaware adults eligible for lung cancer screening are </w:t>
      </w:r>
      <w:r>
        <w:rPr>
          <w:rFonts w:asciiTheme="minorHAnsi" w:hAnsiTheme="minorHAnsi" w:cstheme="minorHAnsi"/>
        </w:rPr>
        <w:t>n</w:t>
      </w:r>
      <w:r w:rsidRPr="00FD7D46">
        <w:rPr>
          <w:rFonts w:asciiTheme="minorHAnsi" w:hAnsiTheme="minorHAnsi" w:cstheme="minorHAnsi"/>
        </w:rPr>
        <w:t xml:space="preserve">on-Hispanic </w:t>
      </w:r>
      <w:r w:rsidRPr="0076408E">
        <w:rPr>
          <w:rFonts w:asciiTheme="minorHAnsi" w:hAnsiTheme="minorHAnsi" w:cstheme="minorHAnsi"/>
        </w:rPr>
        <w:t>White</w:t>
      </w:r>
      <w:r>
        <w:rPr>
          <w:rFonts w:asciiTheme="minorHAnsi" w:hAnsiTheme="minorHAnsi" w:cstheme="minorHAnsi"/>
        </w:rPr>
        <w:t xml:space="preserve"> adults.  </w:t>
      </w:r>
      <w:r w:rsidRPr="00FD7D46">
        <w:rPr>
          <w:rFonts w:asciiTheme="minorHAnsi" w:hAnsiTheme="minorHAnsi" w:cstheme="minorHAnsi"/>
        </w:rPr>
        <w:t xml:space="preserve"> Therefore, breakdowns by race/ethnicity cannot be reported. </w:t>
      </w:r>
    </w:p>
    <w:p w14:paraId="3D5393DE" w14:textId="77777777" w:rsidR="004B1222" w:rsidRPr="00C73D78" w:rsidRDefault="004B1222" w:rsidP="004B1222">
      <w:pPr>
        <w:pStyle w:val="ListParagraph"/>
        <w:numPr>
          <w:ilvl w:val="0"/>
          <w:numId w:val="35"/>
        </w:numPr>
        <w:spacing w:after="120" w:line="240" w:lineRule="auto"/>
        <w:rPr>
          <w:rFonts w:asciiTheme="minorHAnsi" w:hAnsiTheme="minorHAnsi" w:cstheme="minorHAnsi"/>
        </w:rPr>
      </w:pPr>
      <w:r w:rsidRPr="00C73D78">
        <w:rPr>
          <w:rFonts w:asciiTheme="minorHAnsi" w:hAnsiTheme="minorHAnsi" w:cstheme="minorHAnsi"/>
        </w:rPr>
        <w:t>Of Delaware adults eligible for lung cancer screening, only 24% reported having a CT scan to screen for lung cancer.   </w:t>
      </w:r>
    </w:p>
    <w:p w14:paraId="4A5C6FFC" w14:textId="77777777" w:rsidR="004B1222" w:rsidRPr="00C73D78" w:rsidRDefault="004B1222" w:rsidP="004B1222">
      <w:pPr>
        <w:pStyle w:val="ListParagraph"/>
        <w:numPr>
          <w:ilvl w:val="0"/>
          <w:numId w:val="35"/>
        </w:numPr>
        <w:spacing w:after="120" w:line="240" w:lineRule="auto"/>
        <w:rPr>
          <w:rFonts w:asciiTheme="minorHAnsi" w:hAnsiTheme="minorHAnsi" w:cstheme="minorHAnsi"/>
        </w:rPr>
      </w:pPr>
      <w:r w:rsidRPr="00C73D78">
        <w:rPr>
          <w:rFonts w:asciiTheme="minorHAnsi" w:hAnsiTheme="minorHAnsi" w:cstheme="minorHAnsi"/>
        </w:rPr>
        <w:t>Of Delaware adults eligible for lung cancer screening, there were no differences between Delaware males and Delaware females who reported having a CT scan to screen for lung cancer.   </w:t>
      </w:r>
    </w:p>
    <w:p w14:paraId="5740E333" w14:textId="77777777" w:rsidR="004B1222" w:rsidRDefault="004B1222" w:rsidP="004B1222">
      <w:pPr>
        <w:pStyle w:val="ListParagraph"/>
        <w:numPr>
          <w:ilvl w:val="0"/>
          <w:numId w:val="35"/>
        </w:numPr>
        <w:spacing w:after="120" w:line="240" w:lineRule="auto"/>
        <w:rPr>
          <w:rFonts w:asciiTheme="minorHAnsi" w:hAnsiTheme="minorHAnsi" w:cstheme="minorHAnsi"/>
        </w:rPr>
      </w:pPr>
      <w:r w:rsidRPr="00C73D78">
        <w:rPr>
          <w:rFonts w:asciiTheme="minorHAnsi" w:hAnsiTheme="minorHAnsi" w:cstheme="minorHAnsi"/>
        </w:rPr>
        <w:t>Due to the low percentage of Delaware adults who are eligible being screened for lung cancer, breakdowns by annual household income and educational attainment cannot be reported due to small sample size. </w:t>
      </w:r>
    </w:p>
    <w:p w14:paraId="6F58EE65" w14:textId="77777777" w:rsidR="004B1222" w:rsidRPr="00C73D78" w:rsidRDefault="004B1222" w:rsidP="004B1222">
      <w:pPr>
        <w:pStyle w:val="ListParagraph"/>
        <w:spacing w:after="120" w:line="240" w:lineRule="auto"/>
        <w:ind w:left="360"/>
        <w:rPr>
          <w:rFonts w:asciiTheme="minorHAnsi" w:hAnsiTheme="minorHAnsi" w:cstheme="minorHAnsi"/>
        </w:rPr>
      </w:pPr>
    </w:p>
    <w:p w14:paraId="41BE94D9" w14:textId="20EA3D46" w:rsidR="004B1222" w:rsidRPr="00C73D78" w:rsidRDefault="004B1222" w:rsidP="00E01C9E">
      <w:pPr>
        <w:pStyle w:val="Heading2"/>
      </w:pPr>
      <w:r w:rsidRPr="00C73D78">
        <w:lastRenderedPageBreak/>
        <w:t>Prostate Cancer Screening Recommendations</w:t>
      </w:r>
    </w:p>
    <w:p w14:paraId="476121EC" w14:textId="05805EA8" w:rsidR="004B1222" w:rsidRPr="00C73D78" w:rsidRDefault="004B1222" w:rsidP="00617307">
      <w:pPr>
        <w:spacing w:after="120" w:line="240" w:lineRule="auto"/>
        <w:rPr>
          <w:rFonts w:asciiTheme="minorHAnsi" w:hAnsiTheme="minorHAnsi" w:cstheme="minorHAnsi"/>
        </w:rPr>
      </w:pPr>
      <w:r w:rsidRPr="00C73D78">
        <w:rPr>
          <w:rFonts w:asciiTheme="minorHAnsi" w:hAnsiTheme="minorHAnsi" w:cstheme="minorHAnsi"/>
        </w:rPr>
        <w:t>The ACS recommends that males make an informed decision with their health care provider about whether to be screened for prostate cancer.  Males should receive information from their doctors about the risks and possible benefits of prostate cancer screening.  Males should not be screened unless they receive this information</w:t>
      </w:r>
      <w:r w:rsidR="00C035E9">
        <w:rPr>
          <w:rFonts w:asciiTheme="minorHAnsi" w:hAnsiTheme="minorHAnsi" w:cstheme="minorHAnsi"/>
        </w:rPr>
        <w:t>.</w:t>
      </w:r>
      <w:r w:rsidR="00C035E9">
        <w:rPr>
          <w:rStyle w:val="FootnoteReference"/>
          <w:rFonts w:asciiTheme="minorHAnsi" w:hAnsiTheme="minorHAnsi" w:cstheme="minorHAnsi"/>
        </w:rPr>
        <w:footnoteReference w:id="41"/>
      </w:r>
      <w:r w:rsidRPr="00C73D78">
        <w:rPr>
          <w:rFonts w:asciiTheme="minorHAnsi" w:hAnsiTheme="minorHAnsi" w:cstheme="minorHAnsi"/>
        </w:rPr>
        <w:t> </w:t>
      </w:r>
    </w:p>
    <w:p w14:paraId="745F3372" w14:textId="77777777" w:rsidR="004B1222" w:rsidRPr="00C73D78" w:rsidRDefault="004B1222" w:rsidP="004B1222">
      <w:pPr>
        <w:spacing w:after="120" w:line="240" w:lineRule="auto"/>
        <w:rPr>
          <w:rFonts w:asciiTheme="minorHAnsi" w:hAnsiTheme="minorHAnsi" w:cstheme="minorHAnsi"/>
        </w:rPr>
      </w:pPr>
      <w:r w:rsidRPr="00C73D78">
        <w:rPr>
          <w:rFonts w:asciiTheme="minorHAnsi" w:hAnsiTheme="minorHAnsi" w:cstheme="minorHAnsi"/>
        </w:rPr>
        <w:t>The DCC recommends the following prostate cancer screening guidelines for Delaware males: </w:t>
      </w:r>
    </w:p>
    <w:p w14:paraId="03459F05" w14:textId="77777777" w:rsidR="004B1222" w:rsidRPr="00B21C83" w:rsidRDefault="004B1222" w:rsidP="00617307">
      <w:pPr>
        <w:pStyle w:val="ListParagraph"/>
        <w:numPr>
          <w:ilvl w:val="0"/>
          <w:numId w:val="36"/>
        </w:numPr>
        <w:spacing w:after="120" w:line="240" w:lineRule="auto"/>
        <w:rPr>
          <w:rFonts w:asciiTheme="minorHAnsi" w:hAnsiTheme="minorHAnsi" w:cstheme="minorHAnsi"/>
        </w:rPr>
      </w:pPr>
      <w:r w:rsidRPr="00B21C83">
        <w:rPr>
          <w:rFonts w:asciiTheme="minorHAnsi" w:hAnsiTheme="minorHAnsi" w:cstheme="minorHAnsi"/>
        </w:rPr>
        <w:t xml:space="preserve">No </w:t>
      </w:r>
      <w:r>
        <w:rPr>
          <w:rFonts w:asciiTheme="minorHAnsi" w:hAnsiTheme="minorHAnsi" w:cstheme="minorHAnsi"/>
        </w:rPr>
        <w:t xml:space="preserve">population wide </w:t>
      </w:r>
      <w:r w:rsidRPr="00B21C83">
        <w:rPr>
          <w:rFonts w:asciiTheme="minorHAnsi" w:hAnsiTheme="minorHAnsi" w:cstheme="minorHAnsi"/>
        </w:rPr>
        <w:t>prostate cancer screening efforts</w:t>
      </w:r>
      <w:r>
        <w:rPr>
          <w:rFonts w:asciiTheme="minorHAnsi" w:hAnsiTheme="minorHAnsi" w:cstheme="minorHAnsi"/>
        </w:rPr>
        <w:t>.</w:t>
      </w:r>
      <w:r w:rsidRPr="00B21C83">
        <w:rPr>
          <w:rFonts w:asciiTheme="minorHAnsi" w:hAnsiTheme="minorHAnsi" w:cstheme="minorHAnsi"/>
        </w:rPr>
        <w:t> </w:t>
      </w:r>
    </w:p>
    <w:p w14:paraId="20F22702" w14:textId="77777777" w:rsidR="004B1222" w:rsidRPr="00B21C83" w:rsidRDefault="004B1222" w:rsidP="00617307">
      <w:pPr>
        <w:pStyle w:val="ListParagraph"/>
        <w:numPr>
          <w:ilvl w:val="0"/>
          <w:numId w:val="36"/>
        </w:numPr>
        <w:spacing w:after="120" w:line="240" w:lineRule="auto"/>
        <w:rPr>
          <w:rFonts w:asciiTheme="minorHAnsi" w:hAnsiTheme="minorHAnsi" w:cstheme="minorHAnsi"/>
        </w:rPr>
      </w:pPr>
      <w:r w:rsidRPr="00B21C83">
        <w:rPr>
          <w:rFonts w:asciiTheme="minorHAnsi" w:hAnsiTheme="minorHAnsi" w:cstheme="minorHAnsi"/>
        </w:rPr>
        <w:t>Promote education for informed prostate cancer screening decision-making. </w:t>
      </w:r>
    </w:p>
    <w:p w14:paraId="04CF474F" w14:textId="77777777" w:rsidR="004B1222" w:rsidRPr="00B21C83" w:rsidRDefault="004B1222" w:rsidP="00617307">
      <w:pPr>
        <w:pStyle w:val="ListParagraph"/>
        <w:numPr>
          <w:ilvl w:val="0"/>
          <w:numId w:val="36"/>
        </w:numPr>
        <w:spacing w:after="120" w:line="240" w:lineRule="auto"/>
        <w:rPr>
          <w:rFonts w:asciiTheme="minorHAnsi" w:hAnsiTheme="minorHAnsi" w:cstheme="minorHAnsi"/>
        </w:rPr>
      </w:pPr>
      <w:r w:rsidRPr="00B21C83">
        <w:rPr>
          <w:rFonts w:asciiTheme="minorHAnsi" w:hAnsiTheme="minorHAnsi" w:cstheme="minorHAnsi"/>
        </w:rPr>
        <w:t>Screening in males older than 75 years of age is less desirable; however, screening decisions should be made on an individual basis. </w:t>
      </w:r>
    </w:p>
    <w:p w14:paraId="1EEF4212" w14:textId="77777777" w:rsidR="004B1222" w:rsidRPr="00B21C83" w:rsidRDefault="004B1222" w:rsidP="00617307">
      <w:pPr>
        <w:pStyle w:val="ListParagraph"/>
        <w:numPr>
          <w:ilvl w:val="0"/>
          <w:numId w:val="36"/>
        </w:numPr>
        <w:spacing w:after="120" w:line="240" w:lineRule="auto"/>
        <w:rPr>
          <w:rFonts w:asciiTheme="minorHAnsi" w:hAnsiTheme="minorHAnsi" w:cstheme="minorHAnsi"/>
        </w:rPr>
      </w:pPr>
      <w:r w:rsidRPr="00B21C83">
        <w:rPr>
          <w:rFonts w:asciiTheme="minorHAnsi" w:hAnsiTheme="minorHAnsi" w:cstheme="minorHAnsi"/>
        </w:rPr>
        <w:t>Screening is not recommended for males with a life expectancy of less than 10 years. </w:t>
      </w:r>
    </w:p>
    <w:p w14:paraId="5BC671FF" w14:textId="77777777" w:rsidR="004B1222" w:rsidRPr="00B21C83" w:rsidRDefault="004B1222" w:rsidP="00617307">
      <w:pPr>
        <w:pStyle w:val="ListParagraph"/>
        <w:numPr>
          <w:ilvl w:val="0"/>
          <w:numId w:val="36"/>
        </w:numPr>
        <w:spacing w:after="120" w:line="240" w:lineRule="auto"/>
        <w:rPr>
          <w:rFonts w:asciiTheme="minorHAnsi" w:hAnsiTheme="minorHAnsi" w:cstheme="minorHAnsi"/>
        </w:rPr>
      </w:pPr>
      <w:r w:rsidRPr="00B21C83">
        <w:rPr>
          <w:rFonts w:asciiTheme="minorHAnsi" w:hAnsiTheme="minorHAnsi" w:cstheme="minorHAnsi"/>
        </w:rPr>
        <w:t>Offer screening for individuals considered to be at average risk for the disease beginning at 50 years of age, using an informed decision-making process. </w:t>
      </w:r>
    </w:p>
    <w:p w14:paraId="67102C16" w14:textId="77777777" w:rsidR="004B1222" w:rsidRPr="00B21C83" w:rsidRDefault="004B1222" w:rsidP="00617307">
      <w:pPr>
        <w:pStyle w:val="ListParagraph"/>
        <w:numPr>
          <w:ilvl w:val="1"/>
          <w:numId w:val="36"/>
        </w:numPr>
        <w:spacing w:after="120" w:line="240" w:lineRule="auto"/>
        <w:rPr>
          <w:rFonts w:asciiTheme="minorHAnsi" w:hAnsiTheme="minorHAnsi" w:cstheme="minorHAnsi"/>
        </w:rPr>
      </w:pPr>
      <w:r w:rsidRPr="00B21C83">
        <w:rPr>
          <w:rFonts w:asciiTheme="minorHAnsi" w:hAnsiTheme="minorHAnsi" w:cstheme="minorHAnsi"/>
        </w:rPr>
        <w:t>High-risk individuals should be encouraged to be screened starting at 40 years of age if they: </w:t>
      </w:r>
    </w:p>
    <w:p w14:paraId="727829C5" w14:textId="77777777" w:rsidR="004B1222" w:rsidRPr="00B21C83" w:rsidRDefault="004B1222" w:rsidP="00617307">
      <w:pPr>
        <w:pStyle w:val="ListParagraph"/>
        <w:numPr>
          <w:ilvl w:val="2"/>
          <w:numId w:val="36"/>
        </w:numPr>
        <w:spacing w:after="120" w:line="240" w:lineRule="auto"/>
        <w:rPr>
          <w:rFonts w:asciiTheme="minorHAnsi" w:hAnsiTheme="minorHAnsi" w:cstheme="minorHAnsi"/>
        </w:rPr>
      </w:pPr>
      <w:r w:rsidRPr="00B21C83">
        <w:rPr>
          <w:rFonts w:asciiTheme="minorHAnsi" w:hAnsiTheme="minorHAnsi" w:cstheme="minorHAnsi"/>
        </w:rPr>
        <w:t>Have first-degree relatives with prostate cancer</w:t>
      </w:r>
      <w:r>
        <w:rPr>
          <w:rFonts w:asciiTheme="minorHAnsi" w:hAnsiTheme="minorHAnsi" w:cstheme="minorHAnsi"/>
        </w:rPr>
        <w:t>.</w:t>
      </w:r>
      <w:r w:rsidRPr="00B21C83">
        <w:rPr>
          <w:rFonts w:asciiTheme="minorHAnsi" w:hAnsiTheme="minorHAnsi" w:cstheme="minorHAnsi"/>
        </w:rPr>
        <w:t> </w:t>
      </w:r>
    </w:p>
    <w:p w14:paraId="06E76C59" w14:textId="77777777" w:rsidR="004B1222" w:rsidRPr="00B21C83" w:rsidRDefault="004B1222" w:rsidP="00617307">
      <w:pPr>
        <w:pStyle w:val="ListParagraph"/>
        <w:numPr>
          <w:ilvl w:val="2"/>
          <w:numId w:val="36"/>
        </w:numPr>
        <w:spacing w:after="120" w:line="240" w:lineRule="auto"/>
        <w:rPr>
          <w:rFonts w:asciiTheme="minorHAnsi" w:hAnsiTheme="minorHAnsi" w:cstheme="minorHAnsi"/>
        </w:rPr>
      </w:pPr>
      <w:r w:rsidRPr="00B21C83">
        <w:rPr>
          <w:rFonts w:asciiTheme="minorHAnsi" w:hAnsiTheme="minorHAnsi" w:cstheme="minorHAnsi"/>
        </w:rPr>
        <w:t xml:space="preserve">Are </w:t>
      </w:r>
      <w:r>
        <w:rPr>
          <w:rFonts w:asciiTheme="minorHAnsi" w:hAnsiTheme="minorHAnsi" w:cstheme="minorHAnsi"/>
        </w:rPr>
        <w:t>n</w:t>
      </w:r>
      <w:r w:rsidRPr="00B21C83">
        <w:rPr>
          <w:rFonts w:asciiTheme="minorHAnsi" w:hAnsiTheme="minorHAnsi" w:cstheme="minorHAnsi"/>
        </w:rPr>
        <w:t>on-Hispanic Black males</w:t>
      </w:r>
      <w:r>
        <w:rPr>
          <w:rFonts w:asciiTheme="minorHAnsi" w:hAnsiTheme="minorHAnsi" w:cstheme="minorHAnsi"/>
        </w:rPr>
        <w:t>.</w:t>
      </w:r>
    </w:p>
    <w:p w14:paraId="77343685" w14:textId="77777777" w:rsidR="004B1222" w:rsidRPr="00B21C83" w:rsidRDefault="004B1222" w:rsidP="00617307">
      <w:pPr>
        <w:pStyle w:val="ListParagraph"/>
        <w:numPr>
          <w:ilvl w:val="2"/>
          <w:numId w:val="36"/>
        </w:numPr>
        <w:spacing w:after="120" w:line="240" w:lineRule="auto"/>
        <w:rPr>
          <w:rFonts w:asciiTheme="minorHAnsi" w:hAnsiTheme="minorHAnsi" w:cstheme="minorHAnsi"/>
        </w:rPr>
      </w:pPr>
      <w:r w:rsidRPr="00B21C83">
        <w:rPr>
          <w:rFonts w:asciiTheme="minorHAnsi" w:hAnsiTheme="minorHAnsi" w:cstheme="minorHAnsi"/>
        </w:rPr>
        <w:t>Have family or personal history of BRCA1 or BRCA2 gene. </w:t>
      </w:r>
    </w:p>
    <w:p w14:paraId="291C8241" w14:textId="77777777" w:rsidR="004B1222" w:rsidRDefault="004B1222" w:rsidP="00617307">
      <w:pPr>
        <w:pStyle w:val="ListParagraph"/>
        <w:numPr>
          <w:ilvl w:val="0"/>
          <w:numId w:val="36"/>
        </w:numPr>
        <w:spacing w:after="120" w:line="240" w:lineRule="auto"/>
        <w:rPr>
          <w:rFonts w:asciiTheme="minorHAnsi" w:hAnsiTheme="minorHAnsi" w:cstheme="minorHAnsi"/>
        </w:rPr>
      </w:pPr>
      <w:r w:rsidRPr="00B21C83">
        <w:rPr>
          <w:rFonts w:asciiTheme="minorHAnsi" w:hAnsiTheme="minorHAnsi" w:cstheme="minorHAnsi"/>
        </w:rPr>
        <w:t>Screening at one- to two-year intervals via prostate specific antigen (PSA) test, with or without digital rectal exam (DRE). </w:t>
      </w:r>
    </w:p>
    <w:p w14:paraId="45BDCDDB" w14:textId="77777777" w:rsidR="004B1222" w:rsidRDefault="004B1222" w:rsidP="004B1222">
      <w:pPr>
        <w:pStyle w:val="ListParagraph"/>
        <w:spacing w:after="120" w:line="240" w:lineRule="auto"/>
        <w:rPr>
          <w:rFonts w:asciiTheme="minorHAnsi" w:hAnsiTheme="minorHAnsi" w:cstheme="minorHAnsi"/>
        </w:rPr>
      </w:pPr>
    </w:p>
    <w:p w14:paraId="1D8F2706" w14:textId="77777777" w:rsidR="004B1222" w:rsidRDefault="004B1222" w:rsidP="004B1222">
      <w:pPr>
        <w:pStyle w:val="ListParagraph"/>
        <w:spacing w:after="120" w:line="240" w:lineRule="auto"/>
        <w:rPr>
          <w:rFonts w:asciiTheme="minorHAnsi" w:hAnsiTheme="minorHAnsi" w:cstheme="minorHAnsi"/>
        </w:rPr>
      </w:pPr>
    </w:p>
    <w:p w14:paraId="17D8CA34" w14:textId="77777777" w:rsidR="004B1222" w:rsidRDefault="004B1222" w:rsidP="004B1222">
      <w:pPr>
        <w:pStyle w:val="ListParagraph"/>
        <w:spacing w:after="120" w:line="240" w:lineRule="auto"/>
        <w:rPr>
          <w:rFonts w:asciiTheme="minorHAnsi" w:hAnsiTheme="minorHAnsi" w:cstheme="minorHAnsi"/>
        </w:rPr>
      </w:pPr>
    </w:p>
    <w:p w14:paraId="72D1E921" w14:textId="77777777" w:rsidR="004B1222" w:rsidRPr="00C73D78" w:rsidRDefault="004B1222" w:rsidP="00E01C9E">
      <w:pPr>
        <w:pStyle w:val="Heading2"/>
      </w:pPr>
      <w:r w:rsidRPr="00C73D78">
        <w:t>Prostate Cancer Screening in Delaware</w:t>
      </w:r>
    </w:p>
    <w:p w14:paraId="79E998B0" w14:textId="77777777" w:rsidR="004B1222" w:rsidRPr="00B21C83" w:rsidRDefault="004B1222" w:rsidP="004B1222">
      <w:pPr>
        <w:spacing w:after="120" w:line="240" w:lineRule="auto"/>
        <w:rPr>
          <w:rFonts w:asciiTheme="minorHAnsi" w:hAnsiTheme="minorHAnsi" w:cstheme="minorHAnsi"/>
        </w:rPr>
      </w:pPr>
      <w:r w:rsidRPr="00B21C83">
        <w:rPr>
          <w:rFonts w:asciiTheme="minorHAnsi" w:hAnsiTheme="minorHAnsi" w:cstheme="minorHAnsi"/>
        </w:rPr>
        <w:t>Data from the 2022 BRFS provides information on the prevalence of prostate cancer screening among Delaware males: </w:t>
      </w:r>
    </w:p>
    <w:p w14:paraId="119381F7" w14:textId="77777777" w:rsidR="004B1222" w:rsidRPr="00B21C83" w:rsidRDefault="004B1222" w:rsidP="004B1222">
      <w:pPr>
        <w:pStyle w:val="ListParagraph"/>
        <w:numPr>
          <w:ilvl w:val="0"/>
          <w:numId w:val="37"/>
        </w:numPr>
        <w:spacing w:after="120" w:line="240" w:lineRule="auto"/>
        <w:rPr>
          <w:rFonts w:asciiTheme="minorHAnsi" w:hAnsiTheme="minorHAnsi" w:cstheme="minorHAnsi"/>
        </w:rPr>
      </w:pPr>
      <w:r w:rsidRPr="00B21C83">
        <w:rPr>
          <w:rFonts w:asciiTheme="minorHAnsi" w:hAnsiTheme="minorHAnsi" w:cstheme="minorHAnsi"/>
        </w:rPr>
        <w:t xml:space="preserve">Thirty percent of Delaware males 40 years of age and older reported having had a PSA blood test in the past two years. </w:t>
      </w:r>
      <w:r>
        <w:rPr>
          <w:rFonts w:asciiTheme="minorHAnsi" w:hAnsiTheme="minorHAnsi" w:cstheme="minorHAnsi"/>
        </w:rPr>
        <w:t xml:space="preserve"> </w:t>
      </w:r>
      <w:r w:rsidRPr="00B21C83">
        <w:rPr>
          <w:rFonts w:asciiTheme="minorHAnsi" w:hAnsiTheme="minorHAnsi" w:cstheme="minorHAnsi"/>
        </w:rPr>
        <w:t>PSA screening questions were not asked in all states and therefore, no national comparisons are available. </w:t>
      </w:r>
    </w:p>
    <w:p w14:paraId="62ED951B" w14:textId="77777777" w:rsidR="004B1222" w:rsidRPr="00B21C83" w:rsidRDefault="004B1222" w:rsidP="004B1222">
      <w:pPr>
        <w:pStyle w:val="ListParagraph"/>
        <w:numPr>
          <w:ilvl w:val="0"/>
          <w:numId w:val="37"/>
        </w:numPr>
        <w:spacing w:after="120" w:line="240" w:lineRule="auto"/>
        <w:rPr>
          <w:rFonts w:asciiTheme="minorHAnsi" w:hAnsiTheme="minorHAnsi" w:cstheme="minorHAnsi"/>
        </w:rPr>
      </w:pPr>
      <w:r w:rsidRPr="00B21C83">
        <w:rPr>
          <w:rFonts w:asciiTheme="minorHAnsi" w:hAnsiTheme="minorHAnsi" w:cstheme="minorHAnsi"/>
        </w:rPr>
        <w:t>The prevalence of Delaware males who received a PSA test within the past two years increased with age: 30% of males aged 50 to 59 years were tested, compared to 51% of males aged 65 years and older.  This difference was statistically significant. </w:t>
      </w:r>
    </w:p>
    <w:p w14:paraId="4F7E0560" w14:textId="77777777" w:rsidR="004B1222" w:rsidRPr="00B21C83" w:rsidRDefault="004B1222" w:rsidP="004B1222">
      <w:pPr>
        <w:pStyle w:val="ListParagraph"/>
        <w:numPr>
          <w:ilvl w:val="0"/>
          <w:numId w:val="37"/>
        </w:numPr>
        <w:spacing w:after="120" w:line="240" w:lineRule="auto"/>
        <w:rPr>
          <w:rFonts w:asciiTheme="minorHAnsi" w:hAnsiTheme="minorHAnsi" w:cstheme="minorHAnsi"/>
        </w:rPr>
      </w:pPr>
      <w:r w:rsidRPr="00B21C83">
        <w:rPr>
          <w:rFonts w:asciiTheme="minorHAnsi" w:hAnsiTheme="minorHAnsi" w:cstheme="minorHAnsi"/>
        </w:rPr>
        <w:t xml:space="preserve">In Delaware, there was no statistically significant difference in the prevalence of having a PSA test within the past two years between </w:t>
      </w:r>
      <w:r>
        <w:rPr>
          <w:rFonts w:asciiTheme="minorHAnsi" w:hAnsiTheme="minorHAnsi" w:cstheme="minorHAnsi"/>
        </w:rPr>
        <w:t>n</w:t>
      </w:r>
      <w:r w:rsidRPr="00B21C83">
        <w:rPr>
          <w:rFonts w:asciiTheme="minorHAnsi" w:hAnsiTheme="minorHAnsi" w:cstheme="minorHAnsi"/>
        </w:rPr>
        <w:t xml:space="preserve">on-Hispanic White males (35%) and </w:t>
      </w:r>
      <w:r>
        <w:rPr>
          <w:rFonts w:asciiTheme="minorHAnsi" w:hAnsiTheme="minorHAnsi" w:cstheme="minorHAnsi"/>
        </w:rPr>
        <w:t>non</w:t>
      </w:r>
      <w:r w:rsidRPr="00B21C83">
        <w:rPr>
          <w:rFonts w:asciiTheme="minorHAnsi" w:hAnsiTheme="minorHAnsi" w:cstheme="minorHAnsi"/>
        </w:rPr>
        <w:t>-Hispanic Black males (34%).  </w:t>
      </w:r>
    </w:p>
    <w:p w14:paraId="30A1022D" w14:textId="77777777" w:rsidR="004B1222" w:rsidRPr="00B21C83" w:rsidRDefault="004B1222" w:rsidP="004B1222">
      <w:pPr>
        <w:pStyle w:val="ListParagraph"/>
        <w:numPr>
          <w:ilvl w:val="0"/>
          <w:numId w:val="37"/>
        </w:numPr>
        <w:spacing w:after="120" w:line="240" w:lineRule="auto"/>
        <w:rPr>
          <w:rFonts w:asciiTheme="minorHAnsi" w:hAnsiTheme="minorHAnsi" w:cstheme="minorHAnsi"/>
        </w:rPr>
      </w:pPr>
      <w:r w:rsidRPr="00B21C83">
        <w:rPr>
          <w:rFonts w:asciiTheme="minorHAnsi" w:hAnsiTheme="minorHAnsi" w:cstheme="minorHAnsi"/>
        </w:rPr>
        <w:t xml:space="preserve">As the level of education increased, the prevalence of Delaware males who had a PSA test within the past two years </w:t>
      </w:r>
      <w:r>
        <w:rPr>
          <w:rFonts w:asciiTheme="minorHAnsi" w:hAnsiTheme="minorHAnsi" w:cstheme="minorHAnsi"/>
        </w:rPr>
        <w:t xml:space="preserve">also </w:t>
      </w:r>
      <w:r w:rsidRPr="00B21C83">
        <w:rPr>
          <w:rFonts w:asciiTheme="minorHAnsi" w:hAnsiTheme="minorHAnsi" w:cstheme="minorHAnsi"/>
        </w:rPr>
        <w:t>increased.  Only 19% of Delaware males with less than high school education reported having a PSA test within the past two years, compared to 40% of Delaware males who graduated from college.  This difference was statistically significant. </w:t>
      </w:r>
    </w:p>
    <w:p w14:paraId="2BDD4B12" w14:textId="77777777" w:rsidR="004B1222" w:rsidRPr="00C73D78" w:rsidRDefault="004B1222" w:rsidP="004B1222">
      <w:pPr>
        <w:spacing w:after="120" w:line="240" w:lineRule="auto"/>
        <w:rPr>
          <w:rFonts w:asciiTheme="minorHAnsi" w:hAnsiTheme="minorHAnsi"/>
        </w:rPr>
      </w:pPr>
    </w:p>
    <w:p w14:paraId="6395B965" w14:textId="77777777" w:rsidR="004B1222" w:rsidRPr="00C73D78" w:rsidRDefault="004B1222" w:rsidP="004B1222">
      <w:pPr>
        <w:pStyle w:val="Heading1"/>
        <w:spacing w:after="40"/>
        <w:rPr>
          <w:rFonts w:ascii="Calibri" w:hAnsi="Calibri"/>
        </w:rPr>
      </w:pPr>
      <w:bookmarkStart w:id="5391" w:name="_Toc179276357"/>
      <w:r w:rsidRPr="00C73D78">
        <w:rPr>
          <w:rFonts w:ascii="Calibri" w:hAnsi="Calibri"/>
        </w:rPr>
        <w:lastRenderedPageBreak/>
        <w:t>Appendix E: Behavioral Risk Factors</w:t>
      </w:r>
      <w:bookmarkEnd w:id="5386"/>
      <w:bookmarkEnd w:id="5387"/>
      <w:bookmarkEnd w:id="5388"/>
      <w:bookmarkEnd w:id="5389"/>
      <w:bookmarkEnd w:id="5391"/>
    </w:p>
    <w:p w14:paraId="01F638F4" w14:textId="77777777" w:rsidR="004B1222" w:rsidRPr="00C73D78" w:rsidRDefault="004B1222" w:rsidP="004B1222">
      <w:pPr>
        <w:pStyle w:val="Heading3"/>
        <w:rPr>
          <w:rFonts w:asciiTheme="minorHAnsi" w:hAnsiTheme="minorHAnsi" w:cstheme="minorHAnsi"/>
          <w:b/>
          <w:bCs/>
        </w:rPr>
      </w:pPr>
      <w:bookmarkStart w:id="5392" w:name="_Toc297204161"/>
      <w:bookmarkStart w:id="5393" w:name="_Toc297212841"/>
      <w:bookmarkStart w:id="5394" w:name="_Toc297218195"/>
      <w:bookmarkStart w:id="5395" w:name="_Toc297218610"/>
      <w:bookmarkStart w:id="5396" w:name="_Toc297219822"/>
      <w:bookmarkStart w:id="5397" w:name="_Toc297220263"/>
      <w:bookmarkStart w:id="5398" w:name="_Toc297220484"/>
      <w:bookmarkStart w:id="5399" w:name="_Toc297220588"/>
      <w:bookmarkStart w:id="5400" w:name="_Toc298845168"/>
      <w:bookmarkStart w:id="5401" w:name="_Toc298929731"/>
      <w:r w:rsidRPr="00C73D78">
        <w:rPr>
          <w:rFonts w:asciiTheme="minorHAnsi" w:hAnsiTheme="minorHAnsi" w:cstheme="minorHAnsi"/>
          <w:b/>
          <w:bCs/>
        </w:rPr>
        <w:t>Current Trends in</w:t>
      </w:r>
      <w:r>
        <w:rPr>
          <w:rFonts w:asciiTheme="minorHAnsi" w:hAnsiTheme="minorHAnsi" w:cstheme="minorHAnsi"/>
          <w:b/>
          <w:bCs/>
        </w:rPr>
        <w:t xml:space="preserve"> Cigarette</w:t>
      </w:r>
      <w:r w:rsidRPr="00C73D78">
        <w:rPr>
          <w:rFonts w:asciiTheme="minorHAnsi" w:hAnsiTheme="minorHAnsi" w:cstheme="minorHAnsi"/>
          <w:b/>
          <w:bCs/>
        </w:rPr>
        <w:t xml:space="preserve"> Smoking in Delaware</w:t>
      </w:r>
    </w:p>
    <w:p w14:paraId="5DF39346" w14:textId="77777777" w:rsidR="004B1222" w:rsidRPr="00C73D78" w:rsidRDefault="004B1222" w:rsidP="004B1222">
      <w:pPr>
        <w:pStyle w:val="paragraph"/>
        <w:spacing w:before="0" w:beforeAutospacing="0" w:after="120" w:afterAutospacing="0"/>
        <w:textAlignment w:val="baseline"/>
        <w:rPr>
          <w:rStyle w:val="normaltextrun"/>
          <w:rFonts w:ascii="Calibri" w:hAnsi="Calibri" w:cs="Calibri"/>
          <w:sz w:val="22"/>
          <w:szCs w:val="22"/>
        </w:rPr>
      </w:pPr>
      <w:r w:rsidRPr="00C73D78">
        <w:rPr>
          <w:rStyle w:val="normaltextrun"/>
          <w:rFonts w:ascii="Calibri" w:hAnsi="Calibri" w:cs="Calibri"/>
          <w:sz w:val="22"/>
          <w:szCs w:val="22"/>
        </w:rPr>
        <w:t>The Behavioral Risk Factor Survey (BRFS) collects data annually on tobacco use among the Delaware population.  Current smoking trends may be predictive of cancer rates in the 2030s.  In the 1980s, the time period relevant to current lung cancer rates in terms of tobacco use behaviors, Delaware’s smoking prevalence rates were among the highest in the country.  Historical BRFS data show that in 1982, 30% of adult Delawareans smoked cigarettes.  By the 1990s, Delaware’s smoking prevalence among adults had declined to approximately 25%.</w:t>
      </w:r>
      <w:r w:rsidRPr="00C73D78">
        <w:rPr>
          <w:rStyle w:val="eop"/>
          <w:rFonts w:ascii="Calibri" w:hAnsi="Calibri" w:cs="Calibri"/>
          <w:sz w:val="22"/>
          <w:szCs w:val="22"/>
        </w:rPr>
        <w:t> </w:t>
      </w:r>
    </w:p>
    <w:p w14:paraId="6465CBD5" w14:textId="77777777" w:rsidR="004B1222" w:rsidRPr="00C73D78" w:rsidRDefault="004B1222" w:rsidP="004B1222">
      <w:pPr>
        <w:pStyle w:val="paragraph"/>
        <w:spacing w:before="0" w:beforeAutospacing="0" w:after="120" w:afterAutospacing="0"/>
        <w:textAlignment w:val="baseline"/>
      </w:pPr>
      <w:r w:rsidRPr="00C73D78">
        <w:rPr>
          <w:rStyle w:val="normaltextrun"/>
          <w:rFonts w:ascii="Calibri" w:hAnsi="Calibri" w:cs="Calibri"/>
          <w:sz w:val="22"/>
          <w:szCs w:val="22"/>
        </w:rPr>
        <w:t>In recent years, tobacco use prevalence has continued to slowly decline among adult Delawareans and among high school students.  In 2022, 13% of adult Delawareans smoked cigarettes regularly.  The following data highlights smoking trends in Delaware in 202</w:t>
      </w:r>
      <w:r>
        <w:rPr>
          <w:rStyle w:val="normaltextrun"/>
          <w:rFonts w:ascii="Calibri" w:hAnsi="Calibri" w:cs="Calibri"/>
          <w:sz w:val="22"/>
          <w:szCs w:val="22"/>
        </w:rPr>
        <w:t>2</w:t>
      </w:r>
      <w:r w:rsidRPr="00C73D78">
        <w:rPr>
          <w:rStyle w:val="normaltextrun"/>
          <w:rFonts w:ascii="Calibri" w:hAnsi="Calibri" w:cs="Calibri"/>
          <w:sz w:val="22"/>
          <w:szCs w:val="22"/>
        </w:rPr>
        <w:t>:</w:t>
      </w:r>
      <w:r w:rsidRPr="00C73D78">
        <w:rPr>
          <w:rStyle w:val="eop"/>
          <w:rFonts w:ascii="Calibri" w:hAnsi="Calibri" w:cs="Calibri"/>
          <w:sz w:val="22"/>
          <w:szCs w:val="22"/>
        </w:rPr>
        <w:t> </w:t>
      </w:r>
    </w:p>
    <w:p w14:paraId="30498E56" w14:textId="77777777" w:rsidR="004B1222" w:rsidRPr="00C73D78" w:rsidRDefault="004B1222" w:rsidP="004B1222">
      <w:pPr>
        <w:pStyle w:val="paragraph"/>
        <w:numPr>
          <w:ilvl w:val="0"/>
          <w:numId w:val="32"/>
        </w:numPr>
        <w:spacing w:before="0" w:beforeAutospacing="0" w:after="120" w:afterAutospacing="0"/>
        <w:textAlignment w:val="baseline"/>
        <w:rPr>
          <w:rFonts w:ascii="Calibri" w:hAnsi="Calibri" w:cs="Calibri"/>
          <w:sz w:val="22"/>
          <w:szCs w:val="22"/>
        </w:rPr>
      </w:pPr>
      <w:r w:rsidRPr="00C73D78">
        <w:rPr>
          <w:rStyle w:val="normaltextrun"/>
          <w:rFonts w:ascii="Calibri" w:hAnsi="Calibri" w:cs="Calibri"/>
          <w:sz w:val="22"/>
          <w:szCs w:val="22"/>
        </w:rPr>
        <w:t>The prevalence for current smokers in Delaware (13%) is almost the same as the 2022 U.S. median prevalence of 14%.</w:t>
      </w:r>
      <w:r w:rsidRPr="00C73D78">
        <w:rPr>
          <w:rStyle w:val="eop"/>
          <w:rFonts w:ascii="Calibri" w:hAnsi="Calibri" w:cs="Calibri"/>
          <w:sz w:val="22"/>
          <w:szCs w:val="22"/>
        </w:rPr>
        <w:t> </w:t>
      </w:r>
    </w:p>
    <w:p w14:paraId="10E6388F" w14:textId="77777777" w:rsidR="004B1222" w:rsidRPr="00C73D78" w:rsidRDefault="004B1222" w:rsidP="004B1222">
      <w:pPr>
        <w:pStyle w:val="paragraph"/>
        <w:numPr>
          <w:ilvl w:val="0"/>
          <w:numId w:val="32"/>
        </w:numPr>
        <w:spacing w:before="0" w:beforeAutospacing="0" w:after="120" w:afterAutospacing="0"/>
        <w:textAlignment w:val="baseline"/>
        <w:rPr>
          <w:rFonts w:ascii="Calibri" w:hAnsi="Calibri" w:cs="Calibri"/>
          <w:sz w:val="22"/>
          <w:szCs w:val="22"/>
        </w:rPr>
      </w:pPr>
      <w:r w:rsidRPr="00C73D78">
        <w:rPr>
          <w:rStyle w:val="normaltextrun"/>
          <w:rFonts w:ascii="Calibri" w:hAnsi="Calibri" w:cs="Calibri"/>
          <w:sz w:val="22"/>
          <w:szCs w:val="22"/>
        </w:rPr>
        <w:t>Delaware adult males (14%) had a slightly higher current smoking prevalence compared to Delaware females (12%). This difference was not statistically significant. </w:t>
      </w:r>
      <w:r w:rsidRPr="00C73D78">
        <w:rPr>
          <w:rStyle w:val="eop"/>
          <w:rFonts w:ascii="Calibri" w:hAnsi="Calibri" w:cs="Calibri"/>
          <w:sz w:val="22"/>
          <w:szCs w:val="22"/>
        </w:rPr>
        <w:t> </w:t>
      </w:r>
    </w:p>
    <w:p w14:paraId="6B148C14" w14:textId="77777777" w:rsidR="004B1222" w:rsidRPr="00C73D78" w:rsidRDefault="004B1222" w:rsidP="004B1222">
      <w:pPr>
        <w:pStyle w:val="paragraph"/>
        <w:numPr>
          <w:ilvl w:val="0"/>
          <w:numId w:val="32"/>
        </w:numPr>
        <w:spacing w:before="0" w:beforeAutospacing="0" w:after="120" w:afterAutospacing="0"/>
        <w:textAlignment w:val="baseline"/>
        <w:rPr>
          <w:rFonts w:ascii="Calibri" w:hAnsi="Calibri" w:cs="Calibri"/>
          <w:sz w:val="22"/>
          <w:szCs w:val="22"/>
        </w:rPr>
      </w:pPr>
      <w:r w:rsidRPr="00C73D78">
        <w:rPr>
          <w:rStyle w:val="normaltextrun"/>
          <w:rFonts w:ascii="Calibri" w:hAnsi="Calibri" w:cs="Calibri"/>
          <w:sz w:val="22"/>
          <w:szCs w:val="22"/>
        </w:rPr>
        <w:t xml:space="preserve">There were no differences in current smoking prevalence among </w:t>
      </w:r>
      <w:r>
        <w:rPr>
          <w:rStyle w:val="normaltextrun"/>
          <w:rFonts w:ascii="Calibri" w:hAnsi="Calibri" w:cs="Calibri"/>
          <w:sz w:val="22"/>
          <w:szCs w:val="22"/>
        </w:rPr>
        <w:t>n</w:t>
      </w:r>
      <w:r w:rsidRPr="00C73D78">
        <w:rPr>
          <w:rStyle w:val="normaltextrun"/>
          <w:rFonts w:ascii="Calibri" w:hAnsi="Calibri" w:cs="Calibri"/>
          <w:sz w:val="22"/>
          <w:szCs w:val="22"/>
        </w:rPr>
        <w:t xml:space="preserve">on-Hispanic </w:t>
      </w:r>
      <w:r w:rsidRPr="00695084">
        <w:rPr>
          <w:rStyle w:val="normaltextrun"/>
          <w:rFonts w:ascii="Calibri" w:hAnsi="Calibri" w:cs="Calibri"/>
          <w:sz w:val="22"/>
          <w:szCs w:val="22"/>
        </w:rPr>
        <w:t>White</w:t>
      </w:r>
      <w:r>
        <w:rPr>
          <w:rStyle w:val="normaltextrun"/>
          <w:rFonts w:ascii="Calibri" w:hAnsi="Calibri" w:cs="Calibri"/>
          <w:sz w:val="22"/>
          <w:szCs w:val="22"/>
        </w:rPr>
        <w:t xml:space="preserve"> adults</w:t>
      </w:r>
      <w:r w:rsidRPr="00C73D78">
        <w:rPr>
          <w:rStyle w:val="normaltextrun"/>
          <w:rFonts w:ascii="Calibri" w:hAnsi="Calibri" w:cs="Calibri"/>
          <w:sz w:val="22"/>
          <w:szCs w:val="22"/>
        </w:rPr>
        <w:t xml:space="preserve"> (14%) and </w:t>
      </w:r>
      <w:r>
        <w:rPr>
          <w:rStyle w:val="normaltextrun"/>
          <w:rFonts w:ascii="Calibri" w:hAnsi="Calibri" w:cs="Calibri"/>
          <w:sz w:val="22"/>
          <w:szCs w:val="22"/>
        </w:rPr>
        <w:t>n</w:t>
      </w:r>
      <w:r w:rsidRPr="00C73D78">
        <w:rPr>
          <w:rStyle w:val="normaltextrun"/>
          <w:rFonts w:ascii="Calibri" w:hAnsi="Calibri" w:cs="Calibri"/>
          <w:sz w:val="22"/>
          <w:szCs w:val="22"/>
        </w:rPr>
        <w:t xml:space="preserve">on-Hispanic </w:t>
      </w:r>
      <w:r w:rsidRPr="00695084">
        <w:rPr>
          <w:rStyle w:val="normaltextrun"/>
          <w:rFonts w:ascii="Calibri" w:hAnsi="Calibri" w:cs="Calibri"/>
          <w:sz w:val="22"/>
          <w:szCs w:val="22"/>
        </w:rPr>
        <w:t>Black</w:t>
      </w:r>
      <w:r>
        <w:rPr>
          <w:rStyle w:val="normaltextrun"/>
          <w:rFonts w:ascii="Calibri" w:hAnsi="Calibri" w:cs="Calibri"/>
          <w:sz w:val="22"/>
          <w:szCs w:val="22"/>
        </w:rPr>
        <w:t xml:space="preserve"> adults</w:t>
      </w:r>
      <w:r w:rsidRPr="00C73D78">
        <w:rPr>
          <w:rStyle w:val="normaltextrun"/>
          <w:rFonts w:ascii="Calibri" w:hAnsi="Calibri" w:cs="Calibri"/>
          <w:sz w:val="22"/>
          <w:szCs w:val="22"/>
        </w:rPr>
        <w:t xml:space="preserve"> (15%) in Delaware.</w:t>
      </w:r>
      <w:r w:rsidRPr="00C73D78">
        <w:rPr>
          <w:rStyle w:val="eop"/>
          <w:rFonts w:ascii="Calibri" w:hAnsi="Calibri" w:cs="Calibri"/>
          <w:sz w:val="22"/>
          <w:szCs w:val="22"/>
        </w:rPr>
        <w:t> </w:t>
      </w:r>
    </w:p>
    <w:p w14:paraId="0E4EDC12" w14:textId="77777777" w:rsidR="004B1222" w:rsidRPr="00C73D78" w:rsidRDefault="004B1222" w:rsidP="004B1222">
      <w:pPr>
        <w:pStyle w:val="paragraph"/>
        <w:numPr>
          <w:ilvl w:val="0"/>
          <w:numId w:val="32"/>
        </w:numPr>
        <w:spacing w:before="0" w:beforeAutospacing="0" w:after="120" w:afterAutospacing="0"/>
        <w:textAlignment w:val="baseline"/>
        <w:rPr>
          <w:rFonts w:ascii="Calibri" w:hAnsi="Calibri" w:cs="Calibri"/>
          <w:sz w:val="22"/>
          <w:szCs w:val="22"/>
        </w:rPr>
      </w:pPr>
      <w:r w:rsidRPr="00C73D78">
        <w:rPr>
          <w:rStyle w:val="normaltextrun"/>
          <w:rFonts w:ascii="Calibri" w:hAnsi="Calibri" w:cs="Calibri"/>
          <w:sz w:val="22"/>
          <w:szCs w:val="22"/>
        </w:rPr>
        <w:t>When smoking prevalence was stratified by age group, Delawareans aged 35 to 44 reported the highest prevalence of current smoking (22%).  This prevalence was statistically significantly higher compared to that for Delawareans 65 years of age and older.</w:t>
      </w:r>
      <w:r w:rsidRPr="00C73D78">
        <w:rPr>
          <w:rStyle w:val="eop"/>
          <w:rFonts w:ascii="Calibri" w:hAnsi="Calibri" w:cs="Calibri"/>
          <w:sz w:val="22"/>
          <w:szCs w:val="22"/>
        </w:rPr>
        <w:t> </w:t>
      </w:r>
    </w:p>
    <w:p w14:paraId="025D5B4F" w14:textId="77777777" w:rsidR="004B1222" w:rsidRPr="00C73D78" w:rsidRDefault="004B1222" w:rsidP="004B1222">
      <w:pPr>
        <w:pStyle w:val="paragraph"/>
        <w:numPr>
          <w:ilvl w:val="0"/>
          <w:numId w:val="32"/>
        </w:numPr>
        <w:spacing w:before="0" w:beforeAutospacing="0" w:after="120" w:afterAutospacing="0"/>
        <w:textAlignment w:val="baseline"/>
        <w:rPr>
          <w:rFonts w:ascii="Calibri" w:hAnsi="Calibri" w:cs="Calibri"/>
          <w:sz w:val="22"/>
          <w:szCs w:val="22"/>
        </w:rPr>
      </w:pPr>
      <w:r w:rsidRPr="00C73D78">
        <w:rPr>
          <w:rStyle w:val="normaltextrun"/>
          <w:rFonts w:ascii="Calibri" w:hAnsi="Calibri" w:cs="Calibri"/>
          <w:sz w:val="22"/>
          <w:szCs w:val="22"/>
        </w:rPr>
        <w:t>Current smoking prevalence changed with education attainment.  In Delaware, 19% of residents who did not complete their high school education said they were current smokers.  As education level increased, smoking prevalence decreased.  Nineteen percent of Delaware adults who reported having a high school diploma or its equivalent reported being a current smoker, compared to 14% with some post-high school education, and 5% who completed college.</w:t>
      </w:r>
      <w:r w:rsidRPr="00C73D78">
        <w:rPr>
          <w:rStyle w:val="eop"/>
          <w:rFonts w:ascii="Calibri" w:hAnsi="Calibri" w:cs="Calibri"/>
          <w:sz w:val="22"/>
          <w:szCs w:val="22"/>
        </w:rPr>
        <w:t> </w:t>
      </w:r>
    </w:p>
    <w:p w14:paraId="5284A516" w14:textId="77777777" w:rsidR="004B1222" w:rsidRPr="00C73D78" w:rsidRDefault="004B1222" w:rsidP="004B1222">
      <w:pPr>
        <w:pStyle w:val="paragraph"/>
        <w:numPr>
          <w:ilvl w:val="0"/>
          <w:numId w:val="32"/>
        </w:numPr>
        <w:spacing w:before="0" w:beforeAutospacing="0" w:after="120" w:afterAutospacing="0"/>
        <w:textAlignment w:val="baseline"/>
        <w:rPr>
          <w:rFonts w:ascii="Calibri" w:hAnsi="Calibri" w:cs="Calibri"/>
          <w:sz w:val="22"/>
          <w:szCs w:val="22"/>
        </w:rPr>
      </w:pPr>
      <w:r w:rsidRPr="00C73D78">
        <w:rPr>
          <w:rStyle w:val="normaltextrun"/>
          <w:rFonts w:ascii="Calibri" w:hAnsi="Calibri" w:cs="Calibri"/>
          <w:sz w:val="22"/>
          <w:szCs w:val="22"/>
        </w:rPr>
        <w:t>Current smoking prevalence also decreased with higher income levels.  In Delaware, 24% of Delaware adults with a household income between $15,000 and $24,000 were current smokers.  The lowest smoking prevalence was among those who earned $100,000 to $199,999 per year (9%). </w:t>
      </w:r>
      <w:r w:rsidRPr="00C73D78">
        <w:rPr>
          <w:rStyle w:val="eop"/>
          <w:rFonts w:ascii="Calibri" w:hAnsi="Calibri" w:cs="Calibri"/>
          <w:sz w:val="22"/>
          <w:szCs w:val="22"/>
        </w:rPr>
        <w:t> </w:t>
      </w:r>
    </w:p>
    <w:p w14:paraId="45BE3076" w14:textId="77777777" w:rsidR="004B1222" w:rsidRPr="00C73D78" w:rsidRDefault="004B1222" w:rsidP="004B1222">
      <w:pPr>
        <w:pStyle w:val="Heading3"/>
        <w:rPr>
          <w:rFonts w:asciiTheme="minorHAnsi" w:hAnsiTheme="minorHAnsi"/>
          <w:b/>
        </w:rPr>
      </w:pPr>
      <w:r w:rsidRPr="00C73D78">
        <w:rPr>
          <w:rFonts w:asciiTheme="minorHAnsi" w:hAnsiTheme="minorHAnsi"/>
          <w:b/>
        </w:rPr>
        <w:t>Overweight/Obesity</w:t>
      </w:r>
      <w:bookmarkEnd w:id="5392"/>
      <w:bookmarkEnd w:id="5393"/>
      <w:bookmarkEnd w:id="5394"/>
      <w:bookmarkEnd w:id="5395"/>
      <w:bookmarkEnd w:id="5396"/>
      <w:bookmarkEnd w:id="5397"/>
      <w:bookmarkEnd w:id="5398"/>
      <w:bookmarkEnd w:id="5399"/>
      <w:bookmarkEnd w:id="5400"/>
      <w:bookmarkEnd w:id="5401"/>
    </w:p>
    <w:p w14:paraId="2C55E5D3" w14:textId="77777777" w:rsidR="004B1222" w:rsidRPr="00695084" w:rsidRDefault="004B1222" w:rsidP="004B1222">
      <w:pPr>
        <w:pStyle w:val="paragraph"/>
        <w:spacing w:before="0" w:beforeAutospacing="0" w:after="120" w:afterAutospacing="0"/>
        <w:textAlignment w:val="baseline"/>
        <w:rPr>
          <w:rStyle w:val="normaltextrun"/>
          <w:rFonts w:ascii="Calibri" w:hAnsi="Calibri" w:cs="Calibri"/>
          <w:sz w:val="22"/>
          <w:szCs w:val="22"/>
        </w:rPr>
      </w:pPr>
      <w:bookmarkStart w:id="5402" w:name="_Toc297204162"/>
      <w:bookmarkStart w:id="5403" w:name="_Toc297212842"/>
      <w:bookmarkStart w:id="5404" w:name="_Toc297218196"/>
      <w:bookmarkStart w:id="5405" w:name="_Toc297218611"/>
      <w:bookmarkStart w:id="5406" w:name="_Toc297219823"/>
      <w:bookmarkStart w:id="5407" w:name="_Toc297220264"/>
      <w:bookmarkStart w:id="5408" w:name="_Toc297220485"/>
      <w:bookmarkStart w:id="5409" w:name="_Toc297220589"/>
      <w:bookmarkStart w:id="5410" w:name="_Toc298845169"/>
      <w:bookmarkStart w:id="5411" w:name="_Toc298929732"/>
      <w:r w:rsidRPr="00695084">
        <w:rPr>
          <w:rStyle w:val="normaltextrun"/>
          <w:rFonts w:ascii="Calibri" w:hAnsi="Calibri" w:cs="Calibri"/>
          <w:sz w:val="22"/>
          <w:szCs w:val="22"/>
        </w:rPr>
        <w:t>Being overweight or obese is a risk factor for numerous cancers, including female breast, colorectal, kidney, and uterine cancers.  In addition, being overweight or obese is a major risk factor for other chronic diseases, including coronary heart disease, type 2 diabetes, and stroke.</w:t>
      </w:r>
      <w:r w:rsidRPr="00695084">
        <w:rPr>
          <w:rStyle w:val="superscript"/>
          <w:rFonts w:ascii="Calibri" w:hAnsi="Calibri" w:cs="Calibri"/>
          <w:sz w:val="17"/>
          <w:szCs w:val="17"/>
          <w:vertAlign w:val="superscript"/>
        </w:rPr>
        <w:t>43</w:t>
      </w:r>
      <w:r w:rsidRPr="00695084">
        <w:rPr>
          <w:rStyle w:val="eop"/>
          <w:rFonts w:ascii="Calibri" w:hAnsi="Calibri" w:cs="Calibri"/>
          <w:sz w:val="22"/>
          <w:szCs w:val="22"/>
        </w:rPr>
        <w:t> </w:t>
      </w:r>
    </w:p>
    <w:p w14:paraId="765EAA03" w14:textId="77777777" w:rsidR="004B1222" w:rsidRPr="00695084" w:rsidRDefault="004B1222" w:rsidP="004B1222">
      <w:pPr>
        <w:pStyle w:val="paragraph"/>
        <w:spacing w:before="0" w:beforeAutospacing="0" w:after="120" w:afterAutospacing="0"/>
        <w:textAlignment w:val="baseline"/>
      </w:pPr>
      <w:r w:rsidRPr="00695084">
        <w:rPr>
          <w:rStyle w:val="normaltextrun"/>
          <w:rFonts w:ascii="Calibri" w:hAnsi="Calibri" w:cs="Calibri"/>
          <w:sz w:val="22"/>
          <w:szCs w:val="22"/>
        </w:rPr>
        <w:t>The Centers for Disease Control and Prevention (CDC) defines overweight as a body mass index (BMI) from 25 to less than 30 and obese as a BMI equal to or greater than 30.  BMI is calculated using an individual’s height and weight.</w:t>
      </w:r>
      <w:r w:rsidRPr="00695084">
        <w:rPr>
          <w:rStyle w:val="superscript"/>
          <w:rFonts w:ascii="Calibri" w:hAnsi="Calibri" w:cs="Calibri"/>
          <w:sz w:val="17"/>
          <w:szCs w:val="17"/>
          <w:vertAlign w:val="superscript"/>
        </w:rPr>
        <w:t>44</w:t>
      </w:r>
      <w:r w:rsidRPr="00695084">
        <w:rPr>
          <w:rStyle w:val="normaltextrun"/>
          <w:rFonts w:ascii="Calibri" w:hAnsi="Calibri" w:cs="Calibri"/>
          <w:sz w:val="22"/>
          <w:szCs w:val="22"/>
        </w:rPr>
        <w:t>  The following data are specific to the 2022 Delaware BRFS:</w:t>
      </w:r>
      <w:r w:rsidRPr="00695084">
        <w:rPr>
          <w:rStyle w:val="eop"/>
          <w:rFonts w:ascii="Calibri" w:hAnsi="Calibri" w:cs="Calibri"/>
          <w:sz w:val="22"/>
          <w:szCs w:val="22"/>
        </w:rPr>
        <w:t> </w:t>
      </w:r>
    </w:p>
    <w:p w14:paraId="28AD378B" w14:textId="77777777" w:rsidR="004B1222" w:rsidRPr="00695084" w:rsidRDefault="004B1222" w:rsidP="004B1222">
      <w:pPr>
        <w:pStyle w:val="paragraph"/>
        <w:numPr>
          <w:ilvl w:val="0"/>
          <w:numId w:val="33"/>
        </w:numPr>
        <w:spacing w:before="0" w:beforeAutospacing="0" w:after="120" w:afterAutospacing="0"/>
        <w:textAlignment w:val="baseline"/>
        <w:rPr>
          <w:rFonts w:ascii="Calibri" w:hAnsi="Calibri" w:cs="Calibri"/>
          <w:sz w:val="22"/>
          <w:szCs w:val="22"/>
        </w:rPr>
      </w:pPr>
      <w:r w:rsidRPr="00695084">
        <w:rPr>
          <w:rStyle w:val="normaltextrun"/>
          <w:rFonts w:ascii="Calibri" w:hAnsi="Calibri" w:cs="Calibri"/>
          <w:sz w:val="22"/>
          <w:szCs w:val="22"/>
        </w:rPr>
        <w:t>In Delaware, 72% of adults aged 18 years and older were overweight or obese in 2022, compared to the national median of 68%.</w:t>
      </w:r>
      <w:r w:rsidRPr="00695084">
        <w:rPr>
          <w:rStyle w:val="eop"/>
          <w:rFonts w:ascii="Calibri" w:hAnsi="Calibri" w:cs="Calibri"/>
          <w:sz w:val="22"/>
          <w:szCs w:val="22"/>
        </w:rPr>
        <w:t> </w:t>
      </w:r>
    </w:p>
    <w:p w14:paraId="18388C1E" w14:textId="77777777" w:rsidR="004B1222" w:rsidRPr="00695084" w:rsidRDefault="004B1222" w:rsidP="004B1222">
      <w:pPr>
        <w:pStyle w:val="paragraph"/>
        <w:numPr>
          <w:ilvl w:val="0"/>
          <w:numId w:val="33"/>
        </w:numPr>
        <w:spacing w:before="0" w:beforeAutospacing="0" w:after="120" w:afterAutospacing="0"/>
        <w:textAlignment w:val="baseline"/>
        <w:rPr>
          <w:rFonts w:ascii="Calibri" w:hAnsi="Calibri" w:cs="Calibri"/>
          <w:sz w:val="22"/>
          <w:szCs w:val="22"/>
        </w:rPr>
      </w:pPr>
      <w:r w:rsidRPr="00695084">
        <w:rPr>
          <w:rStyle w:val="normaltextrun"/>
          <w:rFonts w:ascii="Calibri" w:hAnsi="Calibri" w:cs="Calibri"/>
          <w:sz w:val="22"/>
          <w:szCs w:val="22"/>
        </w:rPr>
        <w:t>In 2022, the prevalence of being overweight in Delaware differed significantly by sex:  40% of males and 28% of females were overweight. </w:t>
      </w:r>
      <w:r w:rsidRPr="00695084">
        <w:rPr>
          <w:rStyle w:val="eop"/>
          <w:rFonts w:ascii="Calibri" w:hAnsi="Calibri" w:cs="Calibri"/>
          <w:sz w:val="22"/>
          <w:szCs w:val="22"/>
        </w:rPr>
        <w:t> </w:t>
      </w:r>
    </w:p>
    <w:p w14:paraId="4C640C5A" w14:textId="77777777" w:rsidR="004B1222" w:rsidRPr="00695084" w:rsidRDefault="004B1222" w:rsidP="004B1222">
      <w:pPr>
        <w:pStyle w:val="paragraph"/>
        <w:numPr>
          <w:ilvl w:val="0"/>
          <w:numId w:val="33"/>
        </w:numPr>
        <w:spacing w:before="0" w:beforeAutospacing="0" w:after="120" w:afterAutospacing="0"/>
        <w:textAlignment w:val="baseline"/>
        <w:rPr>
          <w:rFonts w:ascii="Calibri" w:hAnsi="Calibri" w:cs="Calibri"/>
          <w:sz w:val="22"/>
          <w:szCs w:val="22"/>
        </w:rPr>
      </w:pPr>
      <w:r w:rsidRPr="00695084">
        <w:rPr>
          <w:rStyle w:val="normaltextrun"/>
          <w:rFonts w:ascii="Calibri" w:hAnsi="Calibri" w:cs="Calibri"/>
          <w:sz w:val="22"/>
          <w:szCs w:val="22"/>
        </w:rPr>
        <w:t>The prevalence of obesity among adult Delawareans did not differ by sex:  35% of adult males and 41% of adult females were obese in 2021. </w:t>
      </w:r>
      <w:r w:rsidRPr="00695084">
        <w:rPr>
          <w:rStyle w:val="eop"/>
          <w:rFonts w:ascii="Calibri" w:hAnsi="Calibri" w:cs="Calibri"/>
          <w:sz w:val="22"/>
          <w:szCs w:val="22"/>
        </w:rPr>
        <w:t> </w:t>
      </w:r>
    </w:p>
    <w:p w14:paraId="353AAE0A" w14:textId="77777777" w:rsidR="004B1222" w:rsidRPr="00695084" w:rsidRDefault="004B1222" w:rsidP="004B1222">
      <w:pPr>
        <w:pStyle w:val="paragraph"/>
        <w:numPr>
          <w:ilvl w:val="0"/>
          <w:numId w:val="33"/>
        </w:numPr>
        <w:spacing w:before="0" w:beforeAutospacing="0" w:after="120" w:afterAutospacing="0"/>
        <w:textAlignment w:val="baseline"/>
        <w:rPr>
          <w:rFonts w:ascii="Calibri" w:hAnsi="Calibri" w:cs="Calibri"/>
          <w:sz w:val="22"/>
          <w:szCs w:val="22"/>
        </w:rPr>
      </w:pPr>
      <w:r w:rsidRPr="00695084">
        <w:rPr>
          <w:rStyle w:val="normaltextrun"/>
          <w:rFonts w:ascii="Calibri" w:hAnsi="Calibri" w:cs="Calibri"/>
          <w:sz w:val="22"/>
          <w:szCs w:val="22"/>
        </w:rPr>
        <w:lastRenderedPageBreak/>
        <w:t>In 2022, the prevalence of being overweight was the same for non-Hispanic White (36%) and non-Hispanic Black (27%) Delawareans. </w:t>
      </w:r>
      <w:r w:rsidRPr="00695084">
        <w:rPr>
          <w:rStyle w:val="eop"/>
          <w:rFonts w:ascii="Calibri" w:hAnsi="Calibri" w:cs="Calibri"/>
          <w:sz w:val="22"/>
          <w:szCs w:val="22"/>
        </w:rPr>
        <w:t> </w:t>
      </w:r>
    </w:p>
    <w:p w14:paraId="27338B34" w14:textId="77777777" w:rsidR="004B1222" w:rsidRPr="00695084" w:rsidRDefault="004B1222" w:rsidP="004B1222">
      <w:pPr>
        <w:pStyle w:val="paragraph"/>
        <w:numPr>
          <w:ilvl w:val="0"/>
          <w:numId w:val="33"/>
        </w:numPr>
        <w:spacing w:before="0" w:beforeAutospacing="0" w:after="120" w:afterAutospacing="0"/>
        <w:textAlignment w:val="baseline"/>
        <w:rPr>
          <w:rFonts w:ascii="Calibri" w:hAnsi="Calibri" w:cs="Calibri"/>
          <w:sz w:val="22"/>
          <w:szCs w:val="22"/>
        </w:rPr>
      </w:pPr>
      <w:r w:rsidRPr="00695084">
        <w:rPr>
          <w:rStyle w:val="normaltextrun"/>
          <w:rFonts w:ascii="Calibri" w:hAnsi="Calibri" w:cs="Calibri"/>
          <w:sz w:val="22"/>
          <w:szCs w:val="22"/>
        </w:rPr>
        <w:t>In Delaware, non-Hispanic Black adults (49%) had a higher prevalence of obesity than non-Hispanic White adults (36%) in 2021.  This difference was statistically significant.  </w:t>
      </w:r>
      <w:r w:rsidRPr="00695084">
        <w:rPr>
          <w:rStyle w:val="eop"/>
          <w:rFonts w:ascii="Calibri" w:hAnsi="Calibri" w:cs="Calibri"/>
          <w:sz w:val="22"/>
          <w:szCs w:val="22"/>
        </w:rPr>
        <w:t> </w:t>
      </w:r>
    </w:p>
    <w:p w14:paraId="7F700DFF" w14:textId="77777777" w:rsidR="004B1222" w:rsidRPr="00695084" w:rsidRDefault="004B1222" w:rsidP="004B1222">
      <w:pPr>
        <w:pStyle w:val="paragraph"/>
        <w:numPr>
          <w:ilvl w:val="0"/>
          <w:numId w:val="33"/>
        </w:numPr>
        <w:spacing w:before="0" w:beforeAutospacing="0" w:after="120" w:afterAutospacing="0"/>
        <w:textAlignment w:val="baseline"/>
        <w:rPr>
          <w:rFonts w:ascii="Calibri" w:hAnsi="Calibri" w:cs="Calibri"/>
          <w:sz w:val="22"/>
          <w:szCs w:val="22"/>
        </w:rPr>
      </w:pPr>
      <w:r w:rsidRPr="00695084">
        <w:rPr>
          <w:rStyle w:val="normaltextrun"/>
          <w:rFonts w:ascii="Calibri" w:hAnsi="Calibri" w:cs="Calibri"/>
          <w:sz w:val="22"/>
          <w:szCs w:val="22"/>
        </w:rPr>
        <w:t>In 2022, the prevalence of being overweight was highest among Delaware college graduates (37%).</w:t>
      </w:r>
      <w:r w:rsidRPr="00695084">
        <w:rPr>
          <w:rStyle w:val="eop"/>
          <w:rFonts w:ascii="Calibri" w:hAnsi="Calibri" w:cs="Calibri"/>
          <w:sz w:val="22"/>
          <w:szCs w:val="22"/>
        </w:rPr>
        <w:t> </w:t>
      </w:r>
    </w:p>
    <w:p w14:paraId="08D5F41D" w14:textId="77777777" w:rsidR="004B1222" w:rsidRPr="00695084" w:rsidRDefault="004B1222" w:rsidP="004B1222">
      <w:pPr>
        <w:pStyle w:val="paragraph"/>
        <w:numPr>
          <w:ilvl w:val="0"/>
          <w:numId w:val="33"/>
        </w:numPr>
        <w:spacing w:before="0" w:beforeAutospacing="0" w:after="120" w:afterAutospacing="0"/>
        <w:textAlignment w:val="baseline"/>
        <w:rPr>
          <w:rFonts w:ascii="Calibri" w:hAnsi="Calibri" w:cs="Calibri"/>
          <w:sz w:val="22"/>
          <w:szCs w:val="22"/>
        </w:rPr>
      </w:pPr>
      <w:r w:rsidRPr="00695084">
        <w:rPr>
          <w:rStyle w:val="normaltextrun"/>
          <w:rFonts w:ascii="Calibri" w:hAnsi="Calibri" w:cs="Calibri"/>
          <w:sz w:val="22"/>
          <w:szCs w:val="22"/>
        </w:rPr>
        <w:t>In 2022, as education increased, the prevalence of obesity decreased.  However, there were no statistically significant differences among educational attainment groups.</w:t>
      </w:r>
      <w:r w:rsidRPr="00695084">
        <w:rPr>
          <w:rStyle w:val="eop"/>
          <w:rFonts w:ascii="Calibri" w:hAnsi="Calibri" w:cs="Calibri"/>
          <w:sz w:val="22"/>
          <w:szCs w:val="22"/>
        </w:rPr>
        <w:t> </w:t>
      </w:r>
    </w:p>
    <w:p w14:paraId="1302B569" w14:textId="77777777" w:rsidR="004B1222" w:rsidRPr="00695084" w:rsidRDefault="004B1222" w:rsidP="004B1222">
      <w:pPr>
        <w:pStyle w:val="paragraph"/>
        <w:numPr>
          <w:ilvl w:val="0"/>
          <w:numId w:val="33"/>
        </w:numPr>
        <w:spacing w:before="0" w:beforeAutospacing="0" w:after="120" w:afterAutospacing="0"/>
        <w:textAlignment w:val="baseline"/>
        <w:rPr>
          <w:rFonts w:ascii="Calibri" w:hAnsi="Calibri" w:cs="Calibri"/>
          <w:sz w:val="22"/>
          <w:szCs w:val="22"/>
        </w:rPr>
      </w:pPr>
      <w:r w:rsidRPr="00695084">
        <w:rPr>
          <w:rStyle w:val="normaltextrun"/>
          <w:rFonts w:ascii="Calibri" w:hAnsi="Calibri" w:cs="Calibri"/>
          <w:sz w:val="22"/>
          <w:szCs w:val="22"/>
        </w:rPr>
        <w:t>In 2022, there were no significant differences in obesity among those with different annual household incomes; adults with annual household income between $15,000 and $24,999 had the highest obesity prevalence (45%).</w:t>
      </w:r>
      <w:r w:rsidRPr="00695084">
        <w:rPr>
          <w:rStyle w:val="eop"/>
          <w:rFonts w:ascii="Calibri" w:hAnsi="Calibri" w:cs="Calibri"/>
          <w:sz w:val="22"/>
          <w:szCs w:val="22"/>
        </w:rPr>
        <w:t> </w:t>
      </w:r>
    </w:p>
    <w:p w14:paraId="69F62B73" w14:textId="77777777" w:rsidR="004B1222" w:rsidRPr="00695084" w:rsidRDefault="004B1222" w:rsidP="004B1222">
      <w:pPr>
        <w:pStyle w:val="paragraph"/>
        <w:numPr>
          <w:ilvl w:val="0"/>
          <w:numId w:val="33"/>
        </w:numPr>
        <w:spacing w:before="0" w:beforeAutospacing="0" w:after="120" w:afterAutospacing="0"/>
        <w:textAlignment w:val="baseline"/>
        <w:rPr>
          <w:rFonts w:ascii="Calibri" w:hAnsi="Calibri" w:cs="Calibri"/>
          <w:sz w:val="22"/>
          <w:szCs w:val="22"/>
        </w:rPr>
      </w:pPr>
      <w:r w:rsidRPr="00695084">
        <w:rPr>
          <w:rStyle w:val="normaltextrun"/>
          <w:rFonts w:ascii="Calibri" w:hAnsi="Calibri" w:cs="Calibri"/>
          <w:sz w:val="22"/>
          <w:szCs w:val="22"/>
        </w:rPr>
        <w:t>Among Delawareans in 2022, the prevalence of obesity was highest among those aged 45 to 54 years (45%).</w:t>
      </w:r>
      <w:r w:rsidRPr="00695084">
        <w:rPr>
          <w:rStyle w:val="eop"/>
          <w:rFonts w:ascii="Calibri" w:hAnsi="Calibri" w:cs="Calibri"/>
          <w:sz w:val="22"/>
          <w:szCs w:val="22"/>
        </w:rPr>
        <w:t> </w:t>
      </w:r>
    </w:p>
    <w:p w14:paraId="23EDBE5C" w14:textId="77777777" w:rsidR="004B1222" w:rsidRPr="00695084" w:rsidRDefault="004B1222" w:rsidP="004B1222">
      <w:pPr>
        <w:pStyle w:val="Heading3"/>
        <w:rPr>
          <w:rFonts w:asciiTheme="minorHAnsi" w:hAnsiTheme="minorHAnsi"/>
          <w:b/>
        </w:rPr>
      </w:pPr>
      <w:r w:rsidRPr="00695084">
        <w:rPr>
          <w:rFonts w:asciiTheme="minorHAnsi" w:hAnsiTheme="minorHAnsi"/>
          <w:b/>
        </w:rPr>
        <w:t>Physical Activity</w:t>
      </w:r>
      <w:bookmarkEnd w:id="5402"/>
      <w:bookmarkEnd w:id="5403"/>
      <w:bookmarkEnd w:id="5404"/>
      <w:bookmarkEnd w:id="5405"/>
      <w:bookmarkEnd w:id="5406"/>
      <w:bookmarkEnd w:id="5407"/>
      <w:bookmarkEnd w:id="5408"/>
      <w:bookmarkEnd w:id="5409"/>
      <w:bookmarkEnd w:id="5410"/>
      <w:bookmarkEnd w:id="5411"/>
    </w:p>
    <w:p w14:paraId="72AC9241" w14:textId="77777777" w:rsidR="004B1222" w:rsidRPr="00695084" w:rsidRDefault="004B1222" w:rsidP="004B1222">
      <w:pPr>
        <w:pStyle w:val="paragraph"/>
        <w:spacing w:before="0" w:beforeAutospacing="0" w:after="0" w:afterAutospacing="0"/>
        <w:textAlignment w:val="baseline"/>
        <w:rPr>
          <w:rFonts w:ascii="Calibri" w:hAnsi="Calibri" w:cs="Calibri"/>
          <w:sz w:val="22"/>
          <w:szCs w:val="22"/>
        </w:rPr>
      </w:pPr>
      <w:bookmarkStart w:id="5412" w:name="_Toc297204163"/>
      <w:bookmarkStart w:id="5413" w:name="_Toc297212843"/>
      <w:bookmarkStart w:id="5414" w:name="_Toc297218197"/>
      <w:bookmarkStart w:id="5415" w:name="_Toc297218612"/>
      <w:bookmarkStart w:id="5416" w:name="_Toc297219824"/>
      <w:bookmarkStart w:id="5417" w:name="_Toc297220265"/>
      <w:bookmarkStart w:id="5418" w:name="_Toc297220486"/>
      <w:bookmarkStart w:id="5419" w:name="_Toc297220590"/>
      <w:bookmarkStart w:id="5420" w:name="_Toc298845170"/>
      <w:bookmarkStart w:id="5421" w:name="_Toc298929733"/>
      <w:r w:rsidRPr="00695084">
        <w:rPr>
          <w:rStyle w:val="normaltextrun"/>
          <w:rFonts w:ascii="Calibri" w:hAnsi="Calibri" w:cs="Calibri"/>
          <w:sz w:val="22"/>
          <w:szCs w:val="22"/>
        </w:rPr>
        <w:t>Lack of physical activity is a substantiated risk factor for colorectal cancer and a suspected risk factor for other cancers.</w:t>
      </w:r>
      <w:r w:rsidRPr="00695084">
        <w:rPr>
          <w:rStyle w:val="superscript"/>
          <w:rFonts w:ascii="Calibri" w:hAnsi="Calibri" w:cs="Calibri"/>
          <w:sz w:val="17"/>
          <w:szCs w:val="17"/>
          <w:vertAlign w:val="superscript"/>
        </w:rPr>
        <w:t>45</w:t>
      </w:r>
      <w:r w:rsidRPr="00695084">
        <w:rPr>
          <w:rStyle w:val="normaltextrun"/>
          <w:rFonts w:ascii="Calibri" w:hAnsi="Calibri" w:cs="Calibri"/>
          <w:sz w:val="22"/>
          <w:szCs w:val="22"/>
        </w:rPr>
        <w:t xml:space="preserve"> The benefits of regular, sustained physical activity includes reduced risk for chronic diseases including coronary heart disease, stroke, and type 2 diabetes; and improved well-being.</w:t>
      </w:r>
      <w:r w:rsidRPr="00695084">
        <w:rPr>
          <w:rStyle w:val="superscript"/>
          <w:rFonts w:ascii="Calibri" w:hAnsi="Calibri" w:cs="Calibri"/>
          <w:sz w:val="17"/>
          <w:szCs w:val="17"/>
          <w:vertAlign w:val="superscript"/>
        </w:rPr>
        <w:t>46</w:t>
      </w:r>
      <w:r w:rsidRPr="00695084">
        <w:rPr>
          <w:rStyle w:val="eop"/>
          <w:rFonts w:ascii="Calibri" w:hAnsi="Calibri" w:cs="Calibri"/>
          <w:sz w:val="22"/>
          <w:szCs w:val="22"/>
        </w:rPr>
        <w:t> </w:t>
      </w:r>
    </w:p>
    <w:p w14:paraId="6173C8B7" w14:textId="77777777" w:rsidR="004B1222" w:rsidRPr="00695084" w:rsidRDefault="004B1222" w:rsidP="004B1222">
      <w:pPr>
        <w:pStyle w:val="paragraph"/>
        <w:spacing w:before="0" w:beforeAutospacing="0" w:after="0" w:afterAutospacing="0"/>
        <w:textAlignment w:val="baseline"/>
        <w:rPr>
          <w:rStyle w:val="normaltextrun"/>
        </w:rPr>
      </w:pPr>
    </w:p>
    <w:p w14:paraId="31E7ED1F" w14:textId="77777777" w:rsidR="004B1222" w:rsidRPr="00695084" w:rsidRDefault="004B1222" w:rsidP="004B1222">
      <w:pPr>
        <w:pStyle w:val="paragraph"/>
        <w:spacing w:before="0" w:beforeAutospacing="0" w:after="0" w:afterAutospacing="0"/>
        <w:textAlignment w:val="baseline"/>
      </w:pPr>
      <w:r w:rsidRPr="00695084">
        <w:rPr>
          <w:rStyle w:val="normaltextrun"/>
          <w:rFonts w:ascii="Calibri" w:hAnsi="Calibri" w:cs="Calibri"/>
          <w:sz w:val="22"/>
          <w:szCs w:val="22"/>
        </w:rPr>
        <w:t>The 2022 Delaware BRFS asks a question about participating in any physical activities in the past month.</w:t>
      </w:r>
      <w:r w:rsidRPr="00695084">
        <w:rPr>
          <w:rStyle w:val="eop"/>
          <w:rFonts w:ascii="Calibri" w:hAnsi="Calibri" w:cs="Calibri"/>
          <w:sz w:val="22"/>
          <w:szCs w:val="22"/>
        </w:rPr>
        <w:t> </w:t>
      </w:r>
    </w:p>
    <w:p w14:paraId="29809388" w14:textId="77777777" w:rsidR="004B1222" w:rsidRPr="00695084" w:rsidRDefault="004B1222" w:rsidP="004B1222">
      <w:pPr>
        <w:pStyle w:val="paragraph"/>
        <w:spacing w:before="0" w:beforeAutospacing="0" w:after="120" w:afterAutospacing="0"/>
        <w:textAlignment w:val="baseline"/>
        <w:rPr>
          <w:rFonts w:ascii="Calibri" w:hAnsi="Calibri" w:cs="Calibri"/>
          <w:sz w:val="22"/>
          <w:szCs w:val="22"/>
        </w:rPr>
      </w:pPr>
      <w:r w:rsidRPr="00695084">
        <w:rPr>
          <w:rStyle w:val="normaltextrun"/>
          <w:rFonts w:ascii="Calibri" w:hAnsi="Calibri" w:cs="Calibri"/>
          <w:sz w:val="22"/>
          <w:szCs w:val="22"/>
        </w:rPr>
        <w:t>The following data are from the 2022 Delaware BRFS:</w:t>
      </w:r>
      <w:r w:rsidRPr="00695084">
        <w:rPr>
          <w:rStyle w:val="eop"/>
          <w:rFonts w:ascii="Calibri" w:hAnsi="Calibri" w:cs="Calibri"/>
          <w:sz w:val="22"/>
          <w:szCs w:val="22"/>
        </w:rPr>
        <w:t> </w:t>
      </w:r>
    </w:p>
    <w:p w14:paraId="44A89702" w14:textId="77777777" w:rsidR="004B1222" w:rsidRPr="00695084" w:rsidRDefault="004B1222" w:rsidP="004B1222">
      <w:pPr>
        <w:pStyle w:val="paragraph"/>
        <w:numPr>
          <w:ilvl w:val="0"/>
          <w:numId w:val="17"/>
        </w:numPr>
        <w:spacing w:before="0" w:beforeAutospacing="0" w:after="120" w:afterAutospacing="0"/>
        <w:textAlignment w:val="baseline"/>
        <w:rPr>
          <w:rFonts w:ascii="Calibri" w:hAnsi="Calibri" w:cs="Calibri"/>
          <w:sz w:val="22"/>
          <w:szCs w:val="22"/>
        </w:rPr>
      </w:pPr>
      <w:r w:rsidRPr="00695084">
        <w:rPr>
          <w:rStyle w:val="normaltextrun"/>
          <w:rFonts w:ascii="Calibri" w:hAnsi="Calibri" w:cs="Calibri"/>
          <w:sz w:val="22"/>
          <w:szCs w:val="22"/>
        </w:rPr>
        <w:t>In Delaware, 77% of adults 18 years of age and older participated in any physical activities in the past month, similar to the national median of 77%.</w:t>
      </w:r>
      <w:r w:rsidRPr="00695084">
        <w:rPr>
          <w:rStyle w:val="eop"/>
          <w:rFonts w:ascii="Calibri" w:hAnsi="Calibri" w:cs="Calibri"/>
          <w:sz w:val="22"/>
          <w:szCs w:val="22"/>
        </w:rPr>
        <w:t> </w:t>
      </w:r>
    </w:p>
    <w:p w14:paraId="12B5EFF6" w14:textId="77777777" w:rsidR="004B1222" w:rsidRPr="00695084" w:rsidRDefault="004B1222" w:rsidP="004B1222">
      <w:pPr>
        <w:pStyle w:val="paragraph"/>
        <w:numPr>
          <w:ilvl w:val="0"/>
          <w:numId w:val="17"/>
        </w:numPr>
        <w:spacing w:before="0" w:beforeAutospacing="0" w:after="120" w:afterAutospacing="0"/>
        <w:textAlignment w:val="baseline"/>
        <w:rPr>
          <w:rFonts w:ascii="Calibri" w:hAnsi="Calibri" w:cs="Calibri"/>
          <w:sz w:val="22"/>
          <w:szCs w:val="22"/>
        </w:rPr>
      </w:pPr>
      <w:r w:rsidRPr="00695084">
        <w:rPr>
          <w:rStyle w:val="normaltextrun"/>
          <w:rFonts w:ascii="Calibri" w:hAnsi="Calibri" w:cs="Calibri"/>
          <w:sz w:val="22"/>
          <w:szCs w:val="22"/>
        </w:rPr>
        <w:t>There was no difference in physical activity by race/ethnicity.  In 2022, 79% of non-Hispanic White adults, 74% of non-Hispanic Black adults, and 70% of Hispanic adults participated in physical activity in the past month.</w:t>
      </w:r>
      <w:r w:rsidRPr="00695084">
        <w:rPr>
          <w:rStyle w:val="eop"/>
          <w:rFonts w:ascii="Calibri" w:hAnsi="Calibri" w:cs="Calibri"/>
          <w:sz w:val="22"/>
          <w:szCs w:val="22"/>
        </w:rPr>
        <w:t> </w:t>
      </w:r>
    </w:p>
    <w:p w14:paraId="68C367BD" w14:textId="77777777" w:rsidR="004B1222" w:rsidRPr="00695084" w:rsidRDefault="004B1222" w:rsidP="004B1222">
      <w:pPr>
        <w:pStyle w:val="paragraph"/>
        <w:numPr>
          <w:ilvl w:val="0"/>
          <w:numId w:val="17"/>
        </w:numPr>
        <w:spacing w:before="0" w:beforeAutospacing="0" w:after="120" w:afterAutospacing="0"/>
        <w:textAlignment w:val="baseline"/>
        <w:rPr>
          <w:rFonts w:ascii="Calibri" w:hAnsi="Calibri" w:cs="Calibri"/>
          <w:sz w:val="22"/>
          <w:szCs w:val="22"/>
        </w:rPr>
      </w:pPr>
      <w:r w:rsidRPr="00695084">
        <w:rPr>
          <w:rStyle w:val="normaltextrun"/>
          <w:rFonts w:ascii="Calibri" w:hAnsi="Calibri" w:cs="Calibri"/>
          <w:sz w:val="22"/>
          <w:szCs w:val="22"/>
        </w:rPr>
        <w:t>Significantly more college graduates participated in physical activity compared to any other educational attainment.  In 2022, 85% of college graduates participated in physical activity, compared to 78% of adults with some post-high school education and 72% of adults with a high school diploma or GED.  Likewise, statistically fewer Delaware adults with less than a high school diploma (63%) participated in physical activities in the past month.</w:t>
      </w:r>
      <w:r w:rsidRPr="00695084">
        <w:rPr>
          <w:rStyle w:val="eop"/>
          <w:rFonts w:ascii="Calibri" w:hAnsi="Calibri" w:cs="Calibri"/>
          <w:sz w:val="22"/>
          <w:szCs w:val="22"/>
        </w:rPr>
        <w:t> </w:t>
      </w:r>
    </w:p>
    <w:p w14:paraId="2B6FA06B" w14:textId="77777777" w:rsidR="004B1222" w:rsidRPr="00695084" w:rsidRDefault="004B1222" w:rsidP="004B1222">
      <w:pPr>
        <w:pStyle w:val="paragraph"/>
        <w:numPr>
          <w:ilvl w:val="0"/>
          <w:numId w:val="17"/>
        </w:numPr>
        <w:spacing w:before="0" w:beforeAutospacing="0" w:after="120" w:afterAutospacing="0"/>
        <w:textAlignment w:val="baseline"/>
        <w:rPr>
          <w:rFonts w:ascii="Calibri" w:hAnsi="Calibri" w:cs="Calibri"/>
          <w:sz w:val="22"/>
          <w:szCs w:val="22"/>
        </w:rPr>
      </w:pPr>
      <w:r w:rsidRPr="00695084">
        <w:rPr>
          <w:rStyle w:val="normaltextrun"/>
          <w:rFonts w:ascii="Calibri" w:hAnsi="Calibri" w:cs="Calibri"/>
          <w:sz w:val="22"/>
          <w:szCs w:val="22"/>
        </w:rPr>
        <w:t>Delawareans in lower income categories reported a statistically significantly lower prevalence of participating in physical activities in the past month (52% of those earning less than $15,000; 60% of those earning $15,000 to $24,999 did not meet the guidelines).  This compares to Delawareans in the highest income category, where 90% of those earning $200,000 or more per year participated in physical activities in the past month. </w:t>
      </w:r>
      <w:r w:rsidRPr="00695084">
        <w:rPr>
          <w:rStyle w:val="eop"/>
          <w:rFonts w:ascii="Calibri" w:hAnsi="Calibri" w:cs="Calibri"/>
          <w:sz w:val="22"/>
          <w:szCs w:val="22"/>
        </w:rPr>
        <w:t> </w:t>
      </w:r>
    </w:p>
    <w:p w14:paraId="7469EBC7" w14:textId="77777777" w:rsidR="004B1222" w:rsidRPr="00695084" w:rsidRDefault="004B1222" w:rsidP="004B1222">
      <w:pPr>
        <w:pStyle w:val="CommentText"/>
        <w:spacing w:after="120"/>
        <w:rPr>
          <w:rFonts w:asciiTheme="minorHAnsi" w:hAnsiTheme="minorHAnsi"/>
          <w:sz w:val="22"/>
          <w:szCs w:val="22"/>
        </w:rPr>
      </w:pPr>
    </w:p>
    <w:p w14:paraId="1E87395D" w14:textId="77777777" w:rsidR="004B1222" w:rsidRPr="00695084" w:rsidRDefault="004B1222" w:rsidP="004B1222">
      <w:pPr>
        <w:rPr>
          <w:rFonts w:asciiTheme="minorHAnsi" w:hAnsiTheme="minorHAnsi"/>
        </w:rPr>
      </w:pPr>
      <w:r w:rsidRPr="00695084">
        <w:rPr>
          <w:rFonts w:asciiTheme="minorHAnsi" w:hAnsiTheme="minorHAnsi"/>
        </w:rPr>
        <w:br w:type="page"/>
      </w:r>
    </w:p>
    <w:p w14:paraId="44B0793B" w14:textId="77777777" w:rsidR="004B1222" w:rsidRPr="00695084" w:rsidRDefault="004B1222" w:rsidP="004B1222">
      <w:pPr>
        <w:pStyle w:val="Heading3"/>
        <w:rPr>
          <w:rFonts w:asciiTheme="minorHAnsi" w:hAnsiTheme="minorHAnsi"/>
          <w:b/>
        </w:rPr>
      </w:pPr>
      <w:r w:rsidRPr="00695084">
        <w:rPr>
          <w:rFonts w:asciiTheme="minorHAnsi" w:hAnsiTheme="minorHAnsi"/>
          <w:b/>
        </w:rPr>
        <w:lastRenderedPageBreak/>
        <w:t>Dietary Fruits and Vegetables</w:t>
      </w:r>
    </w:p>
    <w:p w14:paraId="41279B1C" w14:textId="3E404E21" w:rsidR="004B1222" w:rsidRPr="00695084" w:rsidRDefault="004B1222" w:rsidP="004B1222">
      <w:pPr>
        <w:spacing w:after="120" w:line="240" w:lineRule="auto"/>
        <w:rPr>
          <w:rFonts w:asciiTheme="minorHAnsi" w:hAnsiTheme="minorHAnsi" w:cs="Arial"/>
          <w:szCs w:val="20"/>
        </w:rPr>
      </w:pPr>
      <w:r w:rsidRPr="00695084">
        <w:rPr>
          <w:rFonts w:asciiTheme="minorHAnsi" w:hAnsiTheme="minorHAnsi" w:cs="Arial"/>
          <w:szCs w:val="20"/>
        </w:rPr>
        <w:t>A diet high in fruits and vegetables is a protective factor against numerous cancers, including cancers of the breast, cervix, colon</w:t>
      </w:r>
      <w:r>
        <w:rPr>
          <w:rFonts w:asciiTheme="minorHAnsi" w:hAnsiTheme="minorHAnsi" w:cs="Arial"/>
          <w:szCs w:val="20"/>
        </w:rPr>
        <w:t xml:space="preserve"> and </w:t>
      </w:r>
      <w:r w:rsidRPr="00695084">
        <w:rPr>
          <w:rFonts w:asciiTheme="minorHAnsi" w:hAnsiTheme="minorHAnsi" w:cs="Arial"/>
          <w:szCs w:val="20"/>
        </w:rPr>
        <w:t>rectum, uterus, esophagus, oral cavity, ovary, pancreas, prostate, and stomach.  These questions are asked every other year.</w:t>
      </w:r>
      <w:r w:rsidRPr="00695084">
        <w:rPr>
          <w:rStyle w:val="FootnoteReference"/>
          <w:rFonts w:asciiTheme="minorHAnsi" w:hAnsiTheme="minorHAnsi" w:cs="Arial"/>
          <w:szCs w:val="20"/>
        </w:rPr>
        <w:footnoteReference w:id="42"/>
      </w:r>
      <w:r w:rsidRPr="00695084">
        <w:rPr>
          <w:rFonts w:asciiTheme="minorHAnsi" w:hAnsiTheme="minorHAnsi" w:cs="Arial"/>
          <w:szCs w:val="20"/>
        </w:rPr>
        <w:t xml:space="preserve">  </w:t>
      </w:r>
    </w:p>
    <w:p w14:paraId="2776505F" w14:textId="77777777" w:rsidR="004B1222" w:rsidRPr="00695084" w:rsidRDefault="004B1222" w:rsidP="004B1222">
      <w:pPr>
        <w:pStyle w:val="paragraph"/>
        <w:spacing w:before="0" w:beforeAutospacing="0" w:after="120" w:afterAutospacing="0"/>
        <w:textAlignment w:val="baseline"/>
        <w:rPr>
          <w:rFonts w:ascii="Calibri" w:hAnsi="Calibri" w:cs="Calibri"/>
          <w:sz w:val="22"/>
          <w:szCs w:val="22"/>
        </w:rPr>
      </w:pPr>
      <w:r w:rsidRPr="00695084">
        <w:rPr>
          <w:rStyle w:val="normaltextrun"/>
          <w:rFonts w:ascii="Calibri" w:hAnsi="Calibri" w:cs="Calibri"/>
          <w:sz w:val="22"/>
          <w:szCs w:val="22"/>
        </w:rPr>
        <w:t>The following data are from the 2021 Delaware BRFS (the most recent year available):</w:t>
      </w:r>
      <w:r w:rsidRPr="00695084">
        <w:rPr>
          <w:rStyle w:val="eop"/>
          <w:rFonts w:ascii="Calibri" w:hAnsi="Calibri" w:cs="Calibri"/>
          <w:sz w:val="22"/>
          <w:szCs w:val="22"/>
        </w:rPr>
        <w:t> </w:t>
      </w:r>
    </w:p>
    <w:p w14:paraId="00F62621" w14:textId="77777777" w:rsidR="004B1222" w:rsidRPr="00695084" w:rsidRDefault="004B1222" w:rsidP="004B1222">
      <w:pPr>
        <w:pStyle w:val="Bullet"/>
        <w:numPr>
          <w:ilvl w:val="0"/>
          <w:numId w:val="18"/>
        </w:numPr>
        <w:spacing w:before="0" w:after="120"/>
        <w:rPr>
          <w:rFonts w:asciiTheme="minorHAnsi" w:hAnsiTheme="minorHAnsi" w:cs="Arial"/>
          <w:sz w:val="22"/>
          <w:szCs w:val="22"/>
        </w:rPr>
      </w:pPr>
      <w:r w:rsidRPr="00695084">
        <w:rPr>
          <w:rFonts w:asciiTheme="minorHAnsi" w:hAnsiTheme="minorHAnsi" w:cs="Arial"/>
          <w:sz w:val="22"/>
          <w:szCs w:val="22"/>
        </w:rPr>
        <w:t>In Delaware, 40% of adults consumed fruit less than one time per day, the same as the national median (40%).</w:t>
      </w:r>
    </w:p>
    <w:p w14:paraId="7E217CC0" w14:textId="77777777" w:rsidR="004B1222" w:rsidRPr="00695084" w:rsidRDefault="004B1222" w:rsidP="004B1222">
      <w:pPr>
        <w:pStyle w:val="Bullet"/>
        <w:numPr>
          <w:ilvl w:val="0"/>
          <w:numId w:val="18"/>
        </w:numPr>
        <w:spacing w:before="0" w:after="120"/>
        <w:rPr>
          <w:rFonts w:asciiTheme="minorHAnsi" w:hAnsiTheme="minorHAnsi" w:cs="Arial"/>
          <w:sz w:val="22"/>
          <w:szCs w:val="22"/>
        </w:rPr>
      </w:pPr>
      <w:r w:rsidRPr="00695084">
        <w:rPr>
          <w:rFonts w:asciiTheme="minorHAnsi" w:hAnsiTheme="minorHAnsi" w:cs="Arial"/>
          <w:sz w:val="22"/>
          <w:szCs w:val="22"/>
        </w:rPr>
        <w:t xml:space="preserve">In 2021, 39% of Delaware adult females consumed fruit less than one time per day, compared to 43% of Delaware adult males.  This difference was not statistically significant. </w:t>
      </w:r>
    </w:p>
    <w:p w14:paraId="65BBDDDD" w14:textId="77777777" w:rsidR="004B1222" w:rsidRPr="00695084" w:rsidRDefault="004B1222" w:rsidP="004B1222">
      <w:pPr>
        <w:pStyle w:val="Bullet"/>
        <w:numPr>
          <w:ilvl w:val="0"/>
          <w:numId w:val="18"/>
        </w:numPr>
        <w:spacing w:before="0" w:after="120"/>
        <w:rPr>
          <w:rFonts w:asciiTheme="minorHAnsi" w:hAnsiTheme="minorHAnsi" w:cs="Arial"/>
          <w:sz w:val="22"/>
          <w:szCs w:val="22"/>
        </w:rPr>
      </w:pPr>
      <w:r w:rsidRPr="00695084">
        <w:rPr>
          <w:rFonts w:asciiTheme="minorHAnsi" w:hAnsiTheme="minorHAnsi" w:cs="Arial"/>
          <w:sz w:val="22"/>
          <w:szCs w:val="22"/>
        </w:rPr>
        <w:t>There were no differences observed by race/ethnicity for fruit consumption:  41% of non-Hispanic White adults, 40% of non-Hispanic Black adults, and 31% of Hispanic adults consumed fruit less than one time per day.</w:t>
      </w:r>
    </w:p>
    <w:p w14:paraId="733B6649" w14:textId="77777777" w:rsidR="004B1222" w:rsidRPr="00695084" w:rsidRDefault="004B1222" w:rsidP="004B1222">
      <w:pPr>
        <w:pStyle w:val="Bullet"/>
        <w:numPr>
          <w:ilvl w:val="0"/>
          <w:numId w:val="18"/>
        </w:numPr>
        <w:spacing w:before="0" w:after="120"/>
        <w:rPr>
          <w:rFonts w:asciiTheme="minorHAnsi" w:hAnsiTheme="minorHAnsi" w:cs="Arial"/>
          <w:sz w:val="22"/>
          <w:szCs w:val="22"/>
        </w:rPr>
      </w:pPr>
      <w:r w:rsidRPr="00695084">
        <w:rPr>
          <w:rFonts w:asciiTheme="minorHAnsi" w:hAnsiTheme="minorHAnsi" w:cs="Arial"/>
          <w:sz w:val="22"/>
          <w:szCs w:val="22"/>
        </w:rPr>
        <w:t>In Delaware, 21% of adults consumed vegetables less than one time per day, almost the same as the national median (20%).</w:t>
      </w:r>
    </w:p>
    <w:p w14:paraId="48CFFA27" w14:textId="77777777" w:rsidR="004B1222" w:rsidRPr="00695084" w:rsidRDefault="004B1222" w:rsidP="004B1222">
      <w:pPr>
        <w:pStyle w:val="Bullet"/>
        <w:numPr>
          <w:ilvl w:val="0"/>
          <w:numId w:val="18"/>
        </w:numPr>
        <w:spacing w:before="0" w:after="120"/>
        <w:rPr>
          <w:rFonts w:asciiTheme="minorHAnsi" w:hAnsiTheme="minorHAnsi" w:cs="Arial"/>
          <w:sz w:val="22"/>
          <w:szCs w:val="22"/>
        </w:rPr>
      </w:pPr>
      <w:r w:rsidRPr="00695084">
        <w:rPr>
          <w:rFonts w:asciiTheme="minorHAnsi" w:hAnsiTheme="minorHAnsi" w:cs="Arial"/>
          <w:sz w:val="22"/>
          <w:szCs w:val="22"/>
        </w:rPr>
        <w:t>Delaware adult females reported consuming vegetables more often per day than Delaware adult males.  In 2021, 26% of Delaware adult males consumed vegetables less than one time per day, compared to 16% of Delaware adult females.</w:t>
      </w:r>
    </w:p>
    <w:p w14:paraId="148E1BCB" w14:textId="4ABA59ED" w:rsidR="0046791E" w:rsidRPr="00AA53A0" w:rsidRDefault="004B1222" w:rsidP="00AA53A0">
      <w:pPr>
        <w:pStyle w:val="Bullet"/>
        <w:numPr>
          <w:ilvl w:val="0"/>
          <w:numId w:val="18"/>
        </w:numPr>
        <w:spacing w:before="0" w:after="120"/>
        <w:rPr>
          <w:rFonts w:asciiTheme="minorHAnsi" w:hAnsiTheme="minorHAnsi" w:cs="Arial"/>
          <w:sz w:val="22"/>
          <w:szCs w:val="22"/>
        </w:rPr>
      </w:pPr>
      <w:r w:rsidRPr="00695084">
        <w:rPr>
          <w:rFonts w:asciiTheme="minorHAnsi" w:hAnsiTheme="minorHAnsi" w:cs="Arial"/>
          <w:sz w:val="22"/>
          <w:szCs w:val="22"/>
        </w:rPr>
        <w:t xml:space="preserve">There were differences in daily vegetable consumptions by race/ethnicity groups.  Only 16% of Delaware non-Hispanic White adults reported consuming vegetables less than one time per day, compared to 28% of non-Hispanic Black adults and 44% of Hispanic adults. </w:t>
      </w:r>
      <w:bookmarkEnd w:id="5412"/>
      <w:bookmarkEnd w:id="5413"/>
      <w:bookmarkEnd w:id="5414"/>
      <w:bookmarkEnd w:id="5415"/>
      <w:bookmarkEnd w:id="5416"/>
      <w:bookmarkEnd w:id="5417"/>
      <w:bookmarkEnd w:id="5418"/>
      <w:bookmarkEnd w:id="5419"/>
      <w:bookmarkEnd w:id="5420"/>
      <w:bookmarkEnd w:id="5421"/>
      <w:r w:rsidRPr="00695084">
        <w:rPr>
          <w:rFonts w:asciiTheme="minorHAnsi" w:hAnsiTheme="minorHAnsi" w:cs="Arial"/>
          <w:sz w:val="22"/>
          <w:szCs w:val="22"/>
        </w:rPr>
        <w:t xml:space="preserve"> The difference between non-Hispanic White adults and non-Hispanic Black adults and Hispanic adults was significantly different.</w:t>
      </w:r>
    </w:p>
    <w:sectPr w:rsidR="0046791E" w:rsidRPr="00AA53A0" w:rsidSect="00ED02EC">
      <w:footerReference w:type="default" r:id="rId73"/>
      <w:pgSz w:w="12240" w:h="15840"/>
      <w:pgMar w:top="576" w:right="1080" w:bottom="576" w:left="1267"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BE1EC" w14:textId="77777777" w:rsidR="00DF2563" w:rsidRDefault="00DF2563" w:rsidP="003E5C0A">
      <w:pPr>
        <w:spacing w:after="0" w:line="240" w:lineRule="auto"/>
      </w:pPr>
      <w:r>
        <w:separator/>
      </w:r>
    </w:p>
  </w:endnote>
  <w:endnote w:type="continuationSeparator" w:id="0">
    <w:p w14:paraId="5454F007" w14:textId="77777777" w:rsidR="00DF2563" w:rsidRDefault="00DF2563" w:rsidP="003E5C0A">
      <w:pPr>
        <w:spacing w:after="0" w:line="240" w:lineRule="auto"/>
      </w:pPr>
      <w:r>
        <w:continuationSeparator/>
      </w:r>
    </w:p>
  </w:endnote>
  <w:endnote w:type="continuationNotice" w:id="1">
    <w:p w14:paraId="7CF86A94" w14:textId="77777777" w:rsidR="00DF2563" w:rsidRDefault="00DF2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8363" w14:textId="77777777" w:rsidR="009445E2" w:rsidRDefault="009445E2" w:rsidP="00AA6590">
    <w:pPr>
      <w:pStyle w:val="Footer"/>
      <w:ind w:left="1440" w:hanging="1440"/>
      <w:jc w:val="right"/>
      <w:rPr>
        <w:sz w:val="16"/>
        <w:szCs w:val="16"/>
      </w:rPr>
    </w:pPr>
  </w:p>
  <w:p w14:paraId="679639B0" w14:textId="77777777" w:rsidR="009445E2" w:rsidRPr="00C3524C" w:rsidRDefault="009445E2" w:rsidP="00AA6590">
    <w:pPr>
      <w:pStyle w:val="Footer"/>
      <w:jc w:val="both"/>
      <w:rPr>
        <w:sz w:val="16"/>
        <w:szCs w:val="16"/>
      </w:rPr>
    </w:pPr>
    <w:r w:rsidRPr="001E3DF5">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540115"/>
      <w:docPartObj>
        <w:docPartGallery w:val="Page Numbers (Bottom of Page)"/>
        <w:docPartUnique/>
      </w:docPartObj>
    </w:sdtPr>
    <w:sdtEndPr>
      <w:rPr>
        <w:noProof/>
      </w:rPr>
    </w:sdtEndPr>
    <w:sdtContent>
      <w:p w14:paraId="5AEA3688" w14:textId="03FBF495" w:rsidR="00D52B01" w:rsidRDefault="00D52B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D1E33C" w14:textId="77777777" w:rsidR="009445E2" w:rsidRDefault="009445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ABCF" w14:textId="77777777" w:rsidR="005A1CBD" w:rsidRDefault="005A1CBD" w:rsidP="00E5102D">
    <w:pPr>
      <w:pStyle w:val="Footer"/>
      <w:rPr>
        <w:i/>
        <w:iCs/>
        <w:sz w:val="18"/>
        <w:szCs w:val="18"/>
      </w:rPr>
    </w:pPr>
  </w:p>
  <w:p w14:paraId="0291BD10" w14:textId="62E35527" w:rsidR="00E5102D" w:rsidRPr="00D6700C" w:rsidRDefault="00E5102D" w:rsidP="00E5102D">
    <w:pPr>
      <w:pStyle w:val="Footer"/>
      <w:rPr>
        <w:i/>
        <w:iCs/>
        <w:sz w:val="18"/>
        <w:szCs w:val="18"/>
      </w:rPr>
    </w:pPr>
    <w:r w:rsidRPr="00D6700C">
      <w:rPr>
        <w:i/>
        <w:iCs/>
        <w:sz w:val="18"/>
        <w:szCs w:val="18"/>
      </w:rPr>
      <w:t>Delaware Department of Health and Social Services, Division of Public Health</w:t>
    </w:r>
    <w:r w:rsidRPr="00D6700C">
      <w:rPr>
        <w:i/>
        <w:iCs/>
        <w:sz w:val="18"/>
        <w:szCs w:val="18"/>
      </w:rPr>
      <w:tab/>
      <w:t xml:space="preserve">Page </w:t>
    </w:r>
    <w:r w:rsidRPr="00695084">
      <w:rPr>
        <w:i/>
        <w:iCs/>
        <w:sz w:val="18"/>
        <w:szCs w:val="18"/>
      </w:rPr>
      <w:fldChar w:fldCharType="begin"/>
    </w:r>
    <w:r w:rsidRPr="00695084">
      <w:rPr>
        <w:i/>
        <w:iCs/>
        <w:sz w:val="18"/>
        <w:szCs w:val="18"/>
      </w:rPr>
      <w:instrText xml:space="preserve"> PAGE </w:instrText>
    </w:r>
    <w:r w:rsidRPr="00695084">
      <w:rPr>
        <w:i/>
        <w:iCs/>
        <w:sz w:val="18"/>
        <w:szCs w:val="18"/>
      </w:rPr>
      <w:fldChar w:fldCharType="separate"/>
    </w:r>
    <w:r>
      <w:rPr>
        <w:i/>
        <w:iCs/>
        <w:sz w:val="18"/>
        <w:szCs w:val="18"/>
      </w:rPr>
      <w:t>55</w:t>
    </w:r>
    <w:r w:rsidRPr="00695084">
      <w:rPr>
        <w:i/>
        <w:iCs/>
        <w:sz w:val="18"/>
        <w:szCs w:val="18"/>
      </w:rPr>
      <w:fldChar w:fldCharType="end"/>
    </w:r>
  </w:p>
  <w:p w14:paraId="3751A8EB" w14:textId="17B33D39" w:rsidR="00C66177" w:rsidRDefault="00E5102D" w:rsidP="00E5102D">
    <w:pPr>
      <w:pStyle w:val="Footer"/>
    </w:pPr>
    <w:r w:rsidRPr="00D6700C">
      <w:rPr>
        <w:i/>
        <w:iCs/>
        <w:sz w:val="18"/>
        <w:szCs w:val="18"/>
      </w:rPr>
      <w:t>Cancer Incidence and Mortality in Delaware, 2017-202</w:t>
    </w:r>
    <w:r w:rsidR="00E13980">
      <w:rPr>
        <w:i/>
        <w:iCs/>
        <w:sz w:val="18"/>
        <w:szCs w:val="18"/>
      </w:rPr>
      <w:t>1</w:t>
    </w:r>
    <w:r w:rsidRPr="00D6700C">
      <w:rPr>
        <w:i/>
        <w:iCs/>
        <w:sz w:val="18"/>
        <w:szCs w:val="18"/>
      </w:rPr>
      <w:t xml:space="preserve">      </w:t>
    </w:r>
    <w:r w:rsidRPr="00D6700C">
      <w:rPr>
        <w:i/>
        <w:iCs/>
        <w:sz w:val="18"/>
        <w:szCs w:val="18"/>
      </w:rPr>
      <w:tab/>
      <w:t xml:space="preserve">                                                                                                   </w:t>
    </w:r>
    <w:r>
      <w:rPr>
        <w:i/>
        <w:iCs/>
        <w:sz w:val="18"/>
        <w:szCs w:val="18"/>
      </w:rPr>
      <w:t xml:space="preserve"> </w:t>
    </w:r>
    <w:r w:rsidRPr="00D6700C">
      <w:rPr>
        <w:i/>
        <w:iCs/>
        <w:sz w:val="18"/>
        <w:szCs w:val="18"/>
      </w:rPr>
      <w:t>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117B1" w14:textId="77777777" w:rsidR="00DF2563" w:rsidRDefault="00DF2563" w:rsidP="003E5C0A">
      <w:pPr>
        <w:spacing w:after="0" w:line="240" w:lineRule="auto"/>
      </w:pPr>
      <w:r>
        <w:separator/>
      </w:r>
    </w:p>
  </w:footnote>
  <w:footnote w:type="continuationSeparator" w:id="0">
    <w:p w14:paraId="6095CECE" w14:textId="77777777" w:rsidR="00DF2563" w:rsidRDefault="00DF2563" w:rsidP="003E5C0A">
      <w:pPr>
        <w:spacing w:after="0" w:line="240" w:lineRule="auto"/>
      </w:pPr>
      <w:r>
        <w:continuationSeparator/>
      </w:r>
    </w:p>
  </w:footnote>
  <w:footnote w:type="continuationNotice" w:id="1">
    <w:p w14:paraId="1855314A" w14:textId="77777777" w:rsidR="00DF2563" w:rsidRDefault="00DF2563">
      <w:pPr>
        <w:spacing w:after="0" w:line="240" w:lineRule="auto"/>
      </w:pPr>
    </w:p>
  </w:footnote>
  <w:footnote w:id="2">
    <w:p w14:paraId="7F205C47" w14:textId="77777777" w:rsidR="00911CAD" w:rsidRPr="00305B6E" w:rsidRDefault="00911CAD" w:rsidP="00911CAD">
      <w:pPr>
        <w:pStyle w:val="FootnoteText"/>
        <w:rPr>
          <w:rFonts w:ascii="Calibri" w:hAnsi="Calibri"/>
          <w:sz w:val="16"/>
          <w:szCs w:val="16"/>
        </w:rPr>
      </w:pPr>
      <w:r w:rsidRPr="00305B6E">
        <w:rPr>
          <w:rStyle w:val="FootnoteReference"/>
          <w:rFonts w:ascii="Calibri" w:hAnsi="Calibri"/>
          <w:sz w:val="16"/>
          <w:szCs w:val="16"/>
        </w:rPr>
        <w:footnoteRef/>
      </w:r>
      <w:r w:rsidRPr="00305B6E">
        <w:rPr>
          <w:rFonts w:ascii="Calibri" w:hAnsi="Calibri"/>
          <w:sz w:val="16"/>
          <w:szCs w:val="16"/>
        </w:rPr>
        <w:t xml:space="preserve"> </w:t>
      </w:r>
      <w:hyperlink r:id="rId1" w:history="1">
        <w:r w:rsidRPr="00305B6E">
          <w:rPr>
            <w:rStyle w:val="Hyperlink"/>
            <w:rFonts w:ascii="Calibri" w:hAnsi="Calibri"/>
            <w:sz w:val="16"/>
            <w:szCs w:val="16"/>
          </w:rPr>
          <w:t>https://seer.cancer.gov/statistics/types/incidence.html</w:t>
        </w:r>
      </w:hyperlink>
    </w:p>
  </w:footnote>
  <w:footnote w:id="3">
    <w:p w14:paraId="1780FC71" w14:textId="77777777" w:rsidR="00911CAD" w:rsidRPr="00305B6E" w:rsidRDefault="00911CAD" w:rsidP="00911CAD">
      <w:pPr>
        <w:pStyle w:val="FootnoteText"/>
        <w:rPr>
          <w:rFonts w:ascii="Calibri" w:hAnsi="Calibri"/>
          <w:sz w:val="16"/>
          <w:szCs w:val="16"/>
        </w:rPr>
      </w:pPr>
      <w:r w:rsidRPr="00305B6E">
        <w:rPr>
          <w:rStyle w:val="FootnoteReference"/>
          <w:rFonts w:ascii="Calibri" w:hAnsi="Calibri"/>
          <w:sz w:val="16"/>
          <w:szCs w:val="16"/>
        </w:rPr>
        <w:footnoteRef/>
      </w:r>
      <w:r w:rsidRPr="00305B6E">
        <w:rPr>
          <w:rFonts w:ascii="Calibri" w:hAnsi="Calibri"/>
          <w:sz w:val="16"/>
          <w:szCs w:val="16"/>
        </w:rPr>
        <w:t xml:space="preserve"> </w:t>
      </w:r>
      <w:hyperlink r:id="rId2" w:history="1">
        <w:r w:rsidRPr="00305B6E">
          <w:rPr>
            <w:rStyle w:val="Hyperlink"/>
            <w:rFonts w:ascii="Calibri" w:hAnsi="Calibri"/>
            <w:sz w:val="16"/>
            <w:szCs w:val="16"/>
          </w:rPr>
          <w:t>https://seer.cancer.gov/statistics/types/mortality.html</w:t>
        </w:r>
      </w:hyperlink>
    </w:p>
  </w:footnote>
  <w:footnote w:id="4">
    <w:p w14:paraId="36D8D316" w14:textId="77777777" w:rsidR="009445E2" w:rsidRPr="001E7E9C" w:rsidRDefault="009445E2" w:rsidP="000F2FF9">
      <w:pPr>
        <w:pStyle w:val="FootnoteText"/>
        <w:rPr>
          <w:rFonts w:asciiTheme="minorHAnsi" w:hAnsiTheme="minorHAnsi"/>
          <w:sz w:val="16"/>
          <w:szCs w:val="16"/>
        </w:rPr>
      </w:pPr>
      <w:r w:rsidRPr="00E778EA">
        <w:rPr>
          <w:rStyle w:val="FootnoteReference"/>
          <w:rFonts w:asciiTheme="minorHAnsi" w:hAnsiTheme="minorHAnsi"/>
          <w:sz w:val="16"/>
          <w:szCs w:val="16"/>
        </w:rPr>
        <w:footnoteRef/>
      </w:r>
      <w:r w:rsidRPr="001E7E9C">
        <w:rPr>
          <w:rFonts w:asciiTheme="minorHAnsi" w:hAnsiTheme="minorHAnsi"/>
        </w:rPr>
        <w:t xml:space="preserve"> </w:t>
      </w:r>
      <w:hyperlink r:id="rId3" w:history="1">
        <w:r w:rsidRPr="001E7E9C">
          <w:rPr>
            <w:rStyle w:val="Hyperlink"/>
            <w:rFonts w:asciiTheme="minorHAnsi" w:hAnsiTheme="minorHAnsi"/>
            <w:sz w:val="16"/>
            <w:szCs w:val="16"/>
          </w:rPr>
          <w:t>http://delcode.delaware.gov/title16/c032/index.shtml</w:t>
        </w:r>
      </w:hyperlink>
      <w:r w:rsidRPr="001E7E9C">
        <w:rPr>
          <w:rFonts w:asciiTheme="minorHAnsi" w:hAnsiTheme="minorHAnsi"/>
          <w:sz w:val="16"/>
          <w:szCs w:val="16"/>
        </w:rPr>
        <w:t xml:space="preserve"> </w:t>
      </w:r>
    </w:p>
  </w:footnote>
  <w:footnote w:id="5">
    <w:p w14:paraId="3726B95A" w14:textId="6DCD2605" w:rsidR="009445E2" w:rsidRPr="00BD630A" w:rsidRDefault="009445E2" w:rsidP="000F2FF9">
      <w:pPr>
        <w:pStyle w:val="Default"/>
        <w:rPr>
          <w:rFonts w:asciiTheme="minorHAnsi" w:hAnsiTheme="minorHAnsi"/>
          <w:sz w:val="16"/>
          <w:szCs w:val="16"/>
        </w:rPr>
      </w:pPr>
      <w:r w:rsidRPr="00BD630A">
        <w:rPr>
          <w:rStyle w:val="FootnoteReference"/>
          <w:rFonts w:asciiTheme="minorHAnsi" w:hAnsiTheme="minorHAnsi"/>
          <w:sz w:val="16"/>
          <w:szCs w:val="16"/>
        </w:rPr>
        <w:footnoteRef/>
      </w:r>
      <w:r w:rsidRPr="00BD630A">
        <w:rPr>
          <w:rFonts w:asciiTheme="minorHAnsi" w:hAnsiTheme="minorHAnsi"/>
          <w:sz w:val="16"/>
          <w:szCs w:val="16"/>
        </w:rPr>
        <w:t xml:space="preserve"> </w:t>
      </w:r>
      <w:hyperlink r:id="rId4" w:history="1">
        <w:r w:rsidR="00731508" w:rsidRPr="00FB186D">
          <w:rPr>
            <w:rStyle w:val="Hyperlink"/>
            <w:rFonts w:asciiTheme="minorHAnsi" w:eastAsia="Calibri" w:hAnsiTheme="minorHAnsi" w:cs="Times New Roman"/>
            <w:sz w:val="16"/>
            <w:szCs w:val="16"/>
          </w:rPr>
          <w:t>https://www.cdc.gov/national-program-cancer-registries/contact/?CDC_AAref_Val=https://www.cdc.gov/cancer/npcr/registries.htm</w:t>
        </w:r>
      </w:hyperlink>
    </w:p>
  </w:footnote>
  <w:footnote w:id="6">
    <w:p w14:paraId="63A17AAC" w14:textId="59ACF93D" w:rsidR="009445E2" w:rsidRPr="00F9569D" w:rsidRDefault="009445E2" w:rsidP="000F2FF9">
      <w:pPr>
        <w:pStyle w:val="FootnoteText"/>
        <w:rPr>
          <w:rFonts w:asciiTheme="minorHAnsi" w:hAnsiTheme="minorHAnsi" w:cstheme="minorHAnsi"/>
          <w:sz w:val="16"/>
          <w:szCs w:val="16"/>
        </w:rPr>
      </w:pPr>
      <w:r w:rsidRPr="00996240">
        <w:rPr>
          <w:rStyle w:val="FootnoteReference"/>
          <w:rFonts w:asciiTheme="minorHAnsi" w:hAnsiTheme="minorHAnsi"/>
          <w:sz w:val="16"/>
          <w:szCs w:val="16"/>
        </w:rPr>
        <w:footnoteRef/>
      </w:r>
      <w:r w:rsidRPr="00996240">
        <w:rPr>
          <w:rFonts w:asciiTheme="minorHAnsi" w:hAnsiTheme="minorHAnsi"/>
          <w:sz w:val="16"/>
          <w:szCs w:val="16"/>
        </w:rPr>
        <w:t xml:space="preserve"> </w:t>
      </w:r>
      <w:hyperlink r:id="rId5" w:history="1">
        <w:r w:rsidRPr="00F9569D">
          <w:rPr>
            <w:rStyle w:val="Hyperlink"/>
            <w:rFonts w:asciiTheme="minorHAnsi" w:hAnsiTheme="minorHAnsi" w:cstheme="minorHAnsi"/>
            <w:sz w:val="16"/>
            <w:szCs w:val="16"/>
          </w:rPr>
          <w:t>https://www.naaccr.org/certification-criteria/</w:t>
        </w:r>
      </w:hyperlink>
      <w:r w:rsidRPr="00F9569D">
        <w:rPr>
          <w:rFonts w:asciiTheme="minorHAnsi" w:hAnsiTheme="minorHAnsi" w:cstheme="minorHAnsi"/>
          <w:sz w:val="16"/>
          <w:szCs w:val="16"/>
        </w:rPr>
        <w:t xml:space="preserve"> </w:t>
      </w:r>
    </w:p>
  </w:footnote>
  <w:footnote w:id="7">
    <w:p w14:paraId="5ABB371C" w14:textId="77777777" w:rsidR="00D401B5" w:rsidRPr="00E778EA" w:rsidRDefault="00D401B5" w:rsidP="00D401B5">
      <w:pPr>
        <w:pStyle w:val="FootnoteText"/>
        <w:rPr>
          <w:rFonts w:asciiTheme="minorHAnsi" w:hAnsiTheme="minorHAnsi" w:cstheme="minorHAnsi"/>
          <w:sz w:val="16"/>
          <w:szCs w:val="16"/>
        </w:rPr>
      </w:pPr>
      <w:r w:rsidRPr="00E778EA">
        <w:rPr>
          <w:rStyle w:val="FootnoteReference"/>
          <w:rFonts w:asciiTheme="minorHAnsi" w:hAnsiTheme="minorHAnsi" w:cstheme="minorHAnsi"/>
          <w:sz w:val="16"/>
          <w:szCs w:val="16"/>
        </w:rPr>
        <w:footnoteRef/>
      </w:r>
      <w:r w:rsidRPr="00E778EA">
        <w:rPr>
          <w:rFonts w:asciiTheme="minorHAnsi" w:hAnsiTheme="minorHAnsi" w:cstheme="minorHAnsi"/>
          <w:sz w:val="16"/>
          <w:szCs w:val="16"/>
        </w:rPr>
        <w:t xml:space="preserve"> </w:t>
      </w:r>
      <w:r w:rsidRPr="00E778EA">
        <w:rPr>
          <w:rFonts w:asciiTheme="minorHAnsi" w:eastAsiaTheme="majorEastAsia" w:hAnsiTheme="minorHAnsi" w:cstheme="minorHAnsi"/>
          <w:color w:val="000000"/>
          <w:kern w:val="36"/>
          <w:sz w:val="16"/>
          <w:szCs w:val="16"/>
        </w:rPr>
        <w:t xml:space="preserve">National Cancer Institute, Surveillance, Epidemiology, and End Results Program: Impact of COVID on 2020 SEER Cancer Incidence Data, </w:t>
      </w:r>
      <w:hyperlink r:id="rId6" w:history="1">
        <w:r w:rsidRPr="00E778EA">
          <w:rPr>
            <w:rStyle w:val="Hyperlink"/>
            <w:rFonts w:asciiTheme="minorHAnsi" w:eastAsiaTheme="majorEastAsia" w:hAnsiTheme="minorHAnsi" w:cstheme="minorHAnsi"/>
            <w:kern w:val="36"/>
            <w:sz w:val="16"/>
            <w:szCs w:val="16"/>
          </w:rPr>
          <w:t>https://seer.cancer.gov/data/covid-impact.html</w:t>
        </w:r>
      </w:hyperlink>
      <w:r w:rsidRPr="00E778EA">
        <w:rPr>
          <w:rFonts w:asciiTheme="minorHAnsi" w:eastAsiaTheme="majorEastAsia" w:hAnsiTheme="minorHAnsi" w:cstheme="minorHAnsi"/>
          <w:color w:val="000000"/>
          <w:kern w:val="36"/>
          <w:sz w:val="16"/>
          <w:szCs w:val="16"/>
        </w:rPr>
        <w:t xml:space="preserve"> </w:t>
      </w:r>
    </w:p>
  </w:footnote>
  <w:footnote w:id="8">
    <w:p w14:paraId="6D20AEBF" w14:textId="23DE9115" w:rsidR="00B142A6" w:rsidRPr="004B6CBF" w:rsidRDefault="009445E2" w:rsidP="004B6CBF">
      <w:pPr>
        <w:spacing w:after="0" w:line="240" w:lineRule="auto"/>
        <w:rPr>
          <w:rFonts w:asciiTheme="minorHAnsi" w:hAnsiTheme="minorHAnsi" w:cstheme="minorHAnsi"/>
          <w:sz w:val="16"/>
          <w:szCs w:val="16"/>
        </w:rPr>
      </w:pPr>
      <w:r w:rsidRPr="000C7D22">
        <w:rPr>
          <w:rStyle w:val="FootnoteReference"/>
          <w:rFonts w:asciiTheme="minorHAnsi" w:hAnsiTheme="minorHAnsi"/>
          <w:sz w:val="16"/>
          <w:szCs w:val="16"/>
        </w:rPr>
        <w:footnoteRef/>
      </w:r>
      <w:r w:rsidRPr="000C7D22">
        <w:rPr>
          <w:rFonts w:asciiTheme="minorHAnsi" w:hAnsiTheme="minorHAnsi"/>
          <w:sz w:val="16"/>
          <w:szCs w:val="16"/>
        </w:rPr>
        <w:t xml:space="preserve"> </w:t>
      </w:r>
      <w:r w:rsidR="004B6CBF" w:rsidRPr="000A7254">
        <w:rPr>
          <w:rFonts w:asciiTheme="minorHAnsi" w:hAnsiTheme="minorHAnsi" w:cstheme="minorHAnsi"/>
          <w:sz w:val="16"/>
          <w:szCs w:val="16"/>
        </w:rPr>
        <w:t>CI*Rank: Ranked Incidence and Mortality Rates by State, County, and Special Region</w:t>
      </w:r>
      <w:r w:rsidR="004B6CBF">
        <w:rPr>
          <w:rFonts w:asciiTheme="minorHAnsi" w:hAnsiTheme="minorHAnsi" w:cstheme="minorHAnsi"/>
          <w:sz w:val="16"/>
          <w:szCs w:val="16"/>
        </w:rPr>
        <w:t xml:space="preserve"> from </w:t>
      </w:r>
      <w:hyperlink r:id="rId7" w:history="1">
        <w:r w:rsidR="004B6CBF" w:rsidRPr="00F112E3">
          <w:rPr>
            <w:rStyle w:val="Hyperlink"/>
            <w:rFonts w:asciiTheme="minorHAnsi" w:hAnsiTheme="minorHAnsi" w:cstheme="minorHAnsi"/>
            <w:sz w:val="16"/>
            <w:szCs w:val="16"/>
          </w:rPr>
          <w:t>https://surveillance.cancer.gov/cirank/</w:t>
        </w:r>
      </w:hyperlink>
    </w:p>
  </w:footnote>
  <w:footnote w:id="9">
    <w:p w14:paraId="16B1E213" w14:textId="1D3AE740" w:rsidR="005F684C" w:rsidRPr="000E2549" w:rsidRDefault="000E2549" w:rsidP="00DE5E8C">
      <w:pPr>
        <w:pStyle w:val="NormalWeb"/>
        <w:spacing w:before="0" w:beforeAutospacing="0" w:after="0" w:afterAutospacing="0"/>
        <w:rPr>
          <w:rFonts w:asciiTheme="minorHAnsi" w:hAnsiTheme="minorHAnsi" w:cstheme="minorHAnsi"/>
          <w:sz w:val="16"/>
          <w:szCs w:val="16"/>
        </w:rPr>
      </w:pPr>
      <w:r w:rsidRPr="000E2549">
        <w:rPr>
          <w:rStyle w:val="FootnoteReference"/>
          <w:rFonts w:asciiTheme="minorHAnsi" w:hAnsiTheme="minorHAnsi" w:cstheme="minorHAnsi"/>
          <w:sz w:val="16"/>
          <w:szCs w:val="16"/>
        </w:rPr>
        <w:footnoteRef/>
      </w:r>
      <w:r w:rsidRPr="000E2549">
        <w:rPr>
          <w:rFonts w:asciiTheme="minorHAnsi" w:hAnsiTheme="minorHAnsi" w:cstheme="minorHAnsi"/>
          <w:sz w:val="16"/>
          <w:szCs w:val="16"/>
        </w:rPr>
        <w:t xml:space="preserve"> Centers for Disease Control and Prevention. (202</w:t>
      </w:r>
      <w:r w:rsidR="00047806">
        <w:rPr>
          <w:rFonts w:asciiTheme="minorHAnsi" w:hAnsiTheme="minorHAnsi" w:cstheme="minorHAnsi"/>
          <w:sz w:val="16"/>
          <w:szCs w:val="16"/>
        </w:rPr>
        <w:t>4</w:t>
      </w:r>
      <w:r w:rsidRPr="000E2549">
        <w:rPr>
          <w:rFonts w:asciiTheme="minorHAnsi" w:hAnsiTheme="minorHAnsi" w:cstheme="minorHAnsi"/>
          <w:sz w:val="16"/>
          <w:szCs w:val="16"/>
        </w:rPr>
        <w:t xml:space="preserve">, June </w:t>
      </w:r>
      <w:r w:rsidR="00047806">
        <w:rPr>
          <w:rFonts w:asciiTheme="minorHAnsi" w:hAnsiTheme="minorHAnsi" w:cstheme="minorHAnsi"/>
          <w:sz w:val="16"/>
          <w:szCs w:val="16"/>
        </w:rPr>
        <w:t>13</w:t>
      </w:r>
      <w:r w:rsidRPr="000E2549">
        <w:rPr>
          <w:rFonts w:asciiTheme="minorHAnsi" w:hAnsiTheme="minorHAnsi" w:cstheme="minorHAnsi"/>
          <w:sz w:val="16"/>
          <w:szCs w:val="16"/>
        </w:rPr>
        <w:t xml:space="preserve">). </w:t>
      </w:r>
      <w:r w:rsidRPr="000E2549">
        <w:rPr>
          <w:rFonts w:asciiTheme="minorHAnsi" w:hAnsiTheme="minorHAnsi" w:cstheme="minorHAnsi"/>
          <w:i/>
          <w:iCs/>
          <w:sz w:val="16"/>
          <w:szCs w:val="16"/>
        </w:rPr>
        <w:t xml:space="preserve">Suppression of </w:t>
      </w:r>
      <w:r w:rsidR="00047806">
        <w:rPr>
          <w:rFonts w:asciiTheme="minorHAnsi" w:hAnsiTheme="minorHAnsi" w:cstheme="minorHAnsi"/>
          <w:i/>
          <w:iCs/>
          <w:sz w:val="16"/>
          <w:szCs w:val="16"/>
        </w:rPr>
        <w:t>R</w:t>
      </w:r>
      <w:r w:rsidRPr="000E2549">
        <w:rPr>
          <w:rFonts w:asciiTheme="minorHAnsi" w:hAnsiTheme="minorHAnsi" w:cstheme="minorHAnsi"/>
          <w:i/>
          <w:iCs/>
          <w:sz w:val="16"/>
          <w:szCs w:val="16"/>
        </w:rPr>
        <w:t xml:space="preserve">ates and </w:t>
      </w:r>
      <w:r w:rsidR="00047806">
        <w:rPr>
          <w:rFonts w:asciiTheme="minorHAnsi" w:hAnsiTheme="minorHAnsi" w:cstheme="minorHAnsi"/>
          <w:i/>
          <w:iCs/>
          <w:sz w:val="16"/>
          <w:szCs w:val="16"/>
        </w:rPr>
        <w:t>C</w:t>
      </w:r>
      <w:r w:rsidRPr="000E2549">
        <w:rPr>
          <w:rFonts w:asciiTheme="minorHAnsi" w:hAnsiTheme="minorHAnsi" w:cstheme="minorHAnsi"/>
          <w:i/>
          <w:iCs/>
          <w:sz w:val="16"/>
          <w:szCs w:val="16"/>
        </w:rPr>
        <w:t>ounts</w:t>
      </w:r>
      <w:r w:rsidRPr="000E2549">
        <w:rPr>
          <w:rFonts w:asciiTheme="minorHAnsi" w:hAnsiTheme="minorHAnsi" w:cstheme="minorHAnsi"/>
          <w:sz w:val="16"/>
          <w:szCs w:val="16"/>
        </w:rPr>
        <w:t xml:space="preserve">. United States Cancer Statistics (USCS). Retrieved </w:t>
      </w:r>
      <w:r w:rsidR="00047806">
        <w:rPr>
          <w:rFonts w:asciiTheme="minorHAnsi" w:hAnsiTheme="minorHAnsi" w:cstheme="minorHAnsi"/>
          <w:sz w:val="16"/>
          <w:szCs w:val="16"/>
        </w:rPr>
        <w:t>October 8, 2024</w:t>
      </w:r>
      <w:r w:rsidRPr="000E2549">
        <w:rPr>
          <w:rFonts w:asciiTheme="minorHAnsi" w:hAnsiTheme="minorHAnsi" w:cstheme="minorHAnsi"/>
          <w:sz w:val="16"/>
          <w:szCs w:val="16"/>
        </w:rPr>
        <w:t xml:space="preserve">, from </w:t>
      </w:r>
      <w:hyperlink r:id="rId8" w:history="1">
        <w:r w:rsidR="00047806" w:rsidRPr="00FB186D">
          <w:rPr>
            <w:rStyle w:val="Hyperlink"/>
            <w:rFonts w:asciiTheme="minorHAnsi" w:eastAsiaTheme="majorEastAsia" w:hAnsiTheme="minorHAnsi" w:cstheme="minorHAnsi"/>
            <w:sz w:val="16"/>
            <w:szCs w:val="16"/>
          </w:rPr>
          <w:t>https://www.cdc.gov/united-states-cancer-statistics/technical-notes/suppression.html?CDC_AAref_Val=https://www.cdc.gov/cancer/uscs/technical_notes/stat_methods/suppression.htm</w:t>
        </w:r>
      </w:hyperlink>
      <w:r w:rsidRPr="00047806">
        <w:rPr>
          <w:rStyle w:val="Hyperlink"/>
          <w:rFonts w:eastAsiaTheme="majorEastAsia"/>
        </w:rPr>
        <w:t xml:space="preserve"> </w:t>
      </w:r>
    </w:p>
  </w:footnote>
  <w:footnote w:id="10">
    <w:p w14:paraId="30032F0B" w14:textId="2EF5EB9C" w:rsidR="009445E2" w:rsidRPr="000E2549" w:rsidRDefault="009445E2" w:rsidP="000F2FF9">
      <w:pPr>
        <w:spacing w:after="0" w:line="240" w:lineRule="auto"/>
        <w:rPr>
          <w:rFonts w:asciiTheme="minorHAnsi" w:hAnsiTheme="minorHAnsi" w:cstheme="minorHAnsi"/>
          <w:sz w:val="16"/>
          <w:szCs w:val="16"/>
        </w:rPr>
      </w:pPr>
      <w:r w:rsidRPr="000E2549">
        <w:rPr>
          <w:rStyle w:val="FootnoteReference"/>
          <w:rFonts w:asciiTheme="minorHAnsi" w:hAnsiTheme="minorHAnsi" w:cstheme="minorHAnsi"/>
          <w:sz w:val="16"/>
          <w:szCs w:val="16"/>
        </w:rPr>
        <w:footnoteRef/>
      </w:r>
      <w:r w:rsidRPr="000E2549">
        <w:rPr>
          <w:rFonts w:asciiTheme="minorHAnsi" w:hAnsiTheme="minorHAnsi" w:cstheme="minorHAnsi"/>
          <w:sz w:val="16"/>
          <w:szCs w:val="16"/>
        </w:rPr>
        <w:t xml:space="preserve"> Coughlin SS, Clutter GG, Hutton M. Ethics in Cancer Registries.  </w:t>
      </w:r>
      <w:r w:rsidRPr="000E2549">
        <w:rPr>
          <w:rFonts w:asciiTheme="minorHAnsi" w:hAnsiTheme="minorHAnsi" w:cstheme="minorHAnsi"/>
          <w:i/>
          <w:sz w:val="16"/>
          <w:szCs w:val="16"/>
        </w:rPr>
        <w:t>Journal of Cancer Registry Management, 2:</w:t>
      </w:r>
      <w:r w:rsidRPr="000E2549">
        <w:rPr>
          <w:rFonts w:asciiTheme="minorHAnsi" w:hAnsiTheme="minorHAnsi" w:cstheme="minorHAnsi"/>
          <w:sz w:val="16"/>
          <w:szCs w:val="16"/>
        </w:rPr>
        <w:t xml:space="preserve"> 5-10, 1999.</w:t>
      </w:r>
    </w:p>
  </w:footnote>
  <w:footnote w:id="11">
    <w:p w14:paraId="05307FA8" w14:textId="2B5C941E" w:rsidR="009445E2" w:rsidRPr="009B5FC5" w:rsidRDefault="009445E2" w:rsidP="000F2FF9">
      <w:pPr>
        <w:spacing w:line="240" w:lineRule="auto"/>
        <w:rPr>
          <w:rFonts w:asciiTheme="minorHAnsi" w:hAnsiTheme="minorHAnsi"/>
          <w:sz w:val="16"/>
          <w:szCs w:val="16"/>
        </w:rPr>
      </w:pPr>
      <w:r w:rsidRPr="000E2549">
        <w:rPr>
          <w:rStyle w:val="FootnoteReference"/>
          <w:rFonts w:asciiTheme="minorHAnsi" w:hAnsiTheme="minorHAnsi" w:cstheme="minorHAnsi"/>
          <w:sz w:val="16"/>
          <w:szCs w:val="16"/>
        </w:rPr>
        <w:footnoteRef/>
      </w:r>
      <w:r w:rsidRPr="000E2549">
        <w:rPr>
          <w:rFonts w:asciiTheme="minorHAnsi" w:hAnsiTheme="minorHAnsi" w:cstheme="minorHAnsi"/>
          <w:sz w:val="16"/>
          <w:szCs w:val="16"/>
        </w:rPr>
        <w:t xml:space="preserve"> McLaughlin CC. Confidentiality protection in publicly released central registry data.  </w:t>
      </w:r>
      <w:r w:rsidRPr="000E2549">
        <w:rPr>
          <w:rFonts w:asciiTheme="minorHAnsi" w:hAnsiTheme="minorHAnsi" w:cstheme="minorHAnsi"/>
          <w:i/>
          <w:sz w:val="16"/>
          <w:szCs w:val="16"/>
        </w:rPr>
        <w:t>Journal of Cancer Registry Management, 2:</w:t>
      </w:r>
      <w:r w:rsidRPr="000E2549">
        <w:rPr>
          <w:rFonts w:asciiTheme="minorHAnsi" w:hAnsiTheme="minorHAnsi" w:cstheme="minorHAnsi"/>
          <w:sz w:val="16"/>
          <w:szCs w:val="16"/>
        </w:rPr>
        <w:t xml:space="preserve"> 84-88, 2002.</w:t>
      </w:r>
    </w:p>
  </w:footnote>
  <w:footnote w:id="12">
    <w:p w14:paraId="668F2805" w14:textId="3A4C3882" w:rsidR="00BA2491" w:rsidRPr="00CF1EA7" w:rsidRDefault="00BA2491" w:rsidP="00BA2491">
      <w:pPr>
        <w:pStyle w:val="FootnoteText"/>
        <w:rPr>
          <w:rFonts w:asciiTheme="minorHAnsi" w:hAnsiTheme="minorHAnsi" w:cstheme="minorHAnsi"/>
          <w:sz w:val="16"/>
          <w:szCs w:val="16"/>
        </w:rPr>
      </w:pPr>
      <w:r w:rsidRPr="008617B1">
        <w:rPr>
          <w:rStyle w:val="FootnoteReference"/>
          <w:rFonts w:asciiTheme="minorHAnsi" w:hAnsiTheme="minorHAnsi" w:cstheme="minorHAnsi"/>
          <w:sz w:val="16"/>
          <w:szCs w:val="16"/>
        </w:rPr>
        <w:footnoteRef/>
      </w:r>
      <w:r w:rsidRPr="008617B1">
        <w:rPr>
          <w:rFonts w:asciiTheme="minorHAnsi" w:hAnsiTheme="minorHAnsi" w:cstheme="minorHAnsi"/>
          <w:sz w:val="16"/>
          <w:szCs w:val="16"/>
        </w:rPr>
        <w:t xml:space="preserve"> </w:t>
      </w:r>
      <w:r w:rsidRPr="008617B1">
        <w:rPr>
          <w:rFonts w:asciiTheme="minorHAnsi" w:hAnsiTheme="minorHAnsi"/>
          <w:sz w:val="16"/>
          <w:szCs w:val="16"/>
        </w:rPr>
        <w:t>U.S. Cancer Statistics Working Group. U.S. Cancer Statistics Data Visualizations Tool, based on November 202</w:t>
      </w:r>
      <w:r w:rsidR="00FF4072">
        <w:rPr>
          <w:rFonts w:asciiTheme="minorHAnsi" w:hAnsiTheme="minorHAnsi"/>
          <w:sz w:val="16"/>
          <w:szCs w:val="16"/>
        </w:rPr>
        <w:t>2</w:t>
      </w:r>
      <w:r w:rsidRPr="008617B1">
        <w:rPr>
          <w:rFonts w:asciiTheme="minorHAnsi" w:hAnsiTheme="minorHAnsi"/>
          <w:sz w:val="16"/>
          <w:szCs w:val="16"/>
        </w:rPr>
        <w:t xml:space="preserve"> submission data (1999-20</w:t>
      </w:r>
      <w:r w:rsidR="00FF4072">
        <w:rPr>
          <w:rFonts w:asciiTheme="minorHAnsi" w:hAnsiTheme="minorHAnsi"/>
          <w:sz w:val="16"/>
          <w:szCs w:val="16"/>
        </w:rPr>
        <w:t>20</w:t>
      </w:r>
      <w:r w:rsidRPr="008617B1">
        <w:rPr>
          <w:rFonts w:asciiTheme="minorHAnsi" w:hAnsiTheme="minorHAnsi"/>
          <w:sz w:val="16"/>
          <w:szCs w:val="16"/>
        </w:rPr>
        <w:t xml:space="preserve">): U.S. Department of Health and Human Services, Centers for Disease Control and Prevention and National Cancer Institute; </w:t>
      </w:r>
      <w:hyperlink r:id="rId9" w:history="1">
        <w:r w:rsidRPr="008617B1">
          <w:rPr>
            <w:rStyle w:val="Hyperlink"/>
            <w:rFonts w:asciiTheme="minorHAnsi" w:hAnsiTheme="minorHAnsi"/>
            <w:sz w:val="16"/>
            <w:szCs w:val="16"/>
          </w:rPr>
          <w:t>www.cdc.gov/cancer/dataviz</w:t>
        </w:r>
      </w:hyperlink>
      <w:r w:rsidRPr="008617B1">
        <w:rPr>
          <w:rFonts w:asciiTheme="minorHAnsi" w:hAnsiTheme="minorHAnsi"/>
          <w:sz w:val="16"/>
          <w:szCs w:val="16"/>
        </w:rPr>
        <w:t>,  June 202</w:t>
      </w:r>
      <w:r w:rsidR="00FF4072">
        <w:rPr>
          <w:rFonts w:asciiTheme="minorHAnsi" w:hAnsiTheme="minorHAnsi"/>
          <w:sz w:val="16"/>
          <w:szCs w:val="16"/>
        </w:rPr>
        <w:t>3</w:t>
      </w:r>
      <w:r w:rsidRPr="008617B1">
        <w:rPr>
          <w:rFonts w:asciiTheme="minorHAnsi" w:hAnsiTheme="minorHAnsi"/>
          <w:sz w:val="16"/>
          <w:szCs w:val="16"/>
        </w:rPr>
        <w:t>.</w:t>
      </w:r>
      <w:r w:rsidRPr="00461105">
        <w:rPr>
          <w:rFonts w:asciiTheme="minorHAnsi" w:hAnsiTheme="minorHAnsi"/>
          <w:sz w:val="16"/>
          <w:szCs w:val="16"/>
        </w:rPr>
        <w:t xml:space="preserve"> </w:t>
      </w:r>
      <w:r w:rsidRPr="00C6374D">
        <w:rPr>
          <w:rFonts w:asciiTheme="minorHAnsi" w:hAnsiTheme="minorHAnsi" w:cstheme="minorHAnsi"/>
          <w:sz w:val="16"/>
          <w:szCs w:val="16"/>
        </w:rPr>
        <w:t xml:space="preserve"> </w:t>
      </w:r>
    </w:p>
  </w:footnote>
  <w:footnote w:id="13">
    <w:p w14:paraId="4BDCB87A" w14:textId="19D9D130" w:rsidR="00BA2491" w:rsidRPr="00450C2B" w:rsidRDefault="00BA2491" w:rsidP="00BA2491">
      <w:pPr>
        <w:pStyle w:val="FootnoteText"/>
        <w:rPr>
          <w:rFonts w:asciiTheme="minorHAnsi" w:hAnsiTheme="minorHAnsi" w:cstheme="minorHAnsi"/>
          <w:sz w:val="16"/>
          <w:szCs w:val="16"/>
        </w:rPr>
      </w:pPr>
      <w:r w:rsidRPr="00CD13F5">
        <w:rPr>
          <w:rStyle w:val="FootnoteReference"/>
          <w:rFonts w:asciiTheme="minorHAnsi" w:hAnsiTheme="minorHAnsi" w:cstheme="minorHAnsi"/>
          <w:sz w:val="16"/>
          <w:szCs w:val="16"/>
        </w:rPr>
        <w:footnoteRef/>
      </w:r>
      <w:r w:rsidRPr="00450C2B">
        <w:rPr>
          <w:rFonts w:asciiTheme="minorHAnsi" w:hAnsiTheme="minorHAnsi" w:cstheme="minorHAnsi"/>
          <w:sz w:val="16"/>
          <w:szCs w:val="16"/>
        </w:rPr>
        <w:t xml:space="preserve"> </w:t>
      </w:r>
      <w:r w:rsidRPr="00DD54CB">
        <w:rPr>
          <w:rFonts w:asciiTheme="minorHAnsi" w:hAnsiTheme="minorHAnsi" w:cstheme="minorHAnsi"/>
          <w:sz w:val="16"/>
          <w:szCs w:val="16"/>
        </w:rPr>
        <w:t>U.S. Cancer Statistics Working Group. U.S. Cancer Statistics Data Visualizations Tool, based on 2021 submission data (1999-2019): U.S. Department of Health and Human Services, Centers for Disease Control and Prevention and National Cancer Institute;</w:t>
      </w:r>
      <w:r w:rsidR="00477720">
        <w:rPr>
          <w:rFonts w:asciiTheme="minorHAnsi" w:hAnsiTheme="minorHAnsi" w:cstheme="minorHAnsi"/>
          <w:sz w:val="16"/>
          <w:szCs w:val="16"/>
        </w:rPr>
        <w:t xml:space="preserve"> </w:t>
      </w:r>
      <w:hyperlink r:id="rId10" w:history="1">
        <w:r w:rsidR="00477720" w:rsidRPr="002F623A">
          <w:rPr>
            <w:rStyle w:val="Hyperlink"/>
            <w:rFonts w:asciiTheme="minorHAnsi" w:hAnsiTheme="minorHAnsi" w:cstheme="minorHAnsi"/>
            <w:sz w:val="16"/>
            <w:szCs w:val="16"/>
          </w:rPr>
          <w:t>www.cdc.gov/cancer/dataviz</w:t>
        </w:r>
      </w:hyperlink>
      <w:r w:rsidRPr="00DD54CB">
        <w:rPr>
          <w:rFonts w:asciiTheme="minorHAnsi" w:hAnsiTheme="minorHAnsi" w:cstheme="minorHAnsi"/>
          <w:sz w:val="16"/>
          <w:szCs w:val="16"/>
        </w:rPr>
        <w:t>, released in June 2022.</w:t>
      </w:r>
    </w:p>
  </w:footnote>
  <w:footnote w:id="14">
    <w:p w14:paraId="03D9A5E3" w14:textId="041A496B" w:rsidR="001F310E" w:rsidRDefault="001F310E">
      <w:pPr>
        <w:pStyle w:val="FootnoteText"/>
      </w:pPr>
      <w:r w:rsidRPr="00BB0C3E">
        <w:rPr>
          <w:rStyle w:val="FootnoteReference"/>
          <w:sz w:val="14"/>
          <w:szCs w:val="14"/>
        </w:rPr>
        <w:footnoteRef/>
      </w:r>
      <w:r>
        <w:t xml:space="preserve"> </w:t>
      </w:r>
      <w:r w:rsidRPr="001F310E">
        <w:rPr>
          <w:rFonts w:asciiTheme="minorHAnsi" w:eastAsiaTheme="majorEastAsia" w:hAnsiTheme="minorHAnsi" w:cs="Arial"/>
          <w:color w:val="000000"/>
          <w:kern w:val="36"/>
          <w:sz w:val="14"/>
          <w:szCs w:val="14"/>
        </w:rPr>
        <w:t xml:space="preserve">National Cancer Institute, Surveillance, Epidemiology, and End Results Program: Impact of COVID on 2020 SEER Cancer Incidence Data, </w:t>
      </w:r>
      <w:hyperlink r:id="rId11" w:history="1">
        <w:r w:rsidRPr="002D2068">
          <w:rPr>
            <w:rStyle w:val="Hyperlink"/>
            <w:rFonts w:asciiTheme="minorHAnsi" w:eastAsiaTheme="majorEastAsia" w:hAnsiTheme="minorHAnsi" w:cs="Arial"/>
            <w:kern w:val="36"/>
            <w:sz w:val="14"/>
            <w:szCs w:val="14"/>
          </w:rPr>
          <w:t>https://seer.cancer.gov/data/covid-impact.html</w:t>
        </w:r>
      </w:hyperlink>
      <w:r>
        <w:rPr>
          <w:rFonts w:asciiTheme="minorHAnsi" w:eastAsiaTheme="majorEastAsia" w:hAnsiTheme="minorHAnsi" w:cs="Arial"/>
          <w:color w:val="000000"/>
          <w:kern w:val="36"/>
          <w:sz w:val="14"/>
          <w:szCs w:val="14"/>
        </w:rPr>
        <w:t xml:space="preserve"> </w:t>
      </w:r>
    </w:p>
  </w:footnote>
  <w:footnote w:id="15">
    <w:p w14:paraId="265D5BD1" w14:textId="23FAFF6F" w:rsidR="009445E2" w:rsidRPr="0006275D" w:rsidRDefault="009445E2" w:rsidP="002A7213">
      <w:pPr>
        <w:spacing w:after="0"/>
        <w:outlineLvl w:val="0"/>
        <w:rPr>
          <w:rStyle w:val="NoSpacingChar"/>
          <w:rFonts w:asciiTheme="minorHAnsi" w:hAnsiTheme="minorHAnsi"/>
          <w:sz w:val="14"/>
          <w:szCs w:val="14"/>
        </w:rPr>
      </w:pPr>
      <w:r w:rsidRPr="0006275D">
        <w:rPr>
          <w:rStyle w:val="FootnoteReference"/>
          <w:rFonts w:asciiTheme="minorHAnsi" w:hAnsiTheme="minorHAnsi"/>
          <w:sz w:val="14"/>
          <w:szCs w:val="14"/>
        </w:rPr>
        <w:footnoteRef/>
      </w:r>
      <w:r w:rsidRPr="0006275D">
        <w:rPr>
          <w:rFonts w:asciiTheme="minorHAnsi" w:hAnsiTheme="minorHAnsi"/>
          <w:sz w:val="14"/>
          <w:szCs w:val="14"/>
        </w:rPr>
        <w:t xml:space="preserve"> </w:t>
      </w:r>
      <w:r w:rsidRPr="0006275D">
        <w:rPr>
          <w:rFonts w:asciiTheme="minorHAnsi" w:hAnsiTheme="minorHAnsi" w:cs="Arial"/>
          <w:color w:val="000000"/>
          <w:kern w:val="36"/>
          <w:sz w:val="14"/>
          <w:szCs w:val="14"/>
        </w:rPr>
        <w:t xml:space="preserve">Fritz A, Jack A, Parkin DM, Percy C, Shanmugarathan, Sobin L, Whelan S (eds).  International Classification of Diseases for Oncology, Third </w:t>
      </w:r>
      <w:r w:rsidRPr="0006275D">
        <w:rPr>
          <w:rStyle w:val="NoSpacingChar"/>
          <w:rFonts w:asciiTheme="minorHAnsi" w:hAnsiTheme="minorHAnsi"/>
          <w:sz w:val="14"/>
          <w:szCs w:val="14"/>
        </w:rPr>
        <w:t xml:space="preserve">Edition (ICD-O-3). World Health Organization, Geneva. </w:t>
      </w:r>
    </w:p>
  </w:footnote>
  <w:footnote w:id="16">
    <w:p w14:paraId="76478313" w14:textId="7C92370A" w:rsidR="009445E2" w:rsidRPr="007403F7" w:rsidRDefault="009445E2" w:rsidP="00990EBC">
      <w:pPr>
        <w:pStyle w:val="FootnoteText"/>
        <w:rPr>
          <w:rFonts w:asciiTheme="minorHAnsi" w:hAnsiTheme="minorHAnsi" w:cstheme="minorHAnsi"/>
          <w:sz w:val="16"/>
          <w:szCs w:val="16"/>
        </w:rPr>
      </w:pPr>
      <w:r w:rsidRPr="007403F7">
        <w:rPr>
          <w:rStyle w:val="FootnoteReference"/>
          <w:rFonts w:asciiTheme="minorHAnsi" w:hAnsiTheme="minorHAnsi" w:cstheme="minorHAnsi"/>
          <w:sz w:val="16"/>
          <w:szCs w:val="16"/>
        </w:rPr>
        <w:footnoteRef/>
      </w:r>
      <w:r w:rsidRPr="007403F7">
        <w:rPr>
          <w:rFonts w:asciiTheme="minorHAnsi" w:hAnsiTheme="minorHAnsi" w:cstheme="minorHAnsi"/>
          <w:sz w:val="16"/>
          <w:szCs w:val="16"/>
        </w:rPr>
        <w:t xml:space="preserve"> </w:t>
      </w:r>
      <w:r w:rsidR="00CF5E4D" w:rsidRPr="007403F7">
        <w:rPr>
          <w:rFonts w:asciiTheme="minorHAnsi" w:hAnsiTheme="minorHAnsi" w:cstheme="minorHAnsi"/>
          <w:sz w:val="16"/>
          <w:szCs w:val="16"/>
        </w:rPr>
        <w:t>Surveillance, Epidemiology, and End Results (SEER) Program (www.seer.cancer.gov) SEER*Stat Database: Mortality - All COD, Aggregated Total U.S. (1990-2020) &lt;Katrina/Rita Population Adjustment&gt;, National Cancer Institute, DCCPS, Surveillance Research Program, released June 2022.  Underlying mortality data provided by NCHS (</w:t>
      </w:r>
      <w:hyperlink r:id="rId12" w:history="1">
        <w:r w:rsidR="003269FA" w:rsidRPr="007403F7">
          <w:rPr>
            <w:rStyle w:val="Hyperlink"/>
            <w:rFonts w:asciiTheme="minorHAnsi" w:hAnsiTheme="minorHAnsi" w:cstheme="minorHAnsi"/>
            <w:sz w:val="16"/>
            <w:szCs w:val="16"/>
          </w:rPr>
          <w:t>www.cdc.gov/nchs</w:t>
        </w:r>
      </w:hyperlink>
      <w:r w:rsidR="00CF5E4D" w:rsidRPr="007403F7">
        <w:rPr>
          <w:rFonts w:asciiTheme="minorHAnsi" w:hAnsiTheme="minorHAnsi" w:cstheme="minorHAnsi"/>
          <w:sz w:val="16"/>
          <w:szCs w:val="16"/>
        </w:rPr>
        <w:t>)</w:t>
      </w:r>
    </w:p>
  </w:footnote>
  <w:footnote w:id="17">
    <w:p w14:paraId="521259A1" w14:textId="47952D7F" w:rsidR="003269FA" w:rsidRPr="007403F7" w:rsidRDefault="00990EBC" w:rsidP="00DE5E8C">
      <w:pPr>
        <w:pStyle w:val="NormalWeb"/>
        <w:spacing w:before="0" w:beforeAutospacing="0" w:after="0" w:afterAutospacing="0"/>
        <w:rPr>
          <w:rFonts w:asciiTheme="minorHAnsi" w:hAnsiTheme="minorHAnsi" w:cstheme="minorHAnsi"/>
          <w:sz w:val="16"/>
          <w:szCs w:val="16"/>
        </w:rPr>
      </w:pPr>
      <w:r w:rsidRPr="007403F7">
        <w:rPr>
          <w:rStyle w:val="FootnoteReference"/>
          <w:rFonts w:asciiTheme="minorHAnsi" w:hAnsiTheme="minorHAnsi" w:cstheme="minorHAnsi"/>
          <w:sz w:val="16"/>
          <w:szCs w:val="16"/>
        </w:rPr>
        <w:footnoteRef/>
      </w:r>
      <w:r w:rsidRPr="007403F7">
        <w:rPr>
          <w:rFonts w:asciiTheme="minorHAnsi" w:hAnsiTheme="minorHAnsi" w:cstheme="minorHAnsi"/>
          <w:sz w:val="16"/>
          <w:szCs w:val="16"/>
        </w:rPr>
        <w:t xml:space="preserve"> National Cancer Institute. (n.d.). </w:t>
      </w:r>
      <w:r w:rsidRPr="007403F7">
        <w:rPr>
          <w:rFonts w:asciiTheme="minorHAnsi" w:hAnsiTheme="minorHAnsi" w:cstheme="minorHAnsi"/>
          <w:i/>
          <w:iCs/>
          <w:sz w:val="16"/>
          <w:szCs w:val="16"/>
        </w:rPr>
        <w:t>Download U.S. population data - seer population data</w:t>
      </w:r>
      <w:r w:rsidRPr="007403F7">
        <w:rPr>
          <w:rFonts w:asciiTheme="minorHAnsi" w:hAnsiTheme="minorHAnsi" w:cstheme="minorHAnsi"/>
          <w:sz w:val="16"/>
          <w:szCs w:val="16"/>
        </w:rPr>
        <w:t xml:space="preserve">. Surveillance, Epidemiology, and End Results Program. Retrieved August </w:t>
      </w:r>
      <w:r w:rsidR="000372E8" w:rsidRPr="007403F7">
        <w:rPr>
          <w:rFonts w:asciiTheme="minorHAnsi" w:hAnsiTheme="minorHAnsi" w:cstheme="minorHAnsi"/>
          <w:sz w:val="16"/>
          <w:szCs w:val="16"/>
        </w:rPr>
        <w:t>23</w:t>
      </w:r>
      <w:r w:rsidRPr="007403F7">
        <w:rPr>
          <w:rFonts w:asciiTheme="minorHAnsi" w:hAnsiTheme="minorHAnsi" w:cstheme="minorHAnsi"/>
          <w:sz w:val="16"/>
          <w:szCs w:val="16"/>
        </w:rPr>
        <w:t>, 202</w:t>
      </w:r>
      <w:r w:rsidR="000372E8" w:rsidRPr="007403F7">
        <w:rPr>
          <w:rFonts w:asciiTheme="minorHAnsi" w:hAnsiTheme="minorHAnsi" w:cstheme="minorHAnsi"/>
          <w:sz w:val="16"/>
          <w:szCs w:val="16"/>
        </w:rPr>
        <w:t>3</w:t>
      </w:r>
      <w:r w:rsidRPr="007403F7">
        <w:rPr>
          <w:rFonts w:asciiTheme="minorHAnsi" w:hAnsiTheme="minorHAnsi" w:cstheme="minorHAnsi"/>
          <w:sz w:val="16"/>
          <w:szCs w:val="16"/>
        </w:rPr>
        <w:t xml:space="preserve">, from </w:t>
      </w:r>
      <w:hyperlink r:id="rId13" w:history="1">
        <w:r w:rsidR="003269FA" w:rsidRPr="007403F7">
          <w:rPr>
            <w:rStyle w:val="Hyperlink"/>
            <w:rFonts w:asciiTheme="minorHAnsi" w:hAnsiTheme="minorHAnsi" w:cstheme="minorHAnsi"/>
            <w:sz w:val="16"/>
            <w:szCs w:val="16"/>
          </w:rPr>
          <w:t>https://seer.cancer.gov/popdata/download.html</w:t>
        </w:r>
      </w:hyperlink>
    </w:p>
  </w:footnote>
  <w:footnote w:id="18">
    <w:p w14:paraId="6A24A2D3" w14:textId="4FE57E7C" w:rsidR="00E6746A" w:rsidRPr="00DE5E8C" w:rsidRDefault="00E6746A">
      <w:pPr>
        <w:pStyle w:val="FootnoteText"/>
        <w:rPr>
          <w:rFonts w:asciiTheme="minorHAnsi" w:hAnsiTheme="minorHAnsi" w:cstheme="minorHAnsi"/>
          <w:sz w:val="16"/>
          <w:szCs w:val="16"/>
        </w:rPr>
      </w:pPr>
      <w:r w:rsidRPr="00DE5E8C">
        <w:rPr>
          <w:rStyle w:val="FootnoteReference"/>
          <w:rFonts w:asciiTheme="minorHAnsi" w:hAnsiTheme="minorHAnsi" w:cstheme="minorHAnsi"/>
          <w:sz w:val="16"/>
          <w:szCs w:val="16"/>
        </w:rPr>
        <w:footnoteRef/>
      </w:r>
      <w:r w:rsidRPr="00DE5E8C">
        <w:rPr>
          <w:rFonts w:asciiTheme="minorHAnsi" w:hAnsiTheme="minorHAnsi" w:cstheme="minorHAnsi"/>
          <w:sz w:val="16"/>
          <w:szCs w:val="16"/>
        </w:rPr>
        <w:t xml:space="preserve"> </w:t>
      </w:r>
      <w:hyperlink r:id="rId14" w:anchor="/AtAGlance/" w:history="1">
        <w:r w:rsidR="00E22D60" w:rsidRPr="00DE5E8C">
          <w:rPr>
            <w:rStyle w:val="Hyperlink"/>
            <w:rFonts w:asciiTheme="minorHAnsi" w:hAnsiTheme="minorHAnsi" w:cstheme="minorHAnsi"/>
            <w:sz w:val="16"/>
            <w:szCs w:val="16"/>
          </w:rPr>
          <w:t>United States Cancer Statistics:  Data Visualizations</w:t>
        </w:r>
      </w:hyperlink>
      <w:r w:rsidR="00E22D60" w:rsidRPr="00DE5E8C">
        <w:rPr>
          <w:rFonts w:asciiTheme="minorHAnsi" w:hAnsiTheme="minorHAnsi" w:cstheme="minorHAnsi"/>
          <w:sz w:val="16"/>
          <w:szCs w:val="16"/>
        </w:rPr>
        <w:t xml:space="preserve">, </w:t>
      </w:r>
      <w:r w:rsidR="00F20886" w:rsidRPr="00DE5E8C">
        <w:rPr>
          <w:rFonts w:asciiTheme="minorHAnsi" w:hAnsiTheme="minorHAnsi" w:cstheme="minorHAnsi"/>
          <w:sz w:val="16"/>
          <w:szCs w:val="16"/>
        </w:rPr>
        <w:t xml:space="preserve">Footnotes, </w:t>
      </w:r>
      <w:r w:rsidR="00E22D60" w:rsidRPr="00DE5E8C">
        <w:rPr>
          <w:rFonts w:asciiTheme="minorHAnsi" w:hAnsiTheme="minorHAnsi" w:cstheme="minorHAnsi"/>
          <w:sz w:val="16"/>
          <w:szCs w:val="16"/>
        </w:rPr>
        <w:t xml:space="preserve">Centers for Disease Control and Prevention </w:t>
      </w:r>
    </w:p>
  </w:footnote>
  <w:footnote w:id="19">
    <w:p w14:paraId="1B0841EB" w14:textId="1654BAFA" w:rsidR="001B6A83" w:rsidRPr="00DE5E8C" w:rsidRDefault="001B6A83">
      <w:pPr>
        <w:pStyle w:val="FootnoteText"/>
        <w:rPr>
          <w:rFonts w:asciiTheme="minorHAnsi" w:hAnsiTheme="minorHAnsi" w:cstheme="minorHAnsi"/>
          <w:sz w:val="16"/>
          <w:szCs w:val="16"/>
        </w:rPr>
      </w:pPr>
      <w:r w:rsidRPr="00DE5E8C">
        <w:rPr>
          <w:rStyle w:val="FootnoteReference"/>
          <w:rFonts w:asciiTheme="minorHAnsi" w:hAnsiTheme="minorHAnsi" w:cstheme="minorHAnsi"/>
          <w:sz w:val="16"/>
          <w:szCs w:val="16"/>
        </w:rPr>
        <w:footnoteRef/>
      </w:r>
      <w:r w:rsidRPr="00DE5E8C">
        <w:rPr>
          <w:rFonts w:asciiTheme="minorHAnsi" w:hAnsiTheme="minorHAnsi" w:cstheme="minorHAnsi"/>
          <w:sz w:val="16"/>
          <w:szCs w:val="16"/>
        </w:rPr>
        <w:t xml:space="preserve"> </w:t>
      </w:r>
      <w:hyperlink r:id="rId15" w:history="1">
        <w:r w:rsidRPr="00DE5E8C">
          <w:rPr>
            <w:rStyle w:val="Hyperlink"/>
            <w:rFonts w:asciiTheme="minorHAnsi" w:hAnsiTheme="minorHAnsi" w:cstheme="minorHAnsi"/>
            <w:sz w:val="16"/>
            <w:szCs w:val="16"/>
          </w:rPr>
          <w:t xml:space="preserve">United States County Population Data, </w:t>
        </w:r>
        <w:r w:rsidR="00A4397D" w:rsidRPr="00DE5E8C">
          <w:rPr>
            <w:rStyle w:val="Hyperlink"/>
            <w:rFonts w:asciiTheme="minorHAnsi" w:hAnsiTheme="minorHAnsi" w:cstheme="minorHAnsi"/>
            <w:sz w:val="16"/>
            <w:szCs w:val="16"/>
          </w:rPr>
          <w:t>1969-2020</w:t>
        </w:r>
      </w:hyperlink>
      <w:r w:rsidR="00A4397D" w:rsidRPr="00DE5E8C">
        <w:rPr>
          <w:rFonts w:asciiTheme="minorHAnsi" w:hAnsiTheme="minorHAnsi" w:cstheme="minorHAnsi"/>
          <w:sz w:val="16"/>
          <w:szCs w:val="16"/>
        </w:rPr>
        <w:t xml:space="preserve">, National Cancer Institute, </w:t>
      </w:r>
      <w:r w:rsidRPr="00DE5E8C">
        <w:rPr>
          <w:rFonts w:asciiTheme="minorHAnsi" w:hAnsiTheme="minorHAnsi" w:cstheme="minorHAnsi"/>
          <w:sz w:val="16"/>
          <w:szCs w:val="16"/>
        </w:rPr>
        <w:t>cancer.gov</w:t>
      </w:r>
    </w:p>
  </w:footnote>
  <w:footnote w:id="20">
    <w:p w14:paraId="6BF3D8F6" w14:textId="77777777" w:rsidR="000D6BD7" w:rsidRPr="007403F7" w:rsidRDefault="000D6BD7" w:rsidP="000D6BD7">
      <w:pPr>
        <w:pStyle w:val="FootnoteText"/>
        <w:rPr>
          <w:rFonts w:asciiTheme="minorHAnsi" w:hAnsiTheme="minorHAnsi" w:cstheme="minorHAnsi"/>
          <w:sz w:val="16"/>
          <w:szCs w:val="16"/>
        </w:rPr>
      </w:pPr>
      <w:r w:rsidRPr="007403F7">
        <w:rPr>
          <w:rStyle w:val="FootnoteReference"/>
          <w:rFonts w:asciiTheme="minorHAnsi" w:hAnsiTheme="minorHAnsi" w:cstheme="minorHAnsi"/>
          <w:sz w:val="16"/>
          <w:szCs w:val="16"/>
        </w:rPr>
        <w:footnoteRef/>
      </w:r>
      <w:r w:rsidRPr="007403F7">
        <w:rPr>
          <w:rFonts w:asciiTheme="minorHAnsi" w:hAnsiTheme="minorHAnsi" w:cstheme="minorHAnsi"/>
          <w:sz w:val="16"/>
          <w:szCs w:val="16"/>
        </w:rPr>
        <w:t xml:space="preserve"> </w:t>
      </w:r>
      <w:r w:rsidRPr="007403F7">
        <w:rPr>
          <w:rFonts w:asciiTheme="minorHAnsi" w:hAnsiTheme="minorHAnsi" w:cstheme="minorHAnsi"/>
          <w:spacing w:val="3"/>
          <w:sz w:val="16"/>
          <w:szCs w:val="16"/>
        </w:rPr>
        <w:t xml:space="preserve">Behavioral Risk Factor Surveillance System, </w:t>
      </w:r>
      <w:hyperlink r:id="rId16" w:history="1">
        <w:r w:rsidRPr="007403F7">
          <w:rPr>
            <w:rStyle w:val="Hyperlink"/>
            <w:rFonts w:asciiTheme="minorHAnsi" w:hAnsiTheme="minorHAnsi" w:cstheme="minorHAnsi"/>
            <w:sz w:val="16"/>
            <w:szCs w:val="16"/>
          </w:rPr>
          <w:t>http://www.cdc.gov/BRFS/</w:t>
        </w:r>
      </w:hyperlink>
    </w:p>
  </w:footnote>
  <w:footnote w:id="21">
    <w:p w14:paraId="7E4259FB" w14:textId="3022BA9C" w:rsidR="007B2764" w:rsidRDefault="007B2764">
      <w:pPr>
        <w:pStyle w:val="FootnoteText"/>
      </w:pPr>
      <w:r w:rsidRPr="007403F7">
        <w:rPr>
          <w:rStyle w:val="FootnoteReference"/>
          <w:rFonts w:asciiTheme="minorHAnsi" w:hAnsiTheme="minorHAnsi" w:cstheme="minorHAnsi"/>
          <w:sz w:val="16"/>
          <w:szCs w:val="16"/>
        </w:rPr>
        <w:footnoteRef/>
      </w:r>
      <w:r w:rsidRPr="007403F7">
        <w:rPr>
          <w:rFonts w:asciiTheme="minorHAnsi" w:hAnsiTheme="minorHAnsi" w:cstheme="minorHAnsi"/>
          <w:sz w:val="16"/>
          <w:szCs w:val="16"/>
        </w:rPr>
        <w:t xml:space="preserve"> </w:t>
      </w:r>
      <w:r w:rsidR="007F2991" w:rsidRPr="00977C92">
        <w:rPr>
          <w:rFonts w:asciiTheme="minorHAnsi" w:hAnsiTheme="minorHAnsi" w:cs="Arial"/>
          <w:sz w:val="16"/>
          <w:szCs w:val="16"/>
        </w:rPr>
        <w:t>Delaware Behavioral Risk Factor Survey</w:t>
      </w:r>
      <w:r w:rsidR="009C2D8E">
        <w:rPr>
          <w:rFonts w:asciiTheme="minorHAnsi" w:hAnsiTheme="minorHAnsi" w:cs="Arial"/>
          <w:sz w:val="16"/>
          <w:szCs w:val="16"/>
        </w:rPr>
        <w:t xml:space="preserve">: </w:t>
      </w:r>
      <w:r w:rsidR="0074648F">
        <w:rPr>
          <w:rFonts w:asciiTheme="minorHAnsi" w:hAnsiTheme="minorHAnsi" w:cs="Arial"/>
          <w:sz w:val="16"/>
          <w:szCs w:val="16"/>
        </w:rPr>
        <w:t xml:space="preserve">Changing to meet new challenges, </w:t>
      </w:r>
      <w:r w:rsidR="007F2991">
        <w:rPr>
          <w:rFonts w:asciiTheme="minorHAnsi" w:hAnsiTheme="minorHAnsi" w:cs="Arial"/>
          <w:sz w:val="16"/>
          <w:szCs w:val="16"/>
        </w:rPr>
        <w:t xml:space="preserve"> </w:t>
      </w:r>
      <w:hyperlink r:id="rId17" w:history="1">
        <w:r w:rsidR="00E22C29" w:rsidRPr="00F112E3">
          <w:rPr>
            <w:rStyle w:val="Hyperlink"/>
            <w:rFonts w:asciiTheme="minorHAnsi" w:hAnsiTheme="minorHAnsi" w:cstheme="minorHAnsi"/>
            <w:sz w:val="16"/>
            <w:szCs w:val="16"/>
          </w:rPr>
          <w:t>https://www.dhss.delaware.gov/dhss/dph/dpc/brfs_changes2011.html</w:t>
        </w:r>
      </w:hyperlink>
    </w:p>
  </w:footnote>
  <w:footnote w:id="22">
    <w:p w14:paraId="04D73F2B" w14:textId="3F5DC279" w:rsidR="000D6BD7" w:rsidRPr="00C87764" w:rsidRDefault="000D6BD7" w:rsidP="000D6BD7">
      <w:pPr>
        <w:pStyle w:val="FootnoteText"/>
        <w:rPr>
          <w:rFonts w:asciiTheme="minorHAnsi" w:hAnsiTheme="minorHAnsi" w:cstheme="minorHAnsi"/>
          <w:sz w:val="16"/>
          <w:szCs w:val="16"/>
        </w:rPr>
      </w:pPr>
      <w:r w:rsidRPr="00C87764">
        <w:rPr>
          <w:rStyle w:val="FootnoteReference"/>
          <w:rFonts w:asciiTheme="minorHAnsi" w:hAnsiTheme="minorHAnsi" w:cstheme="minorHAnsi"/>
          <w:sz w:val="16"/>
          <w:szCs w:val="16"/>
        </w:rPr>
        <w:footnoteRef/>
      </w:r>
      <w:r w:rsidRPr="00C87764">
        <w:rPr>
          <w:rFonts w:asciiTheme="minorHAnsi" w:hAnsiTheme="minorHAnsi" w:cstheme="minorHAnsi"/>
          <w:sz w:val="16"/>
          <w:szCs w:val="16"/>
        </w:rPr>
        <w:t xml:space="preserve"> </w:t>
      </w:r>
      <w:r w:rsidRPr="00C87764">
        <w:rPr>
          <w:rFonts w:asciiTheme="minorHAnsi" w:hAnsiTheme="minorHAnsi" w:cstheme="minorHAnsi"/>
          <w:spacing w:val="3"/>
          <w:sz w:val="16"/>
          <w:szCs w:val="16"/>
        </w:rPr>
        <w:t xml:space="preserve">Behavioral Risk Factor Surveillance System (BRFS) Fact Sheet: Raking, </w:t>
      </w:r>
      <w:hyperlink r:id="rId18" w:history="1">
        <w:r w:rsidRPr="00C87764">
          <w:rPr>
            <w:rStyle w:val="Hyperlink"/>
            <w:rFonts w:asciiTheme="minorHAnsi" w:hAnsiTheme="minorHAnsi" w:cstheme="minorHAnsi"/>
            <w:sz w:val="16"/>
            <w:szCs w:val="16"/>
          </w:rPr>
          <w:t>http://www.dhss.delaware.gov/dph/dpc/files/rakingweights_info.pdf</w:t>
        </w:r>
      </w:hyperlink>
      <w:r w:rsidRPr="00C87764">
        <w:rPr>
          <w:rFonts w:asciiTheme="minorHAnsi" w:hAnsiTheme="minorHAnsi" w:cstheme="minorHAnsi"/>
          <w:sz w:val="16"/>
          <w:szCs w:val="16"/>
        </w:rPr>
        <w:t xml:space="preserve"> </w:t>
      </w:r>
    </w:p>
  </w:footnote>
  <w:footnote w:id="23">
    <w:p w14:paraId="1DAD6BDD" w14:textId="0AFA6098" w:rsidR="00C87764" w:rsidRPr="00C87764" w:rsidRDefault="00C87764">
      <w:pPr>
        <w:pStyle w:val="FootnoteText"/>
        <w:rPr>
          <w:rFonts w:asciiTheme="minorHAnsi" w:hAnsiTheme="minorHAnsi" w:cstheme="minorHAnsi"/>
          <w:sz w:val="16"/>
          <w:szCs w:val="16"/>
        </w:rPr>
      </w:pPr>
      <w:r w:rsidRPr="00C87764">
        <w:rPr>
          <w:rStyle w:val="FootnoteReference"/>
          <w:rFonts w:asciiTheme="minorHAnsi" w:hAnsiTheme="minorHAnsi" w:cstheme="minorHAnsi"/>
          <w:sz w:val="16"/>
          <w:szCs w:val="16"/>
        </w:rPr>
        <w:footnoteRef/>
      </w:r>
      <w:r w:rsidRPr="00C87764">
        <w:rPr>
          <w:rFonts w:asciiTheme="minorHAnsi" w:hAnsiTheme="minorHAnsi" w:cstheme="minorHAnsi"/>
          <w:sz w:val="16"/>
          <w:szCs w:val="16"/>
        </w:rPr>
        <w:t xml:space="preserve"> Delaware Behavioral Risk Factor Survey</w:t>
      </w:r>
      <w:r w:rsidR="009C2D8E">
        <w:rPr>
          <w:rFonts w:asciiTheme="minorHAnsi" w:hAnsiTheme="minorHAnsi" w:cstheme="minorHAnsi"/>
          <w:sz w:val="16"/>
          <w:szCs w:val="16"/>
        </w:rPr>
        <w:t xml:space="preserve">: </w:t>
      </w:r>
      <w:r w:rsidRPr="00C87764">
        <w:rPr>
          <w:rFonts w:asciiTheme="minorHAnsi" w:hAnsiTheme="minorHAnsi" w:cstheme="minorHAnsi"/>
          <w:sz w:val="16"/>
          <w:szCs w:val="16"/>
        </w:rPr>
        <w:t xml:space="preserve">Changing to meet new challenges,  </w:t>
      </w:r>
      <w:hyperlink r:id="rId19" w:history="1">
        <w:r w:rsidRPr="00C87764">
          <w:rPr>
            <w:rStyle w:val="Hyperlink"/>
            <w:rFonts w:asciiTheme="minorHAnsi" w:hAnsiTheme="minorHAnsi" w:cstheme="minorHAnsi"/>
            <w:sz w:val="16"/>
            <w:szCs w:val="16"/>
          </w:rPr>
          <w:t>https://www.dhss.delaware.gov/dhss/dph/dpc/brfs_changes2011.html</w:t>
        </w:r>
      </w:hyperlink>
    </w:p>
  </w:footnote>
  <w:footnote w:id="24">
    <w:p w14:paraId="509F1A61" w14:textId="42586961" w:rsidR="000D6BD7" w:rsidRPr="00977C92" w:rsidRDefault="000D6BD7" w:rsidP="000D6BD7">
      <w:pPr>
        <w:pStyle w:val="FootnoteText"/>
        <w:rPr>
          <w:rFonts w:asciiTheme="minorHAnsi" w:hAnsiTheme="minorHAnsi"/>
          <w:sz w:val="16"/>
          <w:szCs w:val="16"/>
        </w:rPr>
      </w:pPr>
      <w:r w:rsidRPr="00C87764">
        <w:rPr>
          <w:rStyle w:val="FootnoteReference"/>
          <w:rFonts w:asciiTheme="minorHAnsi" w:hAnsiTheme="minorHAnsi" w:cstheme="minorHAnsi"/>
          <w:sz w:val="16"/>
          <w:szCs w:val="16"/>
        </w:rPr>
        <w:footnoteRef/>
      </w:r>
      <w:r w:rsidRPr="00C87764">
        <w:rPr>
          <w:rFonts w:asciiTheme="minorHAnsi" w:hAnsiTheme="minorHAnsi" w:cstheme="minorHAnsi"/>
          <w:sz w:val="16"/>
          <w:szCs w:val="16"/>
        </w:rPr>
        <w:t xml:space="preserve"> Delaware Behavioral Risk Factor Survey</w:t>
      </w:r>
      <w:r w:rsidR="009C2D8E">
        <w:rPr>
          <w:rFonts w:asciiTheme="minorHAnsi" w:hAnsiTheme="minorHAnsi" w:cstheme="minorHAnsi"/>
          <w:sz w:val="16"/>
          <w:szCs w:val="16"/>
        </w:rPr>
        <w:t>,</w:t>
      </w:r>
      <w:r w:rsidRPr="00C87764">
        <w:rPr>
          <w:rFonts w:asciiTheme="minorHAnsi" w:hAnsiTheme="minorHAnsi" w:cstheme="minorHAnsi"/>
          <w:sz w:val="16"/>
          <w:szCs w:val="16"/>
        </w:rPr>
        <w:t xml:space="preserve"> Measuring Behaviors that Affect Health, </w:t>
      </w:r>
      <w:hyperlink r:id="rId20" w:history="1">
        <w:r w:rsidRPr="00C87764">
          <w:rPr>
            <w:rStyle w:val="Hyperlink"/>
            <w:rFonts w:asciiTheme="minorHAnsi" w:hAnsiTheme="minorHAnsi" w:cstheme="minorHAnsi"/>
            <w:sz w:val="16"/>
            <w:szCs w:val="16"/>
          </w:rPr>
          <w:t>http://www.dhss.delaware.gov/dph/dpc/brfsurveys.html</w:t>
        </w:r>
      </w:hyperlink>
      <w:r w:rsidRPr="00977C92">
        <w:rPr>
          <w:rFonts w:asciiTheme="minorHAnsi" w:hAnsiTheme="minorHAnsi"/>
          <w:sz w:val="16"/>
          <w:szCs w:val="16"/>
        </w:rPr>
        <w:t xml:space="preserve"> </w:t>
      </w:r>
    </w:p>
  </w:footnote>
  <w:footnote w:id="25">
    <w:p w14:paraId="307C65FE" w14:textId="77777777" w:rsidR="009445E2" w:rsidRPr="002E0289" w:rsidRDefault="009445E2" w:rsidP="002A7213">
      <w:pPr>
        <w:pStyle w:val="Default"/>
        <w:rPr>
          <w:rFonts w:asciiTheme="minorHAnsi" w:hAnsiTheme="minorHAnsi"/>
          <w:sz w:val="16"/>
          <w:szCs w:val="16"/>
        </w:rPr>
      </w:pPr>
      <w:r w:rsidRPr="002E0289">
        <w:rPr>
          <w:rStyle w:val="FootnoteReference"/>
          <w:rFonts w:asciiTheme="minorHAnsi" w:hAnsiTheme="minorHAnsi"/>
          <w:sz w:val="16"/>
          <w:szCs w:val="16"/>
        </w:rPr>
        <w:footnoteRef/>
      </w:r>
      <w:r w:rsidRPr="002E0289">
        <w:rPr>
          <w:rFonts w:asciiTheme="minorHAnsi" w:hAnsiTheme="minorHAnsi"/>
          <w:sz w:val="16"/>
          <w:szCs w:val="16"/>
        </w:rPr>
        <w:t xml:space="preserve"> </w:t>
      </w:r>
      <w:r w:rsidRPr="002E0289">
        <w:rPr>
          <w:rFonts w:asciiTheme="minorHAnsi" w:eastAsia="Calibri" w:hAnsiTheme="minorHAnsi" w:cs="Helvetica"/>
          <w:sz w:val="16"/>
          <w:szCs w:val="16"/>
        </w:rPr>
        <w:t xml:space="preserve">Anderson RN, Rosenberg HM. Report of the second workshop on age adjustment. National Center for Health Statistics. Vital Health Stat 4(30). 1998. </w:t>
      </w:r>
    </w:p>
  </w:footnote>
  <w:footnote w:id="26">
    <w:p w14:paraId="2F617EF1" w14:textId="5CC30756" w:rsidR="009445E2" w:rsidRPr="002E0289" w:rsidRDefault="009445E2" w:rsidP="00DE5E8C">
      <w:pPr>
        <w:autoSpaceDE w:val="0"/>
        <w:autoSpaceDN w:val="0"/>
        <w:adjustRightInd w:val="0"/>
        <w:spacing w:after="0" w:line="240" w:lineRule="auto"/>
        <w:rPr>
          <w:rFonts w:asciiTheme="minorHAnsi" w:hAnsiTheme="minorHAnsi" w:cs="Arial"/>
          <w:sz w:val="16"/>
          <w:szCs w:val="16"/>
        </w:rPr>
      </w:pPr>
      <w:r w:rsidRPr="002E0289">
        <w:rPr>
          <w:rStyle w:val="FootnoteReference"/>
          <w:rFonts w:asciiTheme="minorHAnsi" w:hAnsiTheme="minorHAnsi"/>
          <w:sz w:val="16"/>
          <w:szCs w:val="16"/>
        </w:rPr>
        <w:footnoteRef/>
      </w:r>
      <w:r w:rsidRPr="002E0289">
        <w:rPr>
          <w:rFonts w:asciiTheme="minorHAnsi" w:hAnsiTheme="minorHAnsi" w:cs="Arial"/>
          <w:sz w:val="16"/>
          <w:szCs w:val="16"/>
        </w:rPr>
        <w:t xml:space="preserve"> Klein RJ, Schoenborn CA. Age Adjustment Using the 2000 Projected U.S. Population. Healthy People statistical notes, no. 20</w:t>
      </w:r>
      <w:r>
        <w:rPr>
          <w:rFonts w:asciiTheme="minorHAnsi" w:hAnsiTheme="minorHAnsi" w:cs="Arial"/>
          <w:sz w:val="16"/>
          <w:szCs w:val="16"/>
        </w:rPr>
        <w:t xml:space="preserve">, </w:t>
      </w:r>
      <w:hyperlink r:id="rId21" w:history="1">
        <w:r w:rsidRPr="002E0289">
          <w:rPr>
            <w:rStyle w:val="Hyperlink"/>
            <w:rFonts w:asciiTheme="minorHAnsi" w:hAnsiTheme="minorHAnsi" w:cs="Arial"/>
            <w:sz w:val="16"/>
            <w:szCs w:val="16"/>
          </w:rPr>
          <w:t>http://www.cdc.gov/nchs/data/statnt/statnt20.pdf</w:t>
        </w:r>
      </w:hyperlink>
    </w:p>
  </w:footnote>
  <w:footnote w:id="27">
    <w:p w14:paraId="7ED9E073" w14:textId="19B43459" w:rsidR="00006BB6" w:rsidRDefault="00006BB6">
      <w:pPr>
        <w:pStyle w:val="FootnoteText"/>
      </w:pPr>
      <w:r w:rsidRPr="00006BB6">
        <w:rPr>
          <w:rStyle w:val="FootnoteReference"/>
          <w:rFonts w:asciiTheme="minorHAnsi" w:hAnsiTheme="minorHAnsi" w:cstheme="minorHAnsi"/>
          <w:sz w:val="16"/>
          <w:szCs w:val="16"/>
        </w:rPr>
        <w:footnoteRef/>
      </w:r>
      <w:r>
        <w:t xml:space="preserve"> </w:t>
      </w:r>
      <w:hyperlink r:id="rId22" w:history="1">
        <w:r w:rsidRPr="006539C9">
          <w:rPr>
            <w:rStyle w:val="Hyperlink"/>
            <w:rFonts w:asciiTheme="minorHAnsi" w:eastAsia="Times New Roman" w:hAnsiTheme="minorHAnsi"/>
            <w:sz w:val="16"/>
            <w:szCs w:val="16"/>
          </w:rPr>
          <w:t>https://surveillance.cancer.gov/joinpoint/</w:t>
        </w:r>
      </w:hyperlink>
      <w:r>
        <w:rPr>
          <w:rFonts w:asciiTheme="minorHAnsi" w:eastAsia="Times New Roman" w:hAnsiTheme="minorHAnsi"/>
          <w:sz w:val="16"/>
          <w:szCs w:val="16"/>
        </w:rPr>
        <w:t xml:space="preserve"> </w:t>
      </w:r>
    </w:p>
  </w:footnote>
  <w:footnote w:id="28">
    <w:p w14:paraId="4A4FA9D5" w14:textId="549CE76E" w:rsidR="009445E2" w:rsidRPr="002E0289" w:rsidRDefault="009445E2" w:rsidP="002A7213">
      <w:pPr>
        <w:pStyle w:val="Bullet"/>
        <w:numPr>
          <w:ilvl w:val="0"/>
          <w:numId w:val="0"/>
        </w:numPr>
        <w:spacing w:before="0" w:after="0"/>
        <w:rPr>
          <w:rFonts w:asciiTheme="minorHAnsi" w:hAnsiTheme="minorHAnsi"/>
          <w:sz w:val="16"/>
          <w:szCs w:val="16"/>
        </w:rPr>
      </w:pPr>
      <w:r w:rsidRPr="002E0289">
        <w:rPr>
          <w:rStyle w:val="FootnoteReference"/>
          <w:rFonts w:asciiTheme="minorHAnsi" w:hAnsiTheme="minorHAnsi"/>
          <w:sz w:val="16"/>
          <w:szCs w:val="16"/>
        </w:rPr>
        <w:footnoteRef/>
      </w:r>
      <w:r w:rsidRPr="002E0289">
        <w:rPr>
          <w:rFonts w:asciiTheme="minorHAnsi" w:hAnsiTheme="minorHAnsi"/>
          <w:sz w:val="16"/>
          <w:szCs w:val="16"/>
        </w:rPr>
        <w:t xml:space="preserve"> Surveillance, Epidemiology and End Results (SEER) Program, National Cancer Institute. SEER*Stat Software, </w:t>
      </w:r>
      <w:r w:rsidRPr="002E0289">
        <w:rPr>
          <w:rFonts w:asciiTheme="minorHAnsi" w:hAnsiTheme="minorHAnsi" w:cs="Arial"/>
          <w:bCs/>
          <w:color w:val="000000"/>
          <w:kern w:val="36"/>
          <w:sz w:val="16"/>
          <w:szCs w:val="16"/>
        </w:rPr>
        <w:t xml:space="preserve">Version </w:t>
      </w:r>
      <w:r>
        <w:rPr>
          <w:rFonts w:asciiTheme="minorHAnsi" w:hAnsiTheme="minorHAnsi" w:cs="Arial"/>
          <w:bCs/>
          <w:color w:val="000000"/>
          <w:kern w:val="36"/>
          <w:sz w:val="16"/>
          <w:szCs w:val="16"/>
        </w:rPr>
        <w:t xml:space="preserve">8.3.5, </w:t>
      </w:r>
      <w:hyperlink r:id="rId23" w:history="1">
        <w:r w:rsidRPr="002E0289">
          <w:rPr>
            <w:rStyle w:val="Hyperlink"/>
            <w:rFonts w:asciiTheme="minorHAnsi" w:hAnsiTheme="minorHAnsi"/>
            <w:sz w:val="16"/>
            <w:szCs w:val="16"/>
          </w:rPr>
          <w:t>http://seer.cancer.gov/seerstat/index.html</w:t>
        </w:r>
      </w:hyperlink>
      <w:r w:rsidRPr="002E0289">
        <w:rPr>
          <w:rFonts w:asciiTheme="minorHAnsi" w:hAnsiTheme="minorHAnsi"/>
          <w:sz w:val="16"/>
          <w:szCs w:val="16"/>
        </w:rPr>
        <w:t xml:space="preserve"> </w:t>
      </w:r>
    </w:p>
  </w:footnote>
  <w:footnote w:id="29">
    <w:p w14:paraId="6D3338C0" w14:textId="77777777" w:rsidR="009445E2" w:rsidRPr="002E0289" w:rsidRDefault="009445E2" w:rsidP="002A7213">
      <w:pPr>
        <w:pStyle w:val="NormalWeb"/>
        <w:spacing w:before="0" w:beforeAutospacing="0" w:after="0" w:afterAutospacing="0"/>
        <w:rPr>
          <w:rFonts w:asciiTheme="minorHAnsi" w:hAnsiTheme="minorHAnsi"/>
          <w:sz w:val="16"/>
          <w:szCs w:val="16"/>
        </w:rPr>
      </w:pPr>
      <w:r w:rsidRPr="002E0289">
        <w:rPr>
          <w:rStyle w:val="FootnoteReference"/>
          <w:rFonts w:asciiTheme="minorHAnsi" w:hAnsiTheme="minorHAnsi" w:cs="Arial"/>
          <w:sz w:val="16"/>
          <w:szCs w:val="16"/>
        </w:rPr>
        <w:footnoteRef/>
      </w:r>
      <w:r w:rsidRPr="002E0289">
        <w:rPr>
          <w:rFonts w:asciiTheme="minorHAnsi" w:hAnsiTheme="minorHAnsi" w:cs="Arial"/>
          <w:sz w:val="16"/>
          <w:szCs w:val="16"/>
        </w:rPr>
        <w:t xml:space="preserve"> Tiwari RC, Clegg LX, Zou Z. Efficient interval estimation for age-adjusted cancer rates. </w:t>
      </w:r>
      <w:r w:rsidRPr="002E0289">
        <w:rPr>
          <w:rFonts w:asciiTheme="minorHAnsi" w:hAnsiTheme="minorHAnsi" w:cs="Arial"/>
          <w:iCs/>
          <w:sz w:val="16"/>
          <w:szCs w:val="16"/>
        </w:rPr>
        <w:t>Stat Methods Med Res</w:t>
      </w:r>
      <w:r w:rsidRPr="002E0289">
        <w:rPr>
          <w:rFonts w:asciiTheme="minorHAnsi" w:hAnsiTheme="minorHAnsi" w:cs="Arial"/>
          <w:sz w:val="16"/>
          <w:szCs w:val="16"/>
        </w:rPr>
        <w:t xml:space="preserve"> 2006;15(6):547-69.</w:t>
      </w:r>
    </w:p>
  </w:footnote>
  <w:footnote w:id="30">
    <w:p w14:paraId="61151EED" w14:textId="77777777" w:rsidR="009445E2" w:rsidRPr="00FF5708" w:rsidRDefault="009445E2" w:rsidP="0067578C">
      <w:pPr>
        <w:pStyle w:val="FootnoteText"/>
        <w:rPr>
          <w:rFonts w:asciiTheme="minorHAnsi" w:hAnsiTheme="minorHAnsi" w:cstheme="minorHAnsi"/>
          <w:sz w:val="16"/>
          <w:szCs w:val="16"/>
        </w:rPr>
      </w:pPr>
      <w:r w:rsidRPr="0067578C">
        <w:rPr>
          <w:rStyle w:val="FootnoteReference"/>
          <w:rFonts w:asciiTheme="minorHAnsi" w:hAnsiTheme="minorHAnsi" w:cstheme="minorHAnsi"/>
          <w:sz w:val="16"/>
          <w:szCs w:val="16"/>
        </w:rPr>
        <w:footnoteRef/>
      </w:r>
      <w:r w:rsidRPr="0067578C">
        <w:rPr>
          <w:rFonts w:asciiTheme="minorHAnsi" w:hAnsiTheme="minorHAnsi" w:cstheme="minorHAnsi"/>
          <w:sz w:val="16"/>
          <w:szCs w:val="16"/>
        </w:rPr>
        <w:t xml:space="preserve"> </w:t>
      </w:r>
      <w:r w:rsidRPr="00FF5708">
        <w:rPr>
          <w:rFonts w:asciiTheme="minorHAnsi" w:hAnsiTheme="minorHAnsi" w:cstheme="minorHAnsi"/>
          <w:sz w:val="16"/>
          <w:szCs w:val="16"/>
        </w:rPr>
        <w:t>Martin JA, Hamilton BE, Ventura SJ, Menacker F, Park MM, Sutton PD. Births: Final data for 2001. National vital statistics reports; vol. 51 no. 2. Hyattsville, Maryland: National Center for Health Statistics, 2002.</w:t>
      </w:r>
    </w:p>
  </w:footnote>
  <w:footnote w:id="31">
    <w:p w14:paraId="54DD6723" w14:textId="4958DC57" w:rsidR="00EA7E44" w:rsidRPr="00996367" w:rsidRDefault="000A315C" w:rsidP="00DE5E8C">
      <w:pPr>
        <w:pStyle w:val="NormalWeb"/>
        <w:spacing w:before="0" w:beforeAutospacing="0" w:after="0" w:afterAutospacing="0"/>
        <w:rPr>
          <w:rFonts w:asciiTheme="minorHAnsi" w:hAnsiTheme="minorHAnsi" w:cstheme="minorHAnsi"/>
          <w:sz w:val="16"/>
          <w:szCs w:val="16"/>
        </w:rPr>
      </w:pPr>
      <w:r w:rsidRPr="00996367">
        <w:rPr>
          <w:rStyle w:val="FootnoteReference"/>
          <w:rFonts w:asciiTheme="minorHAnsi" w:hAnsiTheme="minorHAnsi" w:cstheme="minorHAnsi"/>
          <w:sz w:val="16"/>
          <w:szCs w:val="16"/>
        </w:rPr>
        <w:footnoteRef/>
      </w:r>
      <w:r w:rsidRPr="00996367">
        <w:rPr>
          <w:rFonts w:asciiTheme="minorHAnsi" w:hAnsiTheme="minorHAnsi" w:cstheme="minorHAnsi"/>
          <w:sz w:val="16"/>
          <w:szCs w:val="16"/>
        </w:rPr>
        <w:t xml:space="preserve"> </w:t>
      </w:r>
      <w:r w:rsidR="00F344B8" w:rsidRPr="000E2549">
        <w:rPr>
          <w:rFonts w:asciiTheme="minorHAnsi" w:hAnsiTheme="minorHAnsi" w:cstheme="minorHAnsi"/>
          <w:sz w:val="16"/>
          <w:szCs w:val="16"/>
        </w:rPr>
        <w:t>Centers for Disease Control and Prevention. (202</w:t>
      </w:r>
      <w:r w:rsidR="00F344B8">
        <w:rPr>
          <w:rFonts w:asciiTheme="minorHAnsi" w:hAnsiTheme="minorHAnsi" w:cstheme="minorHAnsi"/>
          <w:sz w:val="16"/>
          <w:szCs w:val="16"/>
        </w:rPr>
        <w:t>4</w:t>
      </w:r>
      <w:r w:rsidR="00F344B8" w:rsidRPr="000E2549">
        <w:rPr>
          <w:rFonts w:asciiTheme="minorHAnsi" w:hAnsiTheme="minorHAnsi" w:cstheme="minorHAnsi"/>
          <w:sz w:val="16"/>
          <w:szCs w:val="16"/>
        </w:rPr>
        <w:t xml:space="preserve">, June </w:t>
      </w:r>
      <w:r w:rsidR="00F344B8">
        <w:rPr>
          <w:rFonts w:asciiTheme="minorHAnsi" w:hAnsiTheme="minorHAnsi" w:cstheme="minorHAnsi"/>
          <w:sz w:val="16"/>
          <w:szCs w:val="16"/>
        </w:rPr>
        <w:t>13</w:t>
      </w:r>
      <w:r w:rsidR="00F344B8" w:rsidRPr="000E2549">
        <w:rPr>
          <w:rFonts w:asciiTheme="minorHAnsi" w:hAnsiTheme="minorHAnsi" w:cstheme="minorHAnsi"/>
          <w:sz w:val="16"/>
          <w:szCs w:val="16"/>
        </w:rPr>
        <w:t xml:space="preserve">). </w:t>
      </w:r>
      <w:r w:rsidR="00F344B8" w:rsidRPr="000E2549">
        <w:rPr>
          <w:rFonts w:asciiTheme="minorHAnsi" w:hAnsiTheme="minorHAnsi" w:cstheme="minorHAnsi"/>
          <w:i/>
          <w:iCs/>
          <w:sz w:val="16"/>
          <w:szCs w:val="16"/>
        </w:rPr>
        <w:t xml:space="preserve">Suppression of </w:t>
      </w:r>
      <w:r w:rsidR="00F344B8">
        <w:rPr>
          <w:rFonts w:asciiTheme="minorHAnsi" w:hAnsiTheme="minorHAnsi" w:cstheme="minorHAnsi"/>
          <w:i/>
          <w:iCs/>
          <w:sz w:val="16"/>
          <w:szCs w:val="16"/>
        </w:rPr>
        <w:t>R</w:t>
      </w:r>
      <w:r w:rsidR="00F344B8" w:rsidRPr="000E2549">
        <w:rPr>
          <w:rFonts w:asciiTheme="minorHAnsi" w:hAnsiTheme="minorHAnsi" w:cstheme="minorHAnsi"/>
          <w:i/>
          <w:iCs/>
          <w:sz w:val="16"/>
          <w:szCs w:val="16"/>
        </w:rPr>
        <w:t xml:space="preserve">ates and </w:t>
      </w:r>
      <w:r w:rsidR="00F344B8">
        <w:rPr>
          <w:rFonts w:asciiTheme="minorHAnsi" w:hAnsiTheme="minorHAnsi" w:cstheme="minorHAnsi"/>
          <w:i/>
          <w:iCs/>
          <w:sz w:val="16"/>
          <w:szCs w:val="16"/>
        </w:rPr>
        <w:t>C</w:t>
      </w:r>
      <w:r w:rsidR="00F344B8" w:rsidRPr="000E2549">
        <w:rPr>
          <w:rFonts w:asciiTheme="minorHAnsi" w:hAnsiTheme="minorHAnsi" w:cstheme="minorHAnsi"/>
          <w:i/>
          <w:iCs/>
          <w:sz w:val="16"/>
          <w:szCs w:val="16"/>
        </w:rPr>
        <w:t>ounts</w:t>
      </w:r>
      <w:r w:rsidR="00F344B8" w:rsidRPr="000E2549">
        <w:rPr>
          <w:rFonts w:asciiTheme="minorHAnsi" w:hAnsiTheme="minorHAnsi" w:cstheme="minorHAnsi"/>
          <w:sz w:val="16"/>
          <w:szCs w:val="16"/>
        </w:rPr>
        <w:t xml:space="preserve">. United States Cancer Statistics (USCS). Retrieved </w:t>
      </w:r>
      <w:r w:rsidR="00F344B8">
        <w:rPr>
          <w:rFonts w:asciiTheme="minorHAnsi" w:hAnsiTheme="minorHAnsi" w:cstheme="minorHAnsi"/>
          <w:sz w:val="16"/>
          <w:szCs w:val="16"/>
        </w:rPr>
        <w:t>October 8, 2024</w:t>
      </w:r>
      <w:r w:rsidR="00F344B8" w:rsidRPr="000E2549">
        <w:rPr>
          <w:rFonts w:asciiTheme="minorHAnsi" w:hAnsiTheme="minorHAnsi" w:cstheme="minorHAnsi"/>
          <w:sz w:val="16"/>
          <w:szCs w:val="16"/>
        </w:rPr>
        <w:t xml:space="preserve">, from </w:t>
      </w:r>
      <w:hyperlink r:id="rId24" w:history="1">
        <w:r w:rsidR="00F344B8" w:rsidRPr="00FB186D">
          <w:rPr>
            <w:rStyle w:val="Hyperlink"/>
            <w:rFonts w:asciiTheme="minorHAnsi" w:eastAsiaTheme="majorEastAsia" w:hAnsiTheme="minorHAnsi" w:cstheme="minorHAnsi"/>
            <w:sz w:val="16"/>
            <w:szCs w:val="16"/>
          </w:rPr>
          <w:t>https://www.cdc.gov/united-states-cancer-statistics/technical-notes/suppression.html?CDC_AAref_Val=https://www.cdc.gov/cancer/uscs/technical_notes/stat_methods/suppression.htm</w:t>
        </w:r>
      </w:hyperlink>
    </w:p>
  </w:footnote>
  <w:footnote w:id="32">
    <w:p w14:paraId="025049A3" w14:textId="77777777" w:rsidR="009445E2" w:rsidRPr="00996367" w:rsidRDefault="009445E2" w:rsidP="00996367">
      <w:pPr>
        <w:spacing w:after="0" w:line="240" w:lineRule="auto"/>
        <w:rPr>
          <w:rFonts w:asciiTheme="minorHAnsi" w:hAnsiTheme="minorHAnsi" w:cstheme="minorHAnsi"/>
          <w:sz w:val="16"/>
          <w:szCs w:val="16"/>
        </w:rPr>
      </w:pPr>
      <w:r w:rsidRPr="00996367">
        <w:rPr>
          <w:rStyle w:val="FootnoteReference"/>
          <w:rFonts w:asciiTheme="minorHAnsi" w:hAnsiTheme="minorHAnsi" w:cstheme="minorHAnsi"/>
          <w:sz w:val="16"/>
          <w:szCs w:val="16"/>
        </w:rPr>
        <w:footnoteRef/>
      </w:r>
      <w:r w:rsidRPr="00996367">
        <w:rPr>
          <w:rFonts w:asciiTheme="minorHAnsi" w:hAnsiTheme="minorHAnsi" w:cstheme="minorHAnsi"/>
          <w:sz w:val="16"/>
          <w:szCs w:val="16"/>
        </w:rPr>
        <w:t xml:space="preserve"> Coughlin SS, Clutter GG, Hutton M. Ethics in Cancer Registries. </w:t>
      </w:r>
      <w:r w:rsidRPr="00996367">
        <w:rPr>
          <w:rFonts w:asciiTheme="minorHAnsi" w:hAnsiTheme="minorHAnsi" w:cstheme="minorHAnsi"/>
          <w:i/>
          <w:sz w:val="16"/>
          <w:szCs w:val="16"/>
        </w:rPr>
        <w:t>Journal of Cancer Registry Management, 2:</w:t>
      </w:r>
      <w:r w:rsidRPr="00996367">
        <w:rPr>
          <w:rFonts w:asciiTheme="minorHAnsi" w:hAnsiTheme="minorHAnsi" w:cstheme="minorHAnsi"/>
          <w:sz w:val="16"/>
          <w:szCs w:val="16"/>
        </w:rPr>
        <w:t xml:space="preserve"> 5-10, 1999.</w:t>
      </w:r>
    </w:p>
  </w:footnote>
  <w:footnote w:id="33">
    <w:p w14:paraId="5D259607" w14:textId="77777777" w:rsidR="009445E2" w:rsidRPr="00996367" w:rsidRDefault="009445E2" w:rsidP="00996367">
      <w:pPr>
        <w:pStyle w:val="FootnoteText"/>
        <w:rPr>
          <w:rFonts w:asciiTheme="minorHAnsi" w:hAnsiTheme="minorHAnsi" w:cstheme="minorHAnsi"/>
          <w:sz w:val="16"/>
          <w:szCs w:val="16"/>
        </w:rPr>
      </w:pPr>
      <w:r w:rsidRPr="00996367">
        <w:rPr>
          <w:rStyle w:val="FootnoteReference"/>
          <w:rFonts w:asciiTheme="minorHAnsi" w:hAnsiTheme="minorHAnsi" w:cstheme="minorHAnsi"/>
          <w:sz w:val="16"/>
          <w:szCs w:val="16"/>
        </w:rPr>
        <w:footnoteRef/>
      </w:r>
      <w:r w:rsidRPr="00996367">
        <w:rPr>
          <w:rFonts w:asciiTheme="minorHAnsi" w:hAnsiTheme="minorHAnsi" w:cstheme="minorHAnsi"/>
          <w:sz w:val="16"/>
          <w:szCs w:val="16"/>
        </w:rPr>
        <w:t xml:space="preserve"> McLaughlin CC. Confidentiality protection in publicly released central registry data. </w:t>
      </w:r>
      <w:r w:rsidRPr="00996367">
        <w:rPr>
          <w:rFonts w:asciiTheme="minorHAnsi" w:hAnsiTheme="minorHAnsi" w:cstheme="minorHAnsi"/>
          <w:i/>
          <w:sz w:val="16"/>
          <w:szCs w:val="16"/>
        </w:rPr>
        <w:t>Journal of Cancer Registry Management, 2:</w:t>
      </w:r>
      <w:r w:rsidRPr="00996367">
        <w:rPr>
          <w:rFonts w:asciiTheme="minorHAnsi" w:hAnsiTheme="minorHAnsi" w:cstheme="minorHAnsi"/>
          <w:sz w:val="16"/>
          <w:szCs w:val="16"/>
        </w:rPr>
        <w:t xml:space="preserve"> 84-88, 2002.</w:t>
      </w:r>
    </w:p>
  </w:footnote>
  <w:footnote w:id="34">
    <w:p w14:paraId="05F29CE6" w14:textId="54291286" w:rsidR="005C21B1" w:rsidRPr="00996367" w:rsidRDefault="00996367" w:rsidP="00996367">
      <w:pPr>
        <w:spacing w:after="0" w:line="240" w:lineRule="auto"/>
        <w:rPr>
          <w:rFonts w:asciiTheme="minorHAnsi" w:hAnsiTheme="minorHAnsi" w:cstheme="minorHAnsi"/>
          <w:sz w:val="16"/>
          <w:szCs w:val="16"/>
        </w:rPr>
      </w:pPr>
      <w:r w:rsidRPr="00996367">
        <w:rPr>
          <w:rStyle w:val="FootnoteReference"/>
          <w:rFonts w:asciiTheme="minorHAnsi" w:hAnsiTheme="minorHAnsi" w:cstheme="minorHAnsi"/>
          <w:sz w:val="16"/>
          <w:szCs w:val="16"/>
        </w:rPr>
        <w:footnoteRef/>
      </w:r>
      <w:r w:rsidRPr="00996367">
        <w:rPr>
          <w:rFonts w:asciiTheme="minorHAnsi" w:hAnsiTheme="minorHAnsi" w:cstheme="minorHAnsi"/>
          <w:sz w:val="16"/>
          <w:szCs w:val="16"/>
        </w:rPr>
        <w:t xml:space="preserve"> </w:t>
      </w:r>
      <w:r w:rsidR="000A7254" w:rsidRPr="000A7254">
        <w:rPr>
          <w:rFonts w:asciiTheme="minorHAnsi" w:hAnsiTheme="minorHAnsi" w:cstheme="minorHAnsi"/>
          <w:sz w:val="16"/>
          <w:szCs w:val="16"/>
        </w:rPr>
        <w:t>CI*Rank: Ranked Incidence and Mortality Rates by State, County, and Special Region</w:t>
      </w:r>
      <w:r w:rsidR="000A7254">
        <w:rPr>
          <w:rFonts w:asciiTheme="minorHAnsi" w:hAnsiTheme="minorHAnsi" w:cstheme="minorHAnsi"/>
          <w:sz w:val="16"/>
          <w:szCs w:val="16"/>
        </w:rPr>
        <w:t xml:space="preserve"> from </w:t>
      </w:r>
      <w:hyperlink r:id="rId25" w:history="1">
        <w:r w:rsidR="000A7254" w:rsidRPr="00F112E3">
          <w:rPr>
            <w:rStyle w:val="Hyperlink"/>
            <w:rFonts w:asciiTheme="minorHAnsi" w:hAnsiTheme="minorHAnsi" w:cstheme="minorHAnsi"/>
            <w:sz w:val="16"/>
            <w:szCs w:val="16"/>
          </w:rPr>
          <w:t>https://surveillance.cancer.gov/cirank/</w:t>
        </w:r>
      </w:hyperlink>
    </w:p>
  </w:footnote>
  <w:footnote w:id="35">
    <w:p w14:paraId="05F98402" w14:textId="74856424" w:rsidR="009445E2" w:rsidRPr="00D67A92" w:rsidRDefault="009445E2" w:rsidP="002A7213">
      <w:pPr>
        <w:pStyle w:val="FootnoteText"/>
        <w:rPr>
          <w:rFonts w:asciiTheme="minorHAnsi" w:hAnsiTheme="minorHAnsi"/>
          <w:sz w:val="16"/>
          <w:szCs w:val="16"/>
        </w:rPr>
      </w:pPr>
      <w:r w:rsidRPr="00D67A92">
        <w:rPr>
          <w:rStyle w:val="FootnoteReference"/>
          <w:rFonts w:asciiTheme="minorHAnsi" w:hAnsiTheme="minorHAnsi"/>
          <w:sz w:val="16"/>
          <w:szCs w:val="16"/>
        </w:rPr>
        <w:footnoteRef/>
      </w:r>
      <w:r w:rsidRPr="00D67A92">
        <w:rPr>
          <w:rFonts w:asciiTheme="minorHAnsi" w:hAnsiTheme="minorHAnsi"/>
          <w:sz w:val="16"/>
          <w:szCs w:val="16"/>
        </w:rPr>
        <w:t xml:space="preserve"> </w:t>
      </w:r>
      <w:proofErr w:type="spellStart"/>
      <w:r w:rsidRPr="00D67A92">
        <w:rPr>
          <w:rStyle w:val="citation"/>
          <w:rFonts w:asciiTheme="minorHAnsi" w:hAnsiTheme="minorHAnsi"/>
          <w:sz w:val="16"/>
          <w:szCs w:val="16"/>
        </w:rPr>
        <w:t>Grieco</w:t>
      </w:r>
      <w:proofErr w:type="spellEnd"/>
      <w:r w:rsidRPr="00D67A92">
        <w:rPr>
          <w:rStyle w:val="citation"/>
          <w:rFonts w:asciiTheme="minorHAnsi" w:hAnsiTheme="minorHAnsi"/>
          <w:sz w:val="16"/>
          <w:szCs w:val="16"/>
        </w:rPr>
        <w:t xml:space="preserve">, EM, Cassidy RC. (2001-03). </w:t>
      </w:r>
      <w:hyperlink r:id="rId26" w:history="1">
        <w:r w:rsidRPr="00D67A92">
          <w:rPr>
            <w:rStyle w:val="Hyperlink"/>
            <w:rFonts w:asciiTheme="minorHAnsi" w:hAnsiTheme="minorHAnsi"/>
            <w:sz w:val="16"/>
            <w:szCs w:val="16"/>
          </w:rPr>
          <w:t>"Overview of Race and Hispanic Origin: Census 2000 Brief"</w:t>
        </w:r>
      </w:hyperlink>
      <w:r w:rsidRPr="00D67A92">
        <w:rPr>
          <w:rStyle w:val="citation"/>
          <w:rFonts w:asciiTheme="minorHAnsi" w:hAnsiTheme="minorHAnsi"/>
          <w:sz w:val="16"/>
          <w:szCs w:val="16"/>
        </w:rPr>
        <w:t xml:space="preserve">  </w:t>
      </w:r>
      <w:r w:rsidRPr="00D67A92">
        <w:rPr>
          <w:rStyle w:val="citation"/>
          <w:rFonts w:asciiTheme="minorHAnsi" w:hAnsiTheme="minorHAnsi"/>
          <w:iCs/>
          <w:sz w:val="16"/>
          <w:szCs w:val="16"/>
        </w:rPr>
        <w:t>U.S. Census Bureau</w:t>
      </w:r>
      <w:r w:rsidRPr="00D67A92">
        <w:rPr>
          <w:rStyle w:val="printonly"/>
          <w:rFonts w:asciiTheme="minorHAnsi" w:hAnsiTheme="minorHAnsi"/>
        </w:rPr>
        <w:t xml:space="preserve">. </w:t>
      </w:r>
      <w:r w:rsidRPr="00D67A92">
        <w:rPr>
          <w:rFonts w:asciiTheme="minorHAnsi" w:hAnsiTheme="minorHAnsi"/>
          <w:sz w:val="16"/>
          <w:szCs w:val="16"/>
        </w:rPr>
        <w:t>Accessed May 26, 2011.</w:t>
      </w:r>
    </w:p>
  </w:footnote>
  <w:footnote w:id="36">
    <w:p w14:paraId="14DB91D7" w14:textId="77777777" w:rsidR="004B1222" w:rsidRPr="00A65022" w:rsidRDefault="004B1222" w:rsidP="00AA53A0">
      <w:pPr>
        <w:pStyle w:val="NormalWeb"/>
        <w:spacing w:before="0" w:beforeAutospacing="0" w:after="0" w:afterAutospacing="0"/>
        <w:rPr>
          <w:rFonts w:asciiTheme="minorHAnsi" w:hAnsiTheme="minorHAnsi" w:cstheme="minorHAnsi"/>
          <w:sz w:val="16"/>
          <w:szCs w:val="16"/>
        </w:rPr>
      </w:pPr>
      <w:r w:rsidRPr="00A65022">
        <w:rPr>
          <w:rStyle w:val="FootnoteReference"/>
          <w:rFonts w:asciiTheme="minorHAnsi" w:hAnsiTheme="minorHAnsi" w:cstheme="minorHAnsi"/>
          <w:sz w:val="16"/>
          <w:szCs w:val="16"/>
        </w:rPr>
        <w:footnoteRef/>
      </w:r>
      <w:r w:rsidRPr="00A65022">
        <w:rPr>
          <w:rFonts w:asciiTheme="minorHAnsi" w:hAnsiTheme="minorHAnsi" w:cstheme="minorHAnsi"/>
          <w:sz w:val="16"/>
          <w:szCs w:val="16"/>
        </w:rPr>
        <w:t xml:space="preserve"> American Cancer Society. (2019, January 24). </w:t>
      </w:r>
      <w:r w:rsidRPr="00A65022">
        <w:rPr>
          <w:rFonts w:asciiTheme="minorHAnsi" w:hAnsiTheme="minorHAnsi" w:cstheme="minorHAnsi"/>
          <w:i/>
          <w:iCs/>
          <w:sz w:val="16"/>
          <w:szCs w:val="16"/>
        </w:rPr>
        <w:t>Breast cancer screening guidelines faqs: FAQ breast cancer</w:t>
      </w:r>
      <w:r w:rsidRPr="00A65022">
        <w:rPr>
          <w:rFonts w:asciiTheme="minorHAnsi" w:hAnsiTheme="minorHAnsi" w:cstheme="minorHAnsi"/>
          <w:sz w:val="16"/>
          <w:szCs w:val="16"/>
        </w:rPr>
        <w:t xml:space="preserve">. Breast Cancer Screening Guidelines FAQs | FAQ Breast Cancer | American Cancer Society. </w:t>
      </w:r>
      <w:hyperlink r:id="rId27" w:history="1">
        <w:r w:rsidRPr="00A65022">
          <w:rPr>
            <w:rStyle w:val="Hyperlink"/>
            <w:rFonts w:asciiTheme="minorHAnsi" w:hAnsiTheme="minorHAnsi" w:cstheme="minorHAnsi"/>
            <w:sz w:val="16"/>
            <w:szCs w:val="16"/>
          </w:rPr>
          <w:t>https://www.cancer.org/cancer/types/breast-cancer/frequently-asked-questions-about-the-american-cancer-society-new-breast-cancer-screening-guideline.html</w:t>
        </w:r>
      </w:hyperlink>
    </w:p>
    <w:p w14:paraId="46768F24" w14:textId="77777777" w:rsidR="004B1222" w:rsidRDefault="004B1222" w:rsidP="004B1222">
      <w:pPr>
        <w:pStyle w:val="FootnoteText"/>
      </w:pPr>
    </w:p>
  </w:footnote>
  <w:footnote w:id="37">
    <w:p w14:paraId="4D5E2E18" w14:textId="77777777" w:rsidR="004B1222" w:rsidRDefault="004B1222" w:rsidP="004B1222">
      <w:pPr>
        <w:pStyle w:val="FootnoteText"/>
      </w:pPr>
      <w:r w:rsidRPr="00554873">
        <w:rPr>
          <w:rStyle w:val="FootnoteReference"/>
          <w:rFonts w:cs="Calibri"/>
          <w:sz w:val="16"/>
          <w:szCs w:val="16"/>
        </w:rPr>
        <w:footnoteRef/>
      </w:r>
      <w:r w:rsidRPr="00554873">
        <w:rPr>
          <w:rStyle w:val="FootnoteReference"/>
          <w:rFonts w:cs="Calibri"/>
          <w:sz w:val="16"/>
          <w:szCs w:val="16"/>
        </w:rPr>
        <w:t xml:space="preserve"> </w:t>
      </w:r>
      <w:r w:rsidRPr="00554873">
        <w:rPr>
          <w:rFonts w:asciiTheme="minorHAnsi" w:hAnsiTheme="minorHAnsi"/>
          <w:sz w:val="16"/>
          <w:szCs w:val="16"/>
        </w:rPr>
        <w:t>Fontham ETH, Wolf AMD, Church TR, Etzioni R, Flowers CR, Herzig A, Guerra CE, Oeffinger KC, Shih YT, Walter LC, Kim JJ, Andrews KS, DeSantis CE, Fedewa SA, Manassaram-Baptiste D, Saslow D, Wender RC, Smith RA. Cervical cancer screening for individuals at average risk: 2020 guideline update from the American Cancer Society. CA Cancer J Clin. 2020 Sep;70(5):321-346. doi: 10.3322/caac.21628. Epub 2020 Jul 30. PMID: 32729638.</w:t>
      </w:r>
      <w:r>
        <w:rPr>
          <w:rFonts w:asciiTheme="minorHAnsi" w:hAnsiTheme="minorHAnsi"/>
          <w:sz w:val="16"/>
          <w:szCs w:val="16"/>
        </w:rPr>
        <w:t xml:space="preserve"> </w:t>
      </w:r>
      <w:hyperlink r:id="rId28" w:history="1">
        <w:r w:rsidRPr="00A201EA">
          <w:rPr>
            <w:rStyle w:val="Hyperlink"/>
            <w:rFonts w:asciiTheme="minorHAnsi" w:hAnsiTheme="minorHAnsi"/>
            <w:sz w:val="16"/>
            <w:szCs w:val="16"/>
          </w:rPr>
          <w:t>https://acsjournals.onlinelibrary.wiley.com/doi/full/10.3322/caac.21628</w:t>
        </w:r>
      </w:hyperlink>
      <w:r>
        <w:rPr>
          <w:rFonts w:asciiTheme="minorHAnsi" w:hAnsiTheme="minorHAnsi"/>
          <w:sz w:val="16"/>
          <w:szCs w:val="16"/>
        </w:rPr>
        <w:t xml:space="preserve"> </w:t>
      </w:r>
    </w:p>
  </w:footnote>
  <w:footnote w:id="38">
    <w:p w14:paraId="311B3CA4" w14:textId="3DCEEBF7" w:rsidR="004B1222" w:rsidRDefault="004B1222" w:rsidP="004B1222">
      <w:pPr>
        <w:pStyle w:val="FootnoteText"/>
      </w:pPr>
      <w:r w:rsidRPr="00554873">
        <w:rPr>
          <w:rStyle w:val="FootnoteReference"/>
          <w:rFonts w:cs="Calibri"/>
          <w:sz w:val="16"/>
          <w:szCs w:val="16"/>
        </w:rPr>
        <w:footnoteRef/>
      </w:r>
      <w:r w:rsidRPr="00554873">
        <w:rPr>
          <w:rStyle w:val="FootnoteReference"/>
          <w:rFonts w:cs="Calibri"/>
        </w:rPr>
        <w:t xml:space="preserve"> </w:t>
      </w:r>
      <w:r w:rsidR="00787B32" w:rsidRPr="00AA53A0">
        <w:rPr>
          <w:rFonts w:asciiTheme="minorHAnsi" w:hAnsiTheme="minorHAnsi" w:cstheme="minorHAnsi"/>
          <w:sz w:val="16"/>
          <w:szCs w:val="16"/>
        </w:rPr>
        <w:t>The Pap (Papanicolaou) Test</w:t>
      </w:r>
      <w:r w:rsidR="00787B32">
        <w:rPr>
          <w:rFonts w:asciiTheme="minorHAnsi" w:hAnsiTheme="minorHAnsi" w:cstheme="minorHAnsi"/>
          <w:sz w:val="16"/>
          <w:szCs w:val="16"/>
        </w:rPr>
        <w:t xml:space="preserve">, </w:t>
      </w:r>
      <w:hyperlink r:id="rId29" w:history="1">
        <w:r w:rsidR="00787B32" w:rsidRPr="00787B32">
          <w:rPr>
            <w:rStyle w:val="Hyperlink"/>
            <w:rFonts w:asciiTheme="minorHAnsi" w:hAnsiTheme="minorHAnsi"/>
            <w:sz w:val="16"/>
            <w:szCs w:val="16"/>
          </w:rPr>
          <w:t xml:space="preserve">https://www.cancer.org/cancer/cervical-cancer/detection-diagnosis-staging/screening-tests/pap-test.html  </w:t>
        </w:r>
      </w:hyperlink>
      <w:r>
        <w:rPr>
          <w:rFonts w:asciiTheme="minorHAnsi" w:hAnsiTheme="minorHAnsi"/>
          <w:sz w:val="16"/>
          <w:szCs w:val="16"/>
        </w:rPr>
        <w:t xml:space="preserve"> </w:t>
      </w:r>
    </w:p>
  </w:footnote>
  <w:footnote w:id="39">
    <w:p w14:paraId="7CF224F5" w14:textId="7109DD74" w:rsidR="004B1222" w:rsidRDefault="004B1222" w:rsidP="004B1222">
      <w:pPr>
        <w:pStyle w:val="Footnote"/>
      </w:pPr>
      <w:r w:rsidRPr="005E70F0">
        <w:rPr>
          <w:rStyle w:val="FootnoteReference"/>
          <w:rFonts w:asciiTheme="minorHAnsi" w:hAnsiTheme="minorHAnsi"/>
          <w:sz w:val="16"/>
          <w:szCs w:val="16"/>
        </w:rPr>
        <w:footnoteRef/>
      </w:r>
      <w:r w:rsidRPr="005E70F0">
        <w:rPr>
          <w:rFonts w:asciiTheme="minorHAnsi" w:hAnsiTheme="minorHAnsi"/>
          <w:sz w:val="16"/>
          <w:szCs w:val="16"/>
        </w:rPr>
        <w:t xml:space="preserve"> Detailed screening guidelines for colorectal cancer</w:t>
      </w:r>
      <w:r w:rsidR="00787B32">
        <w:rPr>
          <w:rFonts w:asciiTheme="minorHAnsi" w:hAnsiTheme="minorHAnsi"/>
          <w:sz w:val="16"/>
          <w:szCs w:val="16"/>
        </w:rPr>
        <w:t>,</w:t>
      </w:r>
      <w:r w:rsidRPr="005E70F0">
        <w:rPr>
          <w:rFonts w:asciiTheme="minorHAnsi" w:hAnsiTheme="minorHAnsi"/>
          <w:sz w:val="16"/>
          <w:szCs w:val="16"/>
        </w:rPr>
        <w:t xml:space="preserve"> </w:t>
      </w:r>
      <w:hyperlink r:id="rId30" w:history="1">
        <w:r w:rsidRPr="006C17BC">
          <w:rPr>
            <w:rStyle w:val="Hyperlink"/>
          </w:rPr>
          <w:t xml:space="preserve"> </w:t>
        </w:r>
        <w:r w:rsidRPr="006C17BC">
          <w:rPr>
            <w:rStyle w:val="Hyperlink"/>
            <w:rFonts w:asciiTheme="minorHAnsi" w:hAnsiTheme="minorHAnsi"/>
            <w:sz w:val="16"/>
            <w:szCs w:val="16"/>
          </w:rPr>
          <w:t>https://www.cancer.org/cancer/types/colon-rectal-cancer/detection-diagnosis-staging/acs-recommendations.html</w:t>
        </w:r>
      </w:hyperlink>
    </w:p>
  </w:footnote>
  <w:footnote w:id="40">
    <w:p w14:paraId="19B04186" w14:textId="24E59BEE" w:rsidR="00744715" w:rsidRDefault="00744715">
      <w:pPr>
        <w:pStyle w:val="FootnoteText"/>
      </w:pPr>
      <w:r w:rsidRPr="00744715">
        <w:rPr>
          <w:rStyle w:val="FootnoteReference"/>
          <w:sz w:val="16"/>
          <w:szCs w:val="16"/>
        </w:rPr>
        <w:footnoteRef/>
      </w:r>
      <w:r w:rsidRPr="00744715">
        <w:rPr>
          <w:sz w:val="16"/>
          <w:szCs w:val="16"/>
        </w:rPr>
        <w:t xml:space="preserve"> </w:t>
      </w:r>
      <w:r w:rsidR="00787B32" w:rsidRPr="00AA53A0">
        <w:rPr>
          <w:rFonts w:asciiTheme="minorHAnsi" w:hAnsiTheme="minorHAnsi" w:cstheme="minorHAnsi"/>
          <w:sz w:val="16"/>
          <w:szCs w:val="16"/>
        </w:rPr>
        <w:t>Lung Cancer: Screening,</w:t>
      </w:r>
      <w:r w:rsidR="00787B32">
        <w:rPr>
          <w:sz w:val="16"/>
          <w:szCs w:val="16"/>
        </w:rPr>
        <w:t xml:space="preserve"> </w:t>
      </w:r>
      <w:hyperlink r:id="rId31" w:history="1">
        <w:r w:rsidRPr="00787B32">
          <w:rPr>
            <w:rStyle w:val="Hyperlink"/>
            <w:rFonts w:asciiTheme="minorHAnsi" w:hAnsiTheme="minorHAnsi"/>
            <w:sz w:val="16"/>
            <w:szCs w:val="16"/>
          </w:rPr>
          <w:t>https://www.uspreventiveservicestaskforce.org/uspstf/recommendation/lung-cancer-screening</w:t>
        </w:r>
      </w:hyperlink>
    </w:p>
  </w:footnote>
  <w:footnote w:id="41">
    <w:p w14:paraId="54ADF52A" w14:textId="5E69B893" w:rsidR="00C035E9" w:rsidRDefault="00C035E9">
      <w:pPr>
        <w:pStyle w:val="FootnoteText"/>
      </w:pPr>
      <w:r w:rsidRPr="00C035E9">
        <w:rPr>
          <w:rStyle w:val="FootnoteReference"/>
          <w:sz w:val="16"/>
          <w:szCs w:val="16"/>
        </w:rPr>
        <w:footnoteRef/>
      </w:r>
      <w:r>
        <w:t xml:space="preserve"> </w:t>
      </w:r>
      <w:r w:rsidR="00787B32" w:rsidRPr="00AA53A0">
        <w:rPr>
          <w:rFonts w:asciiTheme="minorHAnsi" w:hAnsiTheme="minorHAnsi" w:cstheme="minorHAnsi"/>
          <w:sz w:val="16"/>
          <w:szCs w:val="16"/>
        </w:rPr>
        <w:t xml:space="preserve">Prostate Cancer: Screening, </w:t>
      </w:r>
      <w:hyperlink r:id="rId32" w:history="1">
        <w:r w:rsidR="00787B32" w:rsidRPr="00787B32">
          <w:rPr>
            <w:rStyle w:val="Hyperlink"/>
            <w:rFonts w:asciiTheme="minorHAnsi" w:hAnsiTheme="minorHAnsi"/>
            <w:sz w:val="16"/>
            <w:szCs w:val="16"/>
          </w:rPr>
          <w:t>https://www.uspreventiveservicestaskforce.org/uspstf/recommendation/prostate-cancer-screening</w:t>
        </w:r>
      </w:hyperlink>
    </w:p>
  </w:footnote>
  <w:footnote w:id="42">
    <w:p w14:paraId="7080D2D9" w14:textId="77777777" w:rsidR="004B1222" w:rsidRPr="00663D93" w:rsidRDefault="004B1222" w:rsidP="004B1222">
      <w:pPr>
        <w:pStyle w:val="NormalWeb"/>
        <w:spacing w:before="0" w:beforeAutospacing="0" w:after="0" w:afterAutospacing="0"/>
        <w:contextualSpacing/>
        <w:rPr>
          <w:rFonts w:asciiTheme="minorHAnsi" w:hAnsiTheme="minorHAnsi" w:cstheme="minorHAnsi"/>
          <w:sz w:val="16"/>
          <w:szCs w:val="16"/>
        </w:rPr>
      </w:pPr>
      <w:r w:rsidRPr="00663D93">
        <w:rPr>
          <w:rStyle w:val="FootnoteReference"/>
          <w:rFonts w:asciiTheme="minorHAnsi" w:hAnsiTheme="minorHAnsi" w:cstheme="minorHAnsi"/>
          <w:sz w:val="16"/>
          <w:szCs w:val="16"/>
        </w:rPr>
        <w:footnoteRef/>
      </w:r>
      <w:r w:rsidRPr="00663D93">
        <w:rPr>
          <w:rFonts w:asciiTheme="minorHAnsi" w:hAnsiTheme="minorHAnsi" w:cstheme="minorHAnsi"/>
          <w:sz w:val="16"/>
          <w:szCs w:val="16"/>
        </w:rPr>
        <w:t xml:space="preserve"> National Cancer Institute. (2023, August). </w:t>
      </w:r>
      <w:r w:rsidRPr="00663D93">
        <w:rPr>
          <w:rFonts w:asciiTheme="minorHAnsi" w:hAnsiTheme="minorHAnsi" w:cstheme="minorHAnsi"/>
          <w:i/>
          <w:iCs/>
          <w:sz w:val="16"/>
          <w:szCs w:val="16"/>
        </w:rPr>
        <w:t>Cancer Trends Progress Report: Fruit and vegetable consumption</w:t>
      </w:r>
      <w:r w:rsidRPr="00663D93">
        <w:rPr>
          <w:rFonts w:asciiTheme="minorHAnsi" w:hAnsiTheme="minorHAnsi" w:cstheme="minorHAnsi"/>
          <w:sz w:val="16"/>
          <w:szCs w:val="16"/>
        </w:rPr>
        <w:t xml:space="preserve">. Fruit and Vegetable Consumption. </w:t>
      </w:r>
      <w:hyperlink r:id="rId33" w:history="1">
        <w:r w:rsidRPr="00663D93">
          <w:rPr>
            <w:rStyle w:val="Hyperlink"/>
            <w:rFonts w:asciiTheme="minorHAnsi" w:hAnsiTheme="minorHAnsi" w:cstheme="minorHAnsi"/>
            <w:sz w:val="16"/>
            <w:szCs w:val="16"/>
          </w:rPr>
          <w:t>https://progressreport.cancer.gov/prevention/fruit_vegetable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D7C1" w14:textId="79098323" w:rsidR="009445E2" w:rsidRDefault="009445E2">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665"/>
    <w:multiLevelType w:val="hybridMultilevel"/>
    <w:tmpl w:val="7BFAC62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468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BD72F6"/>
    <w:multiLevelType w:val="hybridMultilevel"/>
    <w:tmpl w:val="26423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C0E33"/>
    <w:multiLevelType w:val="multilevel"/>
    <w:tmpl w:val="D742C0EE"/>
    <w:lvl w:ilvl="0">
      <w:start w:val="1"/>
      <w:numFmt w:val="upperLetter"/>
      <w:suff w:val="space"/>
      <w:lvlText w:val="Appendix %1:"/>
      <w:lvlJc w:val="left"/>
      <w:pPr>
        <w:ind w:left="0" w:firstLine="0"/>
      </w:pPr>
      <w:rPr>
        <w:b/>
        <w:bCs w:val="0"/>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5D31BC5"/>
    <w:multiLevelType w:val="hybridMultilevel"/>
    <w:tmpl w:val="B05C40F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0C0A3A"/>
    <w:multiLevelType w:val="multilevel"/>
    <w:tmpl w:val="26C0EA14"/>
    <w:lvl w:ilvl="0">
      <w:start w:val="2"/>
      <w:numFmt w:val="decimal"/>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9745001"/>
    <w:multiLevelType w:val="hybridMultilevel"/>
    <w:tmpl w:val="F8DE0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7D2582"/>
    <w:multiLevelType w:val="hybridMultilevel"/>
    <w:tmpl w:val="5FC2F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3363EC"/>
    <w:multiLevelType w:val="hybridMultilevel"/>
    <w:tmpl w:val="58DC7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D71031"/>
    <w:multiLevelType w:val="hybridMultilevel"/>
    <w:tmpl w:val="D8025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E22890"/>
    <w:multiLevelType w:val="hybridMultilevel"/>
    <w:tmpl w:val="BE288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75A8C"/>
    <w:multiLevelType w:val="hybridMultilevel"/>
    <w:tmpl w:val="EA148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972DF"/>
    <w:multiLevelType w:val="hybridMultilevel"/>
    <w:tmpl w:val="EFD8E788"/>
    <w:lvl w:ilvl="0" w:tplc="7C541FF8">
      <w:start w:val="1"/>
      <w:numFmt w:val="decimal"/>
      <w:lvlText w:val="%1."/>
      <w:lvlJc w:val="left"/>
      <w:pPr>
        <w:ind w:left="720" w:hanging="360"/>
      </w:pPr>
      <w:rPr>
        <w:rFonts w:asciiTheme="minorHAns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083D97"/>
    <w:multiLevelType w:val="hybridMultilevel"/>
    <w:tmpl w:val="FB963B5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6514C1"/>
    <w:multiLevelType w:val="hybridMultilevel"/>
    <w:tmpl w:val="380C93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9D7ADE"/>
    <w:multiLevelType w:val="hybridMultilevel"/>
    <w:tmpl w:val="D9FAC66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38E2555"/>
    <w:multiLevelType w:val="hybridMultilevel"/>
    <w:tmpl w:val="644AF79E"/>
    <w:lvl w:ilvl="0" w:tplc="971A3868">
      <w:start w:val="1"/>
      <w:numFmt w:val="bullet"/>
      <w:pStyle w:val="Bullet"/>
      <w:lvlText w:val=""/>
      <w:lvlJc w:val="left"/>
      <w:pPr>
        <w:ind w:left="3420" w:hanging="360"/>
      </w:pPr>
      <w:rPr>
        <w:rFonts w:ascii="Wingdings" w:hAnsi="Wingdings" w:hint="default"/>
        <w:sz w:val="22"/>
        <w:u w:color="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236CC"/>
    <w:multiLevelType w:val="multilevel"/>
    <w:tmpl w:val="8222F948"/>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F58030F"/>
    <w:multiLevelType w:val="hybridMultilevel"/>
    <w:tmpl w:val="EF5AD1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327649E0">
      <w:start w:val="27"/>
      <w:numFmt w:val="bullet"/>
      <w:lvlText w:val="-"/>
      <w:lvlJc w:val="left"/>
      <w:pPr>
        <w:ind w:left="1800" w:hanging="360"/>
      </w:pPr>
      <w:rPr>
        <w:rFonts w:ascii="Calibri" w:eastAsia="Times New Roman" w:hAnsi="Calibri"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2571E2"/>
    <w:multiLevelType w:val="hybridMultilevel"/>
    <w:tmpl w:val="9706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B3DCC"/>
    <w:multiLevelType w:val="hybridMultilevel"/>
    <w:tmpl w:val="F47A7F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3C7D3EF2"/>
    <w:multiLevelType w:val="hybridMultilevel"/>
    <w:tmpl w:val="FB9E6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FB0B42"/>
    <w:multiLevelType w:val="hybridMultilevel"/>
    <w:tmpl w:val="2CE0E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EC1A22"/>
    <w:multiLevelType w:val="hybridMultilevel"/>
    <w:tmpl w:val="DF4E6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72EA4"/>
    <w:multiLevelType w:val="hybridMultilevel"/>
    <w:tmpl w:val="22DC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65B3F"/>
    <w:multiLevelType w:val="hybridMultilevel"/>
    <w:tmpl w:val="B844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115898"/>
    <w:multiLevelType w:val="hybridMultilevel"/>
    <w:tmpl w:val="04EC3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432351"/>
    <w:multiLevelType w:val="hybridMultilevel"/>
    <w:tmpl w:val="46F6E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39D0080"/>
    <w:multiLevelType w:val="hybridMultilevel"/>
    <w:tmpl w:val="927A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A2A11"/>
    <w:multiLevelType w:val="hybridMultilevel"/>
    <w:tmpl w:val="1CCE7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C551A6"/>
    <w:multiLevelType w:val="hybridMultilevel"/>
    <w:tmpl w:val="2E30763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342507"/>
    <w:multiLevelType w:val="hybridMultilevel"/>
    <w:tmpl w:val="4BFC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76EA2"/>
    <w:multiLevelType w:val="hybridMultilevel"/>
    <w:tmpl w:val="3022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3E27D7"/>
    <w:multiLevelType w:val="hybridMultilevel"/>
    <w:tmpl w:val="6B227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D5386"/>
    <w:multiLevelType w:val="hybridMultilevel"/>
    <w:tmpl w:val="04907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119D3"/>
    <w:multiLevelType w:val="hybridMultilevel"/>
    <w:tmpl w:val="5C00E46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812534A"/>
    <w:multiLevelType w:val="hybridMultilevel"/>
    <w:tmpl w:val="0F662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64165C"/>
    <w:multiLevelType w:val="hybridMultilevel"/>
    <w:tmpl w:val="FE2C82A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8C519AB"/>
    <w:multiLevelType w:val="hybridMultilevel"/>
    <w:tmpl w:val="CDC47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E12B03"/>
    <w:multiLevelType w:val="hybridMultilevel"/>
    <w:tmpl w:val="BEDA2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0706D8"/>
    <w:multiLevelType w:val="hybridMultilevel"/>
    <w:tmpl w:val="9464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45700F"/>
    <w:multiLevelType w:val="hybridMultilevel"/>
    <w:tmpl w:val="8334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546C5B"/>
    <w:multiLevelType w:val="hybridMultilevel"/>
    <w:tmpl w:val="0A70B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6451E5"/>
    <w:multiLevelType w:val="hybridMultilevel"/>
    <w:tmpl w:val="094ADF52"/>
    <w:lvl w:ilvl="0" w:tplc="04090001">
      <w:start w:val="1"/>
      <w:numFmt w:val="bullet"/>
      <w:lvlText w:val=""/>
      <w:lvlJc w:val="left"/>
      <w:pPr>
        <w:ind w:left="360" w:hanging="360"/>
      </w:pPr>
      <w:rPr>
        <w:rFonts w:ascii="Symbol" w:hAnsi="Symbol" w:hint="default"/>
        <w:sz w:val="22"/>
        <w:u w:color="0070C0"/>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80" w:hanging="360"/>
      </w:pPr>
      <w:rPr>
        <w:rFonts w:ascii="Symbol" w:hAnsi="Symbol" w:hint="default"/>
      </w:rPr>
    </w:lvl>
    <w:lvl w:ilvl="4" w:tplc="04090003" w:tentative="1">
      <w:start w:val="1"/>
      <w:numFmt w:val="bullet"/>
      <w:lvlText w:val="o"/>
      <w:lvlJc w:val="left"/>
      <w:pPr>
        <w:ind w:left="540" w:hanging="360"/>
      </w:pPr>
      <w:rPr>
        <w:rFonts w:ascii="Courier New" w:hAnsi="Courier New" w:cs="Courier New" w:hint="default"/>
      </w:rPr>
    </w:lvl>
    <w:lvl w:ilvl="5" w:tplc="04090005" w:tentative="1">
      <w:start w:val="1"/>
      <w:numFmt w:val="bullet"/>
      <w:lvlText w:val=""/>
      <w:lvlJc w:val="left"/>
      <w:pPr>
        <w:ind w:left="1260" w:hanging="360"/>
      </w:pPr>
      <w:rPr>
        <w:rFonts w:ascii="Wingdings" w:hAnsi="Wingdings" w:hint="default"/>
      </w:rPr>
    </w:lvl>
    <w:lvl w:ilvl="6" w:tplc="04090001" w:tentative="1">
      <w:start w:val="1"/>
      <w:numFmt w:val="bullet"/>
      <w:lvlText w:val=""/>
      <w:lvlJc w:val="left"/>
      <w:pPr>
        <w:ind w:left="1980" w:hanging="360"/>
      </w:pPr>
      <w:rPr>
        <w:rFonts w:ascii="Symbol" w:hAnsi="Symbol" w:hint="default"/>
      </w:rPr>
    </w:lvl>
    <w:lvl w:ilvl="7" w:tplc="04090003" w:tentative="1">
      <w:start w:val="1"/>
      <w:numFmt w:val="bullet"/>
      <w:lvlText w:val="o"/>
      <w:lvlJc w:val="left"/>
      <w:pPr>
        <w:ind w:left="2700" w:hanging="360"/>
      </w:pPr>
      <w:rPr>
        <w:rFonts w:ascii="Courier New" w:hAnsi="Courier New" w:cs="Courier New" w:hint="default"/>
      </w:rPr>
    </w:lvl>
    <w:lvl w:ilvl="8" w:tplc="04090005" w:tentative="1">
      <w:start w:val="1"/>
      <w:numFmt w:val="bullet"/>
      <w:lvlText w:val=""/>
      <w:lvlJc w:val="left"/>
      <w:pPr>
        <w:ind w:left="3420" w:hanging="360"/>
      </w:pPr>
      <w:rPr>
        <w:rFonts w:ascii="Wingdings" w:hAnsi="Wingdings" w:hint="default"/>
      </w:rPr>
    </w:lvl>
  </w:abstractNum>
  <w:abstractNum w:abstractNumId="43" w15:restartNumberingAfterBreak="0">
    <w:nsid w:val="7D57592B"/>
    <w:multiLevelType w:val="hybridMultilevel"/>
    <w:tmpl w:val="225CA70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F5B18B5"/>
    <w:multiLevelType w:val="hybridMultilevel"/>
    <w:tmpl w:val="3A4A84B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F680D01"/>
    <w:multiLevelType w:val="hybridMultilevel"/>
    <w:tmpl w:val="193A22A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8397489">
    <w:abstractNumId w:val="21"/>
  </w:num>
  <w:num w:numId="2" w16cid:durableId="2143113743">
    <w:abstractNumId w:val="6"/>
  </w:num>
  <w:num w:numId="3" w16cid:durableId="359665150">
    <w:abstractNumId w:val="30"/>
  </w:num>
  <w:num w:numId="4" w16cid:durableId="1307273331">
    <w:abstractNumId w:val="7"/>
  </w:num>
  <w:num w:numId="5" w16cid:durableId="15470376">
    <w:abstractNumId w:val="33"/>
  </w:num>
  <w:num w:numId="6" w16cid:durableId="913586702">
    <w:abstractNumId w:val="22"/>
  </w:num>
  <w:num w:numId="7" w16cid:durableId="414934829">
    <w:abstractNumId w:val="32"/>
  </w:num>
  <w:num w:numId="8" w16cid:durableId="991177064">
    <w:abstractNumId w:val="15"/>
  </w:num>
  <w:num w:numId="9" w16cid:durableId="1236621530">
    <w:abstractNumId w:val="17"/>
  </w:num>
  <w:num w:numId="10" w16cid:durableId="303968860">
    <w:abstractNumId w:val="25"/>
  </w:num>
  <w:num w:numId="11" w16cid:durableId="608047475">
    <w:abstractNumId w:val="29"/>
  </w:num>
  <w:num w:numId="12" w16cid:durableId="144972839">
    <w:abstractNumId w:val="8"/>
  </w:num>
  <w:num w:numId="13" w16cid:durableId="1950500409">
    <w:abstractNumId w:val="39"/>
  </w:num>
  <w:num w:numId="14" w16cid:durableId="1748184720">
    <w:abstractNumId w:val="20"/>
  </w:num>
  <w:num w:numId="15" w16cid:durableId="1898852703">
    <w:abstractNumId w:val="4"/>
  </w:num>
  <w:num w:numId="16" w16cid:durableId="1624577271">
    <w:abstractNumId w:val="27"/>
  </w:num>
  <w:num w:numId="17" w16cid:durableId="1581982344">
    <w:abstractNumId w:val="42"/>
  </w:num>
  <w:num w:numId="18" w16cid:durableId="1526165054">
    <w:abstractNumId w:val="41"/>
  </w:num>
  <w:num w:numId="19" w16cid:durableId="167525437">
    <w:abstractNumId w:val="2"/>
  </w:num>
  <w:num w:numId="20" w16cid:durableId="878132726">
    <w:abstractNumId w:val="11"/>
  </w:num>
  <w:num w:numId="21" w16cid:durableId="945894253">
    <w:abstractNumId w:val="9"/>
  </w:num>
  <w:num w:numId="22" w16cid:durableId="1913536794">
    <w:abstractNumId w:val="37"/>
  </w:num>
  <w:num w:numId="23" w16cid:durableId="1982542556">
    <w:abstractNumId w:val="45"/>
  </w:num>
  <w:num w:numId="24" w16cid:durableId="1289362995">
    <w:abstractNumId w:val="43"/>
  </w:num>
  <w:num w:numId="25" w16cid:durableId="1141657236">
    <w:abstractNumId w:val="31"/>
  </w:num>
  <w:num w:numId="26" w16cid:durableId="2048291636">
    <w:abstractNumId w:val="14"/>
  </w:num>
  <w:num w:numId="27" w16cid:durableId="1643577347">
    <w:abstractNumId w:val="44"/>
  </w:num>
  <w:num w:numId="28" w16cid:durableId="390228708">
    <w:abstractNumId w:val="36"/>
  </w:num>
  <w:num w:numId="29" w16cid:durableId="1476335164">
    <w:abstractNumId w:val="16"/>
  </w:num>
  <w:num w:numId="30" w16cid:durableId="1699696357">
    <w:abstractNumId w:val="38"/>
  </w:num>
  <w:num w:numId="31" w16cid:durableId="1086613394">
    <w:abstractNumId w:val="10"/>
  </w:num>
  <w:num w:numId="32" w16cid:durableId="1724673642">
    <w:abstractNumId w:val="19"/>
  </w:num>
  <w:num w:numId="33" w16cid:durableId="1682275993">
    <w:abstractNumId w:val="26"/>
  </w:num>
  <w:num w:numId="34" w16cid:durableId="1568690623">
    <w:abstractNumId w:val="23"/>
  </w:num>
  <w:num w:numId="35" w16cid:durableId="1222205154">
    <w:abstractNumId w:val="28"/>
  </w:num>
  <w:num w:numId="36" w16cid:durableId="1829245439">
    <w:abstractNumId w:val="1"/>
  </w:num>
  <w:num w:numId="37" w16cid:durableId="174075869">
    <w:abstractNumId w:val="40"/>
  </w:num>
  <w:num w:numId="38" w16cid:durableId="2061319738">
    <w:abstractNumId w:val="35"/>
  </w:num>
  <w:num w:numId="39" w16cid:durableId="589436839">
    <w:abstractNumId w:val="5"/>
  </w:num>
  <w:num w:numId="40" w16cid:durableId="1041244396">
    <w:abstractNumId w:val="24"/>
  </w:num>
  <w:num w:numId="41" w16cid:durableId="2119062794">
    <w:abstractNumId w:val="13"/>
  </w:num>
  <w:num w:numId="42" w16cid:durableId="1554853300">
    <w:abstractNumId w:val="34"/>
  </w:num>
  <w:num w:numId="43" w16cid:durableId="2084060456">
    <w:abstractNumId w:val="3"/>
  </w:num>
  <w:num w:numId="44" w16cid:durableId="1073046118">
    <w:abstractNumId w:val="0"/>
  </w:num>
  <w:num w:numId="45" w16cid:durableId="2035840057">
    <w:abstractNumId w:val="12"/>
  </w:num>
  <w:num w:numId="46" w16cid:durableId="597374336">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3NrOwtDQxMbAwN7JU0lEKTi0uzszPAykwNKsFACtt2PQtAAAA"/>
  </w:docVars>
  <w:rsids>
    <w:rsidRoot w:val="00B02C0D"/>
    <w:rsid w:val="00000636"/>
    <w:rsid w:val="00000E78"/>
    <w:rsid w:val="00000F9E"/>
    <w:rsid w:val="0000174E"/>
    <w:rsid w:val="000021C0"/>
    <w:rsid w:val="0000226E"/>
    <w:rsid w:val="00002A2D"/>
    <w:rsid w:val="000033D6"/>
    <w:rsid w:val="0000342D"/>
    <w:rsid w:val="000038DB"/>
    <w:rsid w:val="00003B1A"/>
    <w:rsid w:val="0000456D"/>
    <w:rsid w:val="0000485F"/>
    <w:rsid w:val="00004D1F"/>
    <w:rsid w:val="00005225"/>
    <w:rsid w:val="000053C7"/>
    <w:rsid w:val="00005986"/>
    <w:rsid w:val="00005AE9"/>
    <w:rsid w:val="000063AB"/>
    <w:rsid w:val="0000674E"/>
    <w:rsid w:val="000067C6"/>
    <w:rsid w:val="00006BB6"/>
    <w:rsid w:val="00007823"/>
    <w:rsid w:val="00007FFC"/>
    <w:rsid w:val="00010312"/>
    <w:rsid w:val="00010A15"/>
    <w:rsid w:val="00010F43"/>
    <w:rsid w:val="00011C4C"/>
    <w:rsid w:val="00012540"/>
    <w:rsid w:val="000126D4"/>
    <w:rsid w:val="00012D53"/>
    <w:rsid w:val="000130FC"/>
    <w:rsid w:val="0001350D"/>
    <w:rsid w:val="00013C0C"/>
    <w:rsid w:val="00014105"/>
    <w:rsid w:val="00014207"/>
    <w:rsid w:val="0001475A"/>
    <w:rsid w:val="0001480F"/>
    <w:rsid w:val="00014853"/>
    <w:rsid w:val="00015CD8"/>
    <w:rsid w:val="000174D1"/>
    <w:rsid w:val="0001751E"/>
    <w:rsid w:val="00017B0F"/>
    <w:rsid w:val="00017B9C"/>
    <w:rsid w:val="00017FF7"/>
    <w:rsid w:val="00020EEC"/>
    <w:rsid w:val="00020EFC"/>
    <w:rsid w:val="00021C93"/>
    <w:rsid w:val="0002234A"/>
    <w:rsid w:val="000227EE"/>
    <w:rsid w:val="00023356"/>
    <w:rsid w:val="0002365E"/>
    <w:rsid w:val="000236A3"/>
    <w:rsid w:val="00023F28"/>
    <w:rsid w:val="00024333"/>
    <w:rsid w:val="000243E9"/>
    <w:rsid w:val="000248FD"/>
    <w:rsid w:val="00024F0B"/>
    <w:rsid w:val="00024F9F"/>
    <w:rsid w:val="00025607"/>
    <w:rsid w:val="000256A9"/>
    <w:rsid w:val="00025909"/>
    <w:rsid w:val="00025AC3"/>
    <w:rsid w:val="00025B8E"/>
    <w:rsid w:val="00025E5D"/>
    <w:rsid w:val="00025EEE"/>
    <w:rsid w:val="00026759"/>
    <w:rsid w:val="00026C6C"/>
    <w:rsid w:val="00026ED3"/>
    <w:rsid w:val="00027199"/>
    <w:rsid w:val="000276CC"/>
    <w:rsid w:val="00027C3F"/>
    <w:rsid w:val="000300E5"/>
    <w:rsid w:val="000300F5"/>
    <w:rsid w:val="0003016F"/>
    <w:rsid w:val="00030B72"/>
    <w:rsid w:val="00030DA1"/>
    <w:rsid w:val="00031138"/>
    <w:rsid w:val="0003116A"/>
    <w:rsid w:val="000311FF"/>
    <w:rsid w:val="00031A12"/>
    <w:rsid w:val="00031A7D"/>
    <w:rsid w:val="0003211B"/>
    <w:rsid w:val="000325E6"/>
    <w:rsid w:val="0003275A"/>
    <w:rsid w:val="00033042"/>
    <w:rsid w:val="00033478"/>
    <w:rsid w:val="000334B7"/>
    <w:rsid w:val="00033A45"/>
    <w:rsid w:val="00033A7E"/>
    <w:rsid w:val="00034751"/>
    <w:rsid w:val="00034897"/>
    <w:rsid w:val="00035542"/>
    <w:rsid w:val="00035B28"/>
    <w:rsid w:val="00035BB9"/>
    <w:rsid w:val="000367A1"/>
    <w:rsid w:val="00036A4F"/>
    <w:rsid w:val="00036BD9"/>
    <w:rsid w:val="00036BEA"/>
    <w:rsid w:val="00036FFA"/>
    <w:rsid w:val="000370C0"/>
    <w:rsid w:val="000372E8"/>
    <w:rsid w:val="00037304"/>
    <w:rsid w:val="000376E9"/>
    <w:rsid w:val="00037768"/>
    <w:rsid w:val="00037E09"/>
    <w:rsid w:val="0004028A"/>
    <w:rsid w:val="00040316"/>
    <w:rsid w:val="000403C3"/>
    <w:rsid w:val="00040732"/>
    <w:rsid w:val="00040B28"/>
    <w:rsid w:val="00041456"/>
    <w:rsid w:val="00041A47"/>
    <w:rsid w:val="00041EA6"/>
    <w:rsid w:val="00042B81"/>
    <w:rsid w:val="000435AF"/>
    <w:rsid w:val="000435BC"/>
    <w:rsid w:val="00044400"/>
    <w:rsid w:val="000445E4"/>
    <w:rsid w:val="0004482F"/>
    <w:rsid w:val="00044A90"/>
    <w:rsid w:val="00044AFB"/>
    <w:rsid w:val="00044DFC"/>
    <w:rsid w:val="00044FC8"/>
    <w:rsid w:val="000452E9"/>
    <w:rsid w:val="0004540A"/>
    <w:rsid w:val="00045EDA"/>
    <w:rsid w:val="00046718"/>
    <w:rsid w:val="000467D1"/>
    <w:rsid w:val="000468BB"/>
    <w:rsid w:val="00046ABB"/>
    <w:rsid w:val="00046BFB"/>
    <w:rsid w:val="000470D4"/>
    <w:rsid w:val="00047232"/>
    <w:rsid w:val="0004726A"/>
    <w:rsid w:val="00047580"/>
    <w:rsid w:val="00047806"/>
    <w:rsid w:val="00047D58"/>
    <w:rsid w:val="0005029A"/>
    <w:rsid w:val="000502A5"/>
    <w:rsid w:val="00050554"/>
    <w:rsid w:val="00050604"/>
    <w:rsid w:val="0005080C"/>
    <w:rsid w:val="0005083E"/>
    <w:rsid w:val="00050929"/>
    <w:rsid w:val="000509A6"/>
    <w:rsid w:val="00050A6C"/>
    <w:rsid w:val="00050E9E"/>
    <w:rsid w:val="00051150"/>
    <w:rsid w:val="00051181"/>
    <w:rsid w:val="00051A94"/>
    <w:rsid w:val="00051B38"/>
    <w:rsid w:val="0005261F"/>
    <w:rsid w:val="00052FF4"/>
    <w:rsid w:val="000536F1"/>
    <w:rsid w:val="00053EC7"/>
    <w:rsid w:val="00053ECD"/>
    <w:rsid w:val="00054504"/>
    <w:rsid w:val="000546CA"/>
    <w:rsid w:val="000548BA"/>
    <w:rsid w:val="00054A7C"/>
    <w:rsid w:val="00054AA5"/>
    <w:rsid w:val="00054D00"/>
    <w:rsid w:val="00054E10"/>
    <w:rsid w:val="0005529C"/>
    <w:rsid w:val="00055A2A"/>
    <w:rsid w:val="00056713"/>
    <w:rsid w:val="00056976"/>
    <w:rsid w:val="00056C93"/>
    <w:rsid w:val="000570F9"/>
    <w:rsid w:val="00057386"/>
    <w:rsid w:val="00057905"/>
    <w:rsid w:val="00057AE2"/>
    <w:rsid w:val="00057B4B"/>
    <w:rsid w:val="00057CA7"/>
    <w:rsid w:val="000614FA"/>
    <w:rsid w:val="0006177C"/>
    <w:rsid w:val="00061F45"/>
    <w:rsid w:val="00062025"/>
    <w:rsid w:val="000622E6"/>
    <w:rsid w:val="0006231C"/>
    <w:rsid w:val="0006275D"/>
    <w:rsid w:val="00063ED7"/>
    <w:rsid w:val="00064C4A"/>
    <w:rsid w:val="00064FD9"/>
    <w:rsid w:val="00065436"/>
    <w:rsid w:val="00065AA9"/>
    <w:rsid w:val="00066068"/>
    <w:rsid w:val="00066748"/>
    <w:rsid w:val="000669DF"/>
    <w:rsid w:val="00066B5D"/>
    <w:rsid w:val="00066D58"/>
    <w:rsid w:val="00067225"/>
    <w:rsid w:val="00070582"/>
    <w:rsid w:val="00070A83"/>
    <w:rsid w:val="000711F3"/>
    <w:rsid w:val="000712D8"/>
    <w:rsid w:val="00071383"/>
    <w:rsid w:val="00071564"/>
    <w:rsid w:val="00071680"/>
    <w:rsid w:val="00071AC9"/>
    <w:rsid w:val="00071D8F"/>
    <w:rsid w:val="00071EB9"/>
    <w:rsid w:val="00072079"/>
    <w:rsid w:val="00072277"/>
    <w:rsid w:val="00072506"/>
    <w:rsid w:val="00072970"/>
    <w:rsid w:val="0007363A"/>
    <w:rsid w:val="0007378B"/>
    <w:rsid w:val="00073DE6"/>
    <w:rsid w:val="0007414E"/>
    <w:rsid w:val="0007454B"/>
    <w:rsid w:val="00074777"/>
    <w:rsid w:val="00074967"/>
    <w:rsid w:val="00075079"/>
    <w:rsid w:val="000751E2"/>
    <w:rsid w:val="00075258"/>
    <w:rsid w:val="00075B95"/>
    <w:rsid w:val="00075EB2"/>
    <w:rsid w:val="000760CF"/>
    <w:rsid w:val="000760F7"/>
    <w:rsid w:val="00076363"/>
    <w:rsid w:val="00077067"/>
    <w:rsid w:val="00077702"/>
    <w:rsid w:val="00077E6C"/>
    <w:rsid w:val="0008066C"/>
    <w:rsid w:val="00081016"/>
    <w:rsid w:val="00081F77"/>
    <w:rsid w:val="00082295"/>
    <w:rsid w:val="0008272E"/>
    <w:rsid w:val="00082865"/>
    <w:rsid w:val="000828A9"/>
    <w:rsid w:val="00082BEA"/>
    <w:rsid w:val="0008317B"/>
    <w:rsid w:val="000837DE"/>
    <w:rsid w:val="000844DF"/>
    <w:rsid w:val="0008462E"/>
    <w:rsid w:val="00084759"/>
    <w:rsid w:val="0008486A"/>
    <w:rsid w:val="00085938"/>
    <w:rsid w:val="00085EAB"/>
    <w:rsid w:val="000861B9"/>
    <w:rsid w:val="000866B6"/>
    <w:rsid w:val="00086EBC"/>
    <w:rsid w:val="00086F51"/>
    <w:rsid w:val="000873D5"/>
    <w:rsid w:val="000876F5"/>
    <w:rsid w:val="0009060C"/>
    <w:rsid w:val="00090879"/>
    <w:rsid w:val="00090A78"/>
    <w:rsid w:val="00090B52"/>
    <w:rsid w:val="00090B72"/>
    <w:rsid w:val="00091056"/>
    <w:rsid w:val="00091661"/>
    <w:rsid w:val="000923B2"/>
    <w:rsid w:val="000925F5"/>
    <w:rsid w:val="000926C8"/>
    <w:rsid w:val="000929A3"/>
    <w:rsid w:val="00092BF6"/>
    <w:rsid w:val="00092F58"/>
    <w:rsid w:val="000931E6"/>
    <w:rsid w:val="00093821"/>
    <w:rsid w:val="000938D1"/>
    <w:rsid w:val="0009396D"/>
    <w:rsid w:val="00093977"/>
    <w:rsid w:val="0009397F"/>
    <w:rsid w:val="000939F1"/>
    <w:rsid w:val="00093BCB"/>
    <w:rsid w:val="00093F7B"/>
    <w:rsid w:val="00094623"/>
    <w:rsid w:val="00094A5B"/>
    <w:rsid w:val="000959F0"/>
    <w:rsid w:val="00095D9B"/>
    <w:rsid w:val="00095F29"/>
    <w:rsid w:val="000960D6"/>
    <w:rsid w:val="0009693D"/>
    <w:rsid w:val="00096AC4"/>
    <w:rsid w:val="00096EAF"/>
    <w:rsid w:val="000971DC"/>
    <w:rsid w:val="00097EE4"/>
    <w:rsid w:val="00097FE6"/>
    <w:rsid w:val="000A006E"/>
    <w:rsid w:val="000A00C7"/>
    <w:rsid w:val="000A09F9"/>
    <w:rsid w:val="000A17CA"/>
    <w:rsid w:val="000A19F6"/>
    <w:rsid w:val="000A1BDF"/>
    <w:rsid w:val="000A211D"/>
    <w:rsid w:val="000A2606"/>
    <w:rsid w:val="000A303F"/>
    <w:rsid w:val="000A314E"/>
    <w:rsid w:val="000A315C"/>
    <w:rsid w:val="000A34CC"/>
    <w:rsid w:val="000A3A49"/>
    <w:rsid w:val="000A3C5A"/>
    <w:rsid w:val="000A473D"/>
    <w:rsid w:val="000A4F49"/>
    <w:rsid w:val="000A57A3"/>
    <w:rsid w:val="000A5BE9"/>
    <w:rsid w:val="000A5C5C"/>
    <w:rsid w:val="000A5E4D"/>
    <w:rsid w:val="000A65C6"/>
    <w:rsid w:val="000A6BAB"/>
    <w:rsid w:val="000A7254"/>
    <w:rsid w:val="000A74F0"/>
    <w:rsid w:val="000B0517"/>
    <w:rsid w:val="000B0710"/>
    <w:rsid w:val="000B157B"/>
    <w:rsid w:val="000B16FC"/>
    <w:rsid w:val="000B18B0"/>
    <w:rsid w:val="000B1FDD"/>
    <w:rsid w:val="000B2620"/>
    <w:rsid w:val="000B2779"/>
    <w:rsid w:val="000B2E23"/>
    <w:rsid w:val="000B3588"/>
    <w:rsid w:val="000B3DD3"/>
    <w:rsid w:val="000B482D"/>
    <w:rsid w:val="000B4ADB"/>
    <w:rsid w:val="000B4BA4"/>
    <w:rsid w:val="000B4C65"/>
    <w:rsid w:val="000B50C6"/>
    <w:rsid w:val="000B5249"/>
    <w:rsid w:val="000B547C"/>
    <w:rsid w:val="000B56BB"/>
    <w:rsid w:val="000B5B6D"/>
    <w:rsid w:val="000B6004"/>
    <w:rsid w:val="000B6019"/>
    <w:rsid w:val="000B6151"/>
    <w:rsid w:val="000B61AF"/>
    <w:rsid w:val="000B6208"/>
    <w:rsid w:val="000B62AB"/>
    <w:rsid w:val="000B668C"/>
    <w:rsid w:val="000B6774"/>
    <w:rsid w:val="000B6A6F"/>
    <w:rsid w:val="000B794F"/>
    <w:rsid w:val="000C02FF"/>
    <w:rsid w:val="000C044E"/>
    <w:rsid w:val="000C0888"/>
    <w:rsid w:val="000C0BEC"/>
    <w:rsid w:val="000C0C1B"/>
    <w:rsid w:val="000C151C"/>
    <w:rsid w:val="000C242E"/>
    <w:rsid w:val="000C2B81"/>
    <w:rsid w:val="000C2BB9"/>
    <w:rsid w:val="000C2D97"/>
    <w:rsid w:val="000C2E18"/>
    <w:rsid w:val="000C3109"/>
    <w:rsid w:val="000C31E4"/>
    <w:rsid w:val="000C4049"/>
    <w:rsid w:val="000C4383"/>
    <w:rsid w:val="000C4864"/>
    <w:rsid w:val="000C4B9C"/>
    <w:rsid w:val="000C4FF0"/>
    <w:rsid w:val="000C5917"/>
    <w:rsid w:val="000C5A0E"/>
    <w:rsid w:val="000C5D21"/>
    <w:rsid w:val="000C6A3B"/>
    <w:rsid w:val="000C7A74"/>
    <w:rsid w:val="000C7ACA"/>
    <w:rsid w:val="000C7D22"/>
    <w:rsid w:val="000C7D3D"/>
    <w:rsid w:val="000D0193"/>
    <w:rsid w:val="000D0873"/>
    <w:rsid w:val="000D0DA9"/>
    <w:rsid w:val="000D14BD"/>
    <w:rsid w:val="000D2254"/>
    <w:rsid w:val="000D28FA"/>
    <w:rsid w:val="000D2C5A"/>
    <w:rsid w:val="000D2C9F"/>
    <w:rsid w:val="000D2FF5"/>
    <w:rsid w:val="000D33F4"/>
    <w:rsid w:val="000D3604"/>
    <w:rsid w:val="000D363F"/>
    <w:rsid w:val="000D3AE9"/>
    <w:rsid w:val="000D4024"/>
    <w:rsid w:val="000D4517"/>
    <w:rsid w:val="000D4BA4"/>
    <w:rsid w:val="000D4C8C"/>
    <w:rsid w:val="000D50AA"/>
    <w:rsid w:val="000D5683"/>
    <w:rsid w:val="000D5BD7"/>
    <w:rsid w:val="000D5DED"/>
    <w:rsid w:val="000D62B1"/>
    <w:rsid w:val="000D6BD7"/>
    <w:rsid w:val="000D6DA1"/>
    <w:rsid w:val="000D7009"/>
    <w:rsid w:val="000D7306"/>
    <w:rsid w:val="000D731D"/>
    <w:rsid w:val="000D7383"/>
    <w:rsid w:val="000D770E"/>
    <w:rsid w:val="000E026F"/>
    <w:rsid w:val="000E0386"/>
    <w:rsid w:val="000E0F8C"/>
    <w:rsid w:val="000E122B"/>
    <w:rsid w:val="000E1E77"/>
    <w:rsid w:val="000E2549"/>
    <w:rsid w:val="000E264E"/>
    <w:rsid w:val="000E2F29"/>
    <w:rsid w:val="000E3435"/>
    <w:rsid w:val="000E3740"/>
    <w:rsid w:val="000E3C98"/>
    <w:rsid w:val="000E4914"/>
    <w:rsid w:val="000E4DB8"/>
    <w:rsid w:val="000E5526"/>
    <w:rsid w:val="000E5FC2"/>
    <w:rsid w:val="000E6061"/>
    <w:rsid w:val="000E61A9"/>
    <w:rsid w:val="000E6434"/>
    <w:rsid w:val="000E6DE9"/>
    <w:rsid w:val="000E6FA7"/>
    <w:rsid w:val="000F027B"/>
    <w:rsid w:val="000F06B4"/>
    <w:rsid w:val="000F0B5F"/>
    <w:rsid w:val="000F0BAE"/>
    <w:rsid w:val="000F1B10"/>
    <w:rsid w:val="000F1E07"/>
    <w:rsid w:val="000F2092"/>
    <w:rsid w:val="000F2190"/>
    <w:rsid w:val="000F228E"/>
    <w:rsid w:val="000F2487"/>
    <w:rsid w:val="000F25D9"/>
    <w:rsid w:val="000F2E21"/>
    <w:rsid w:val="000F2FF9"/>
    <w:rsid w:val="000F344C"/>
    <w:rsid w:val="000F3480"/>
    <w:rsid w:val="000F35A7"/>
    <w:rsid w:val="000F376E"/>
    <w:rsid w:val="000F3841"/>
    <w:rsid w:val="000F3F4C"/>
    <w:rsid w:val="000F429B"/>
    <w:rsid w:val="000F4409"/>
    <w:rsid w:val="000F4466"/>
    <w:rsid w:val="000F48AE"/>
    <w:rsid w:val="000F4B80"/>
    <w:rsid w:val="000F4EE8"/>
    <w:rsid w:val="000F511D"/>
    <w:rsid w:val="000F58E3"/>
    <w:rsid w:val="000F5E00"/>
    <w:rsid w:val="000F5F97"/>
    <w:rsid w:val="000F624E"/>
    <w:rsid w:val="000F63DF"/>
    <w:rsid w:val="000F6578"/>
    <w:rsid w:val="000F6A54"/>
    <w:rsid w:val="000F6CA9"/>
    <w:rsid w:val="000F7344"/>
    <w:rsid w:val="000F73BF"/>
    <w:rsid w:val="000F777C"/>
    <w:rsid w:val="000F791C"/>
    <w:rsid w:val="000F793D"/>
    <w:rsid w:val="00100B8C"/>
    <w:rsid w:val="001017B1"/>
    <w:rsid w:val="00101B56"/>
    <w:rsid w:val="00101CA7"/>
    <w:rsid w:val="00102829"/>
    <w:rsid w:val="00103276"/>
    <w:rsid w:val="00103F59"/>
    <w:rsid w:val="0010477B"/>
    <w:rsid w:val="00104C5A"/>
    <w:rsid w:val="00104DD0"/>
    <w:rsid w:val="00104DEB"/>
    <w:rsid w:val="00105753"/>
    <w:rsid w:val="00105926"/>
    <w:rsid w:val="00105B38"/>
    <w:rsid w:val="00105CD7"/>
    <w:rsid w:val="00105D73"/>
    <w:rsid w:val="00107045"/>
    <w:rsid w:val="00107149"/>
    <w:rsid w:val="0010742F"/>
    <w:rsid w:val="00107EA3"/>
    <w:rsid w:val="001105F7"/>
    <w:rsid w:val="0011069B"/>
    <w:rsid w:val="001106EE"/>
    <w:rsid w:val="00110704"/>
    <w:rsid w:val="00110D06"/>
    <w:rsid w:val="001110FF"/>
    <w:rsid w:val="0011117D"/>
    <w:rsid w:val="00111C28"/>
    <w:rsid w:val="001124F2"/>
    <w:rsid w:val="00112725"/>
    <w:rsid w:val="00112931"/>
    <w:rsid w:val="00112A2B"/>
    <w:rsid w:val="00112DD0"/>
    <w:rsid w:val="00112E66"/>
    <w:rsid w:val="00113390"/>
    <w:rsid w:val="001139FB"/>
    <w:rsid w:val="00113B29"/>
    <w:rsid w:val="001143E0"/>
    <w:rsid w:val="00114C11"/>
    <w:rsid w:val="00114D91"/>
    <w:rsid w:val="0011537D"/>
    <w:rsid w:val="00116055"/>
    <w:rsid w:val="00116104"/>
    <w:rsid w:val="00116AE0"/>
    <w:rsid w:val="00117EE8"/>
    <w:rsid w:val="00117FCC"/>
    <w:rsid w:val="00120231"/>
    <w:rsid w:val="001206CE"/>
    <w:rsid w:val="001206D2"/>
    <w:rsid w:val="00120C71"/>
    <w:rsid w:val="00120CE6"/>
    <w:rsid w:val="00120F87"/>
    <w:rsid w:val="00121183"/>
    <w:rsid w:val="001214DB"/>
    <w:rsid w:val="001219AB"/>
    <w:rsid w:val="001219B2"/>
    <w:rsid w:val="00121A8E"/>
    <w:rsid w:val="00121DFE"/>
    <w:rsid w:val="00122563"/>
    <w:rsid w:val="001227DC"/>
    <w:rsid w:val="00122E7A"/>
    <w:rsid w:val="00123A51"/>
    <w:rsid w:val="00123BB0"/>
    <w:rsid w:val="00123C29"/>
    <w:rsid w:val="0012480D"/>
    <w:rsid w:val="00124ED5"/>
    <w:rsid w:val="00124F3B"/>
    <w:rsid w:val="00125255"/>
    <w:rsid w:val="001252FE"/>
    <w:rsid w:val="001255F8"/>
    <w:rsid w:val="00125714"/>
    <w:rsid w:val="00125A3E"/>
    <w:rsid w:val="00125B28"/>
    <w:rsid w:val="0012611C"/>
    <w:rsid w:val="001263EA"/>
    <w:rsid w:val="00126413"/>
    <w:rsid w:val="0012648F"/>
    <w:rsid w:val="0012689D"/>
    <w:rsid w:val="00126BEE"/>
    <w:rsid w:val="00127282"/>
    <w:rsid w:val="001272D0"/>
    <w:rsid w:val="001276C3"/>
    <w:rsid w:val="00130172"/>
    <w:rsid w:val="0013021C"/>
    <w:rsid w:val="0013050C"/>
    <w:rsid w:val="00130783"/>
    <w:rsid w:val="00130A17"/>
    <w:rsid w:val="00130C34"/>
    <w:rsid w:val="00130C7B"/>
    <w:rsid w:val="00130E50"/>
    <w:rsid w:val="00130F20"/>
    <w:rsid w:val="0013205E"/>
    <w:rsid w:val="001323FE"/>
    <w:rsid w:val="00132A69"/>
    <w:rsid w:val="00132CCA"/>
    <w:rsid w:val="00133189"/>
    <w:rsid w:val="001331ED"/>
    <w:rsid w:val="0013372A"/>
    <w:rsid w:val="0013423C"/>
    <w:rsid w:val="001344F6"/>
    <w:rsid w:val="0013467E"/>
    <w:rsid w:val="001347E9"/>
    <w:rsid w:val="00134C08"/>
    <w:rsid w:val="00135744"/>
    <w:rsid w:val="00136441"/>
    <w:rsid w:val="00136E72"/>
    <w:rsid w:val="001370E9"/>
    <w:rsid w:val="001378BB"/>
    <w:rsid w:val="001402EF"/>
    <w:rsid w:val="0014059E"/>
    <w:rsid w:val="00140B03"/>
    <w:rsid w:val="00140C62"/>
    <w:rsid w:val="00140FE2"/>
    <w:rsid w:val="00142C06"/>
    <w:rsid w:val="0014328A"/>
    <w:rsid w:val="001435B4"/>
    <w:rsid w:val="001437BE"/>
    <w:rsid w:val="00143B2E"/>
    <w:rsid w:val="0014457A"/>
    <w:rsid w:val="001449CF"/>
    <w:rsid w:val="00144B48"/>
    <w:rsid w:val="00144B4E"/>
    <w:rsid w:val="00145856"/>
    <w:rsid w:val="00145990"/>
    <w:rsid w:val="00145D0E"/>
    <w:rsid w:val="001462AF"/>
    <w:rsid w:val="0014649D"/>
    <w:rsid w:val="00146A29"/>
    <w:rsid w:val="00146ECF"/>
    <w:rsid w:val="001475EB"/>
    <w:rsid w:val="00147752"/>
    <w:rsid w:val="00150562"/>
    <w:rsid w:val="00150587"/>
    <w:rsid w:val="001506FD"/>
    <w:rsid w:val="00151330"/>
    <w:rsid w:val="001516F1"/>
    <w:rsid w:val="00151A52"/>
    <w:rsid w:val="00151BB8"/>
    <w:rsid w:val="00151C51"/>
    <w:rsid w:val="001520A3"/>
    <w:rsid w:val="001525BC"/>
    <w:rsid w:val="00152639"/>
    <w:rsid w:val="001535DE"/>
    <w:rsid w:val="001549AB"/>
    <w:rsid w:val="0015569A"/>
    <w:rsid w:val="00155FC4"/>
    <w:rsid w:val="00156153"/>
    <w:rsid w:val="001578F7"/>
    <w:rsid w:val="00157954"/>
    <w:rsid w:val="00157A4B"/>
    <w:rsid w:val="00157FEA"/>
    <w:rsid w:val="00160136"/>
    <w:rsid w:val="00160271"/>
    <w:rsid w:val="00160C7E"/>
    <w:rsid w:val="00161499"/>
    <w:rsid w:val="001618ED"/>
    <w:rsid w:val="00161B84"/>
    <w:rsid w:val="00161F92"/>
    <w:rsid w:val="00162192"/>
    <w:rsid w:val="00162911"/>
    <w:rsid w:val="00162E4E"/>
    <w:rsid w:val="00162E97"/>
    <w:rsid w:val="001632DC"/>
    <w:rsid w:val="001634C1"/>
    <w:rsid w:val="00163CDD"/>
    <w:rsid w:val="00163DB1"/>
    <w:rsid w:val="001645F3"/>
    <w:rsid w:val="00164D53"/>
    <w:rsid w:val="0016540F"/>
    <w:rsid w:val="00165920"/>
    <w:rsid w:val="00165B36"/>
    <w:rsid w:val="00165DB7"/>
    <w:rsid w:val="001662E1"/>
    <w:rsid w:val="00166AD9"/>
    <w:rsid w:val="00166EEA"/>
    <w:rsid w:val="001671CF"/>
    <w:rsid w:val="00167408"/>
    <w:rsid w:val="00167418"/>
    <w:rsid w:val="0016768E"/>
    <w:rsid w:val="0016782A"/>
    <w:rsid w:val="00167B1F"/>
    <w:rsid w:val="001701C2"/>
    <w:rsid w:val="00170277"/>
    <w:rsid w:val="0017045E"/>
    <w:rsid w:val="001705DF"/>
    <w:rsid w:val="001708BA"/>
    <w:rsid w:val="00170B7C"/>
    <w:rsid w:val="00170D72"/>
    <w:rsid w:val="00171457"/>
    <w:rsid w:val="00171843"/>
    <w:rsid w:val="00171AA9"/>
    <w:rsid w:val="00171B98"/>
    <w:rsid w:val="00171D75"/>
    <w:rsid w:val="00172037"/>
    <w:rsid w:val="0017283B"/>
    <w:rsid w:val="00172DD5"/>
    <w:rsid w:val="00172E96"/>
    <w:rsid w:val="001731CA"/>
    <w:rsid w:val="0017368C"/>
    <w:rsid w:val="00174150"/>
    <w:rsid w:val="001743B7"/>
    <w:rsid w:val="00174427"/>
    <w:rsid w:val="001745A9"/>
    <w:rsid w:val="00175095"/>
    <w:rsid w:val="00175287"/>
    <w:rsid w:val="001757BB"/>
    <w:rsid w:val="00176933"/>
    <w:rsid w:val="00177E9F"/>
    <w:rsid w:val="00181543"/>
    <w:rsid w:val="001817DD"/>
    <w:rsid w:val="00181B72"/>
    <w:rsid w:val="00181D53"/>
    <w:rsid w:val="001828F8"/>
    <w:rsid w:val="0018339F"/>
    <w:rsid w:val="0018361A"/>
    <w:rsid w:val="0018450B"/>
    <w:rsid w:val="0018488F"/>
    <w:rsid w:val="00184909"/>
    <w:rsid w:val="00184C25"/>
    <w:rsid w:val="00184C36"/>
    <w:rsid w:val="001850AD"/>
    <w:rsid w:val="0018530E"/>
    <w:rsid w:val="00185357"/>
    <w:rsid w:val="001853A4"/>
    <w:rsid w:val="00185CBD"/>
    <w:rsid w:val="0018605F"/>
    <w:rsid w:val="00186061"/>
    <w:rsid w:val="0018663F"/>
    <w:rsid w:val="0018671F"/>
    <w:rsid w:val="00186963"/>
    <w:rsid w:val="00186A4C"/>
    <w:rsid w:val="00186BB5"/>
    <w:rsid w:val="00186D03"/>
    <w:rsid w:val="0018729F"/>
    <w:rsid w:val="001877A4"/>
    <w:rsid w:val="00187C4F"/>
    <w:rsid w:val="00187E75"/>
    <w:rsid w:val="001901A6"/>
    <w:rsid w:val="001902C6"/>
    <w:rsid w:val="00190535"/>
    <w:rsid w:val="001906C2"/>
    <w:rsid w:val="001907A3"/>
    <w:rsid w:val="00190D09"/>
    <w:rsid w:val="00190DA0"/>
    <w:rsid w:val="00191333"/>
    <w:rsid w:val="001916B4"/>
    <w:rsid w:val="00191A7A"/>
    <w:rsid w:val="00191E0D"/>
    <w:rsid w:val="00191EE6"/>
    <w:rsid w:val="00192097"/>
    <w:rsid w:val="001922B4"/>
    <w:rsid w:val="0019287B"/>
    <w:rsid w:val="00193109"/>
    <w:rsid w:val="0019346C"/>
    <w:rsid w:val="00193FE1"/>
    <w:rsid w:val="00193FF7"/>
    <w:rsid w:val="00194365"/>
    <w:rsid w:val="001943C5"/>
    <w:rsid w:val="00194927"/>
    <w:rsid w:val="00195293"/>
    <w:rsid w:val="001952BC"/>
    <w:rsid w:val="00195A85"/>
    <w:rsid w:val="00195B41"/>
    <w:rsid w:val="00196030"/>
    <w:rsid w:val="001960E9"/>
    <w:rsid w:val="00196262"/>
    <w:rsid w:val="001963B1"/>
    <w:rsid w:val="00196A2C"/>
    <w:rsid w:val="00197216"/>
    <w:rsid w:val="001A02D2"/>
    <w:rsid w:val="001A0355"/>
    <w:rsid w:val="001A0824"/>
    <w:rsid w:val="001A0F75"/>
    <w:rsid w:val="001A1094"/>
    <w:rsid w:val="001A11F6"/>
    <w:rsid w:val="001A1764"/>
    <w:rsid w:val="001A1888"/>
    <w:rsid w:val="001A19D6"/>
    <w:rsid w:val="001A1B32"/>
    <w:rsid w:val="001A1CC9"/>
    <w:rsid w:val="001A20E6"/>
    <w:rsid w:val="001A21AA"/>
    <w:rsid w:val="001A21C4"/>
    <w:rsid w:val="001A228F"/>
    <w:rsid w:val="001A248F"/>
    <w:rsid w:val="001A27A6"/>
    <w:rsid w:val="001A2A21"/>
    <w:rsid w:val="001A33EF"/>
    <w:rsid w:val="001A34E2"/>
    <w:rsid w:val="001A479B"/>
    <w:rsid w:val="001A4863"/>
    <w:rsid w:val="001A4AB4"/>
    <w:rsid w:val="001A4EF6"/>
    <w:rsid w:val="001A5246"/>
    <w:rsid w:val="001A579F"/>
    <w:rsid w:val="001A5D13"/>
    <w:rsid w:val="001A7582"/>
    <w:rsid w:val="001A75A1"/>
    <w:rsid w:val="001A7F58"/>
    <w:rsid w:val="001B0736"/>
    <w:rsid w:val="001B078D"/>
    <w:rsid w:val="001B1295"/>
    <w:rsid w:val="001B1FEE"/>
    <w:rsid w:val="001B23E7"/>
    <w:rsid w:val="001B242A"/>
    <w:rsid w:val="001B3896"/>
    <w:rsid w:val="001B4118"/>
    <w:rsid w:val="001B466A"/>
    <w:rsid w:val="001B495B"/>
    <w:rsid w:val="001B533A"/>
    <w:rsid w:val="001B5C54"/>
    <w:rsid w:val="001B60A3"/>
    <w:rsid w:val="001B6A83"/>
    <w:rsid w:val="001B6DA8"/>
    <w:rsid w:val="001B708D"/>
    <w:rsid w:val="001B7881"/>
    <w:rsid w:val="001B78A4"/>
    <w:rsid w:val="001B7959"/>
    <w:rsid w:val="001C03AC"/>
    <w:rsid w:val="001C064E"/>
    <w:rsid w:val="001C09D9"/>
    <w:rsid w:val="001C0C05"/>
    <w:rsid w:val="001C0E7C"/>
    <w:rsid w:val="001C0EA5"/>
    <w:rsid w:val="001C0F0B"/>
    <w:rsid w:val="001C14CB"/>
    <w:rsid w:val="001C1661"/>
    <w:rsid w:val="001C1DCE"/>
    <w:rsid w:val="001C31CC"/>
    <w:rsid w:val="001C33FB"/>
    <w:rsid w:val="001C343B"/>
    <w:rsid w:val="001C3BE0"/>
    <w:rsid w:val="001C3DED"/>
    <w:rsid w:val="001C401F"/>
    <w:rsid w:val="001C482F"/>
    <w:rsid w:val="001C5440"/>
    <w:rsid w:val="001C59E6"/>
    <w:rsid w:val="001C5CBC"/>
    <w:rsid w:val="001C5FAE"/>
    <w:rsid w:val="001C6044"/>
    <w:rsid w:val="001C62DD"/>
    <w:rsid w:val="001C6DD0"/>
    <w:rsid w:val="001C703B"/>
    <w:rsid w:val="001C74FA"/>
    <w:rsid w:val="001C75DE"/>
    <w:rsid w:val="001C7AB2"/>
    <w:rsid w:val="001D0327"/>
    <w:rsid w:val="001D05C5"/>
    <w:rsid w:val="001D188B"/>
    <w:rsid w:val="001D1B97"/>
    <w:rsid w:val="001D207D"/>
    <w:rsid w:val="001D2740"/>
    <w:rsid w:val="001D27D2"/>
    <w:rsid w:val="001D2D1E"/>
    <w:rsid w:val="001D2E73"/>
    <w:rsid w:val="001D2EC7"/>
    <w:rsid w:val="001D3579"/>
    <w:rsid w:val="001D38FD"/>
    <w:rsid w:val="001D3CEA"/>
    <w:rsid w:val="001D428E"/>
    <w:rsid w:val="001D44FD"/>
    <w:rsid w:val="001D47F1"/>
    <w:rsid w:val="001D4C04"/>
    <w:rsid w:val="001D5077"/>
    <w:rsid w:val="001D5E27"/>
    <w:rsid w:val="001D62A4"/>
    <w:rsid w:val="001D65A3"/>
    <w:rsid w:val="001D6B44"/>
    <w:rsid w:val="001D6C02"/>
    <w:rsid w:val="001D6D73"/>
    <w:rsid w:val="001D7C0B"/>
    <w:rsid w:val="001E051D"/>
    <w:rsid w:val="001E0A53"/>
    <w:rsid w:val="001E0B03"/>
    <w:rsid w:val="001E0D1D"/>
    <w:rsid w:val="001E14AC"/>
    <w:rsid w:val="001E17CA"/>
    <w:rsid w:val="001E183F"/>
    <w:rsid w:val="001E2038"/>
    <w:rsid w:val="001E25F4"/>
    <w:rsid w:val="001E2968"/>
    <w:rsid w:val="001E2BE0"/>
    <w:rsid w:val="001E2DC6"/>
    <w:rsid w:val="001E314A"/>
    <w:rsid w:val="001E3A04"/>
    <w:rsid w:val="001E3A0E"/>
    <w:rsid w:val="001E4DEA"/>
    <w:rsid w:val="001E5637"/>
    <w:rsid w:val="001E5663"/>
    <w:rsid w:val="001E5928"/>
    <w:rsid w:val="001E5AB6"/>
    <w:rsid w:val="001E5BC4"/>
    <w:rsid w:val="001E5FF1"/>
    <w:rsid w:val="001E64AD"/>
    <w:rsid w:val="001E710E"/>
    <w:rsid w:val="001E724C"/>
    <w:rsid w:val="001E75CE"/>
    <w:rsid w:val="001E7AAF"/>
    <w:rsid w:val="001F0517"/>
    <w:rsid w:val="001F05C6"/>
    <w:rsid w:val="001F1346"/>
    <w:rsid w:val="001F1FE6"/>
    <w:rsid w:val="001F2A1B"/>
    <w:rsid w:val="001F2CC6"/>
    <w:rsid w:val="001F2D70"/>
    <w:rsid w:val="001F2DC0"/>
    <w:rsid w:val="001F310E"/>
    <w:rsid w:val="001F32A2"/>
    <w:rsid w:val="001F356D"/>
    <w:rsid w:val="001F358B"/>
    <w:rsid w:val="001F3D3A"/>
    <w:rsid w:val="001F3F10"/>
    <w:rsid w:val="001F423C"/>
    <w:rsid w:val="001F4345"/>
    <w:rsid w:val="001F49BD"/>
    <w:rsid w:val="001F4CB0"/>
    <w:rsid w:val="001F4E79"/>
    <w:rsid w:val="001F4F29"/>
    <w:rsid w:val="001F506E"/>
    <w:rsid w:val="001F5552"/>
    <w:rsid w:val="001F58BD"/>
    <w:rsid w:val="001F65DD"/>
    <w:rsid w:val="001F6D49"/>
    <w:rsid w:val="001F6F25"/>
    <w:rsid w:val="001F71A3"/>
    <w:rsid w:val="001F77BD"/>
    <w:rsid w:val="001F7BC6"/>
    <w:rsid w:val="0020007E"/>
    <w:rsid w:val="00200222"/>
    <w:rsid w:val="00201129"/>
    <w:rsid w:val="0020125A"/>
    <w:rsid w:val="00201328"/>
    <w:rsid w:val="002025C8"/>
    <w:rsid w:val="00202603"/>
    <w:rsid w:val="00202803"/>
    <w:rsid w:val="002028EA"/>
    <w:rsid w:val="00202AE0"/>
    <w:rsid w:val="00203691"/>
    <w:rsid w:val="0020380F"/>
    <w:rsid w:val="00203847"/>
    <w:rsid w:val="002038CB"/>
    <w:rsid w:val="00203B79"/>
    <w:rsid w:val="00203D01"/>
    <w:rsid w:val="0020414D"/>
    <w:rsid w:val="0020455E"/>
    <w:rsid w:val="00204578"/>
    <w:rsid w:val="0020478C"/>
    <w:rsid w:val="00204822"/>
    <w:rsid w:val="00204BFE"/>
    <w:rsid w:val="00205220"/>
    <w:rsid w:val="00205329"/>
    <w:rsid w:val="00205879"/>
    <w:rsid w:val="00205C75"/>
    <w:rsid w:val="00205E39"/>
    <w:rsid w:val="00205F9C"/>
    <w:rsid w:val="0020641E"/>
    <w:rsid w:val="00206A32"/>
    <w:rsid w:val="00206A6C"/>
    <w:rsid w:val="00206D9E"/>
    <w:rsid w:val="00206DC4"/>
    <w:rsid w:val="002078DE"/>
    <w:rsid w:val="00210516"/>
    <w:rsid w:val="002105E5"/>
    <w:rsid w:val="00210765"/>
    <w:rsid w:val="00210B4C"/>
    <w:rsid w:val="002117D6"/>
    <w:rsid w:val="00211855"/>
    <w:rsid w:val="00211B05"/>
    <w:rsid w:val="00211B9A"/>
    <w:rsid w:val="002122AE"/>
    <w:rsid w:val="00212CDE"/>
    <w:rsid w:val="00212CF4"/>
    <w:rsid w:val="002135AE"/>
    <w:rsid w:val="00213738"/>
    <w:rsid w:val="00213C43"/>
    <w:rsid w:val="0021414A"/>
    <w:rsid w:val="00214271"/>
    <w:rsid w:val="002143D5"/>
    <w:rsid w:val="00214A3F"/>
    <w:rsid w:val="002151F3"/>
    <w:rsid w:val="00215620"/>
    <w:rsid w:val="00216CDC"/>
    <w:rsid w:val="00216E85"/>
    <w:rsid w:val="00217C54"/>
    <w:rsid w:val="00217DE7"/>
    <w:rsid w:val="00217EF6"/>
    <w:rsid w:val="0022001D"/>
    <w:rsid w:val="00221031"/>
    <w:rsid w:val="00221AEE"/>
    <w:rsid w:val="00222214"/>
    <w:rsid w:val="00222642"/>
    <w:rsid w:val="00223EDC"/>
    <w:rsid w:val="002246D4"/>
    <w:rsid w:val="0022482A"/>
    <w:rsid w:val="00224C82"/>
    <w:rsid w:val="0022500F"/>
    <w:rsid w:val="002251E7"/>
    <w:rsid w:val="00226423"/>
    <w:rsid w:val="0022698A"/>
    <w:rsid w:val="00226EF9"/>
    <w:rsid w:val="002274D1"/>
    <w:rsid w:val="00227989"/>
    <w:rsid w:val="002306AC"/>
    <w:rsid w:val="00230836"/>
    <w:rsid w:val="00230B78"/>
    <w:rsid w:val="0023112B"/>
    <w:rsid w:val="00232BED"/>
    <w:rsid w:val="00232FE3"/>
    <w:rsid w:val="002331F8"/>
    <w:rsid w:val="00233773"/>
    <w:rsid w:val="00233CCC"/>
    <w:rsid w:val="0023454C"/>
    <w:rsid w:val="00234AAD"/>
    <w:rsid w:val="00235197"/>
    <w:rsid w:val="00235300"/>
    <w:rsid w:val="00235E96"/>
    <w:rsid w:val="0023611A"/>
    <w:rsid w:val="002371E7"/>
    <w:rsid w:val="0024073D"/>
    <w:rsid w:val="00240992"/>
    <w:rsid w:val="00240EEF"/>
    <w:rsid w:val="0024171C"/>
    <w:rsid w:val="002419AC"/>
    <w:rsid w:val="00241B92"/>
    <w:rsid w:val="00242560"/>
    <w:rsid w:val="0024286E"/>
    <w:rsid w:val="00242C7A"/>
    <w:rsid w:val="00242D11"/>
    <w:rsid w:val="0024320D"/>
    <w:rsid w:val="002434B6"/>
    <w:rsid w:val="00243C68"/>
    <w:rsid w:val="00243FCB"/>
    <w:rsid w:val="0024436D"/>
    <w:rsid w:val="00244469"/>
    <w:rsid w:val="00244961"/>
    <w:rsid w:val="0024506F"/>
    <w:rsid w:val="00245C94"/>
    <w:rsid w:val="00245D11"/>
    <w:rsid w:val="00245D30"/>
    <w:rsid w:val="00246075"/>
    <w:rsid w:val="0024672A"/>
    <w:rsid w:val="002474FD"/>
    <w:rsid w:val="00247710"/>
    <w:rsid w:val="00247776"/>
    <w:rsid w:val="00247C91"/>
    <w:rsid w:val="00247F6F"/>
    <w:rsid w:val="00250137"/>
    <w:rsid w:val="00250305"/>
    <w:rsid w:val="00250685"/>
    <w:rsid w:val="00250AD1"/>
    <w:rsid w:val="002510A7"/>
    <w:rsid w:val="002512F9"/>
    <w:rsid w:val="00251DE0"/>
    <w:rsid w:val="00252478"/>
    <w:rsid w:val="00252544"/>
    <w:rsid w:val="00252673"/>
    <w:rsid w:val="00252C48"/>
    <w:rsid w:val="00252C9C"/>
    <w:rsid w:val="0025481A"/>
    <w:rsid w:val="0025516C"/>
    <w:rsid w:val="00255567"/>
    <w:rsid w:val="00255669"/>
    <w:rsid w:val="00255940"/>
    <w:rsid w:val="00256496"/>
    <w:rsid w:val="002565C6"/>
    <w:rsid w:val="002568BD"/>
    <w:rsid w:val="002568BF"/>
    <w:rsid w:val="002569DB"/>
    <w:rsid w:val="00256AFD"/>
    <w:rsid w:val="00257655"/>
    <w:rsid w:val="0026009B"/>
    <w:rsid w:val="00260101"/>
    <w:rsid w:val="00260267"/>
    <w:rsid w:val="002604A0"/>
    <w:rsid w:val="002606AF"/>
    <w:rsid w:val="00260F06"/>
    <w:rsid w:val="002621C1"/>
    <w:rsid w:val="00262443"/>
    <w:rsid w:val="00262DF3"/>
    <w:rsid w:val="00262EFC"/>
    <w:rsid w:val="00263AA8"/>
    <w:rsid w:val="00263CA8"/>
    <w:rsid w:val="00263D0E"/>
    <w:rsid w:val="00263D4C"/>
    <w:rsid w:val="00263F2F"/>
    <w:rsid w:val="00263F41"/>
    <w:rsid w:val="00264188"/>
    <w:rsid w:val="00264273"/>
    <w:rsid w:val="0026427E"/>
    <w:rsid w:val="00264622"/>
    <w:rsid w:val="00264789"/>
    <w:rsid w:val="002652D4"/>
    <w:rsid w:val="002656E5"/>
    <w:rsid w:val="00265B14"/>
    <w:rsid w:val="00266457"/>
    <w:rsid w:val="0026657B"/>
    <w:rsid w:val="00266761"/>
    <w:rsid w:val="00266DAD"/>
    <w:rsid w:val="00267153"/>
    <w:rsid w:val="00267AC7"/>
    <w:rsid w:val="00267D7C"/>
    <w:rsid w:val="002707CC"/>
    <w:rsid w:val="0027082A"/>
    <w:rsid w:val="00270CC6"/>
    <w:rsid w:val="002710A8"/>
    <w:rsid w:val="00271316"/>
    <w:rsid w:val="0027146B"/>
    <w:rsid w:val="00271470"/>
    <w:rsid w:val="002716FA"/>
    <w:rsid w:val="00271A87"/>
    <w:rsid w:val="002724C0"/>
    <w:rsid w:val="0027260C"/>
    <w:rsid w:val="00272646"/>
    <w:rsid w:val="00272B81"/>
    <w:rsid w:val="00272C0B"/>
    <w:rsid w:val="002735DD"/>
    <w:rsid w:val="002736E0"/>
    <w:rsid w:val="002744D1"/>
    <w:rsid w:val="002747C6"/>
    <w:rsid w:val="00275D36"/>
    <w:rsid w:val="00275F3F"/>
    <w:rsid w:val="00276086"/>
    <w:rsid w:val="00276194"/>
    <w:rsid w:val="0027630A"/>
    <w:rsid w:val="0027638C"/>
    <w:rsid w:val="00276740"/>
    <w:rsid w:val="002773E0"/>
    <w:rsid w:val="002774BD"/>
    <w:rsid w:val="00277A42"/>
    <w:rsid w:val="00280BE6"/>
    <w:rsid w:val="00281232"/>
    <w:rsid w:val="00281602"/>
    <w:rsid w:val="002818C3"/>
    <w:rsid w:val="002819E1"/>
    <w:rsid w:val="00282016"/>
    <w:rsid w:val="00282B87"/>
    <w:rsid w:val="00282C40"/>
    <w:rsid w:val="00282DAB"/>
    <w:rsid w:val="002834C0"/>
    <w:rsid w:val="00283899"/>
    <w:rsid w:val="002839BF"/>
    <w:rsid w:val="00283AA5"/>
    <w:rsid w:val="00283E8F"/>
    <w:rsid w:val="00283F15"/>
    <w:rsid w:val="002843A1"/>
    <w:rsid w:val="00284AE0"/>
    <w:rsid w:val="00284BD8"/>
    <w:rsid w:val="00285712"/>
    <w:rsid w:val="00285BAB"/>
    <w:rsid w:val="00285BD4"/>
    <w:rsid w:val="00285DD7"/>
    <w:rsid w:val="00286160"/>
    <w:rsid w:val="002868BD"/>
    <w:rsid w:val="00287064"/>
    <w:rsid w:val="002870F0"/>
    <w:rsid w:val="00287166"/>
    <w:rsid w:val="002871BB"/>
    <w:rsid w:val="0028736B"/>
    <w:rsid w:val="00287615"/>
    <w:rsid w:val="00287B2C"/>
    <w:rsid w:val="00287E83"/>
    <w:rsid w:val="0029078F"/>
    <w:rsid w:val="0029086D"/>
    <w:rsid w:val="00290A51"/>
    <w:rsid w:val="00291063"/>
    <w:rsid w:val="00291293"/>
    <w:rsid w:val="00291308"/>
    <w:rsid w:val="00291612"/>
    <w:rsid w:val="00291A89"/>
    <w:rsid w:val="00291B8F"/>
    <w:rsid w:val="002923A7"/>
    <w:rsid w:val="00292A10"/>
    <w:rsid w:val="00293148"/>
    <w:rsid w:val="00294330"/>
    <w:rsid w:val="002945A3"/>
    <w:rsid w:val="00294916"/>
    <w:rsid w:val="00295957"/>
    <w:rsid w:val="00295ADB"/>
    <w:rsid w:val="00295D10"/>
    <w:rsid w:val="00296565"/>
    <w:rsid w:val="00297284"/>
    <w:rsid w:val="002977C8"/>
    <w:rsid w:val="002A042D"/>
    <w:rsid w:val="002A09AB"/>
    <w:rsid w:val="002A0CD1"/>
    <w:rsid w:val="002A15B6"/>
    <w:rsid w:val="002A1CBF"/>
    <w:rsid w:val="002A1D22"/>
    <w:rsid w:val="002A2585"/>
    <w:rsid w:val="002A2D35"/>
    <w:rsid w:val="002A308B"/>
    <w:rsid w:val="002A324C"/>
    <w:rsid w:val="002A365D"/>
    <w:rsid w:val="002A3C62"/>
    <w:rsid w:val="002A3EE7"/>
    <w:rsid w:val="002A45EE"/>
    <w:rsid w:val="002A49C6"/>
    <w:rsid w:val="002A4CF7"/>
    <w:rsid w:val="002A572F"/>
    <w:rsid w:val="002A57E2"/>
    <w:rsid w:val="002A633A"/>
    <w:rsid w:val="002A63B0"/>
    <w:rsid w:val="002A7213"/>
    <w:rsid w:val="002A72C4"/>
    <w:rsid w:val="002A79B7"/>
    <w:rsid w:val="002A7A37"/>
    <w:rsid w:val="002B0056"/>
    <w:rsid w:val="002B0502"/>
    <w:rsid w:val="002B0DB6"/>
    <w:rsid w:val="002B1815"/>
    <w:rsid w:val="002B204B"/>
    <w:rsid w:val="002B21C6"/>
    <w:rsid w:val="002B2296"/>
    <w:rsid w:val="002B2368"/>
    <w:rsid w:val="002B2387"/>
    <w:rsid w:val="002B2475"/>
    <w:rsid w:val="002B28EA"/>
    <w:rsid w:val="002B2F21"/>
    <w:rsid w:val="002B31BF"/>
    <w:rsid w:val="002B328D"/>
    <w:rsid w:val="002B382F"/>
    <w:rsid w:val="002B384F"/>
    <w:rsid w:val="002B3A4B"/>
    <w:rsid w:val="002B406A"/>
    <w:rsid w:val="002B41E3"/>
    <w:rsid w:val="002B4BDB"/>
    <w:rsid w:val="002B4D06"/>
    <w:rsid w:val="002B4F10"/>
    <w:rsid w:val="002B50A6"/>
    <w:rsid w:val="002B516A"/>
    <w:rsid w:val="002B5312"/>
    <w:rsid w:val="002B5383"/>
    <w:rsid w:val="002B556D"/>
    <w:rsid w:val="002B5732"/>
    <w:rsid w:val="002B5871"/>
    <w:rsid w:val="002B5D66"/>
    <w:rsid w:val="002B5F5C"/>
    <w:rsid w:val="002B60BF"/>
    <w:rsid w:val="002B62AF"/>
    <w:rsid w:val="002B679D"/>
    <w:rsid w:val="002B6AB2"/>
    <w:rsid w:val="002B71AB"/>
    <w:rsid w:val="002B74DC"/>
    <w:rsid w:val="002B7565"/>
    <w:rsid w:val="002B77E4"/>
    <w:rsid w:val="002B7B60"/>
    <w:rsid w:val="002C07DB"/>
    <w:rsid w:val="002C162E"/>
    <w:rsid w:val="002C1BC8"/>
    <w:rsid w:val="002C1F7D"/>
    <w:rsid w:val="002C29AE"/>
    <w:rsid w:val="002C34C3"/>
    <w:rsid w:val="002C3B55"/>
    <w:rsid w:val="002C40D7"/>
    <w:rsid w:val="002C47A8"/>
    <w:rsid w:val="002C47F3"/>
    <w:rsid w:val="002C4F16"/>
    <w:rsid w:val="002C5275"/>
    <w:rsid w:val="002C5C97"/>
    <w:rsid w:val="002C5DF5"/>
    <w:rsid w:val="002C698F"/>
    <w:rsid w:val="002C6B16"/>
    <w:rsid w:val="002C6C2D"/>
    <w:rsid w:val="002C7367"/>
    <w:rsid w:val="002C74C7"/>
    <w:rsid w:val="002D0E3A"/>
    <w:rsid w:val="002D12F4"/>
    <w:rsid w:val="002D16CF"/>
    <w:rsid w:val="002D1F9B"/>
    <w:rsid w:val="002D2120"/>
    <w:rsid w:val="002D3058"/>
    <w:rsid w:val="002D30B8"/>
    <w:rsid w:val="002D35E7"/>
    <w:rsid w:val="002D366D"/>
    <w:rsid w:val="002D36D5"/>
    <w:rsid w:val="002D3F79"/>
    <w:rsid w:val="002D4D0C"/>
    <w:rsid w:val="002D4DA2"/>
    <w:rsid w:val="002D5018"/>
    <w:rsid w:val="002D5826"/>
    <w:rsid w:val="002D5CCC"/>
    <w:rsid w:val="002D601C"/>
    <w:rsid w:val="002D6747"/>
    <w:rsid w:val="002D760F"/>
    <w:rsid w:val="002D7DB5"/>
    <w:rsid w:val="002D7F37"/>
    <w:rsid w:val="002E023F"/>
    <w:rsid w:val="002E059D"/>
    <w:rsid w:val="002E06F6"/>
    <w:rsid w:val="002E0CA7"/>
    <w:rsid w:val="002E1873"/>
    <w:rsid w:val="002E1A04"/>
    <w:rsid w:val="002E1B58"/>
    <w:rsid w:val="002E27AA"/>
    <w:rsid w:val="002E2B00"/>
    <w:rsid w:val="002E2B04"/>
    <w:rsid w:val="002E35B2"/>
    <w:rsid w:val="002E4692"/>
    <w:rsid w:val="002E4F12"/>
    <w:rsid w:val="002E50BC"/>
    <w:rsid w:val="002E515D"/>
    <w:rsid w:val="002E540B"/>
    <w:rsid w:val="002E5435"/>
    <w:rsid w:val="002E58E3"/>
    <w:rsid w:val="002E5971"/>
    <w:rsid w:val="002E5ADC"/>
    <w:rsid w:val="002E5EFA"/>
    <w:rsid w:val="002E6376"/>
    <w:rsid w:val="002E6558"/>
    <w:rsid w:val="002E6AA0"/>
    <w:rsid w:val="002E6AE8"/>
    <w:rsid w:val="002E6CDB"/>
    <w:rsid w:val="002E6E92"/>
    <w:rsid w:val="002E7006"/>
    <w:rsid w:val="002E7159"/>
    <w:rsid w:val="002E71A9"/>
    <w:rsid w:val="002E71CD"/>
    <w:rsid w:val="002E721F"/>
    <w:rsid w:val="002E75F8"/>
    <w:rsid w:val="002F01D6"/>
    <w:rsid w:val="002F061D"/>
    <w:rsid w:val="002F07C6"/>
    <w:rsid w:val="002F0C36"/>
    <w:rsid w:val="002F1CEF"/>
    <w:rsid w:val="002F1FF4"/>
    <w:rsid w:val="002F21AE"/>
    <w:rsid w:val="002F2505"/>
    <w:rsid w:val="002F2C78"/>
    <w:rsid w:val="002F301B"/>
    <w:rsid w:val="002F31E7"/>
    <w:rsid w:val="002F34F8"/>
    <w:rsid w:val="002F3722"/>
    <w:rsid w:val="002F3CB9"/>
    <w:rsid w:val="002F3E6B"/>
    <w:rsid w:val="002F426A"/>
    <w:rsid w:val="002F4C27"/>
    <w:rsid w:val="002F4E6F"/>
    <w:rsid w:val="002F548B"/>
    <w:rsid w:val="002F54D6"/>
    <w:rsid w:val="002F5676"/>
    <w:rsid w:val="002F581B"/>
    <w:rsid w:val="002F629D"/>
    <w:rsid w:val="002F6896"/>
    <w:rsid w:val="002F73B9"/>
    <w:rsid w:val="002F77A1"/>
    <w:rsid w:val="002F7B0D"/>
    <w:rsid w:val="002F7BCC"/>
    <w:rsid w:val="002F7D33"/>
    <w:rsid w:val="003000BB"/>
    <w:rsid w:val="003000E0"/>
    <w:rsid w:val="003007AA"/>
    <w:rsid w:val="00300BD7"/>
    <w:rsid w:val="00300BE4"/>
    <w:rsid w:val="00300D6F"/>
    <w:rsid w:val="00300DC4"/>
    <w:rsid w:val="003010F1"/>
    <w:rsid w:val="0030196A"/>
    <w:rsid w:val="003022F1"/>
    <w:rsid w:val="003024A9"/>
    <w:rsid w:val="00302815"/>
    <w:rsid w:val="00302AA3"/>
    <w:rsid w:val="00303779"/>
    <w:rsid w:val="00303DAA"/>
    <w:rsid w:val="00303E44"/>
    <w:rsid w:val="003045C0"/>
    <w:rsid w:val="0030490D"/>
    <w:rsid w:val="00304A41"/>
    <w:rsid w:val="00305105"/>
    <w:rsid w:val="003051C7"/>
    <w:rsid w:val="003054B7"/>
    <w:rsid w:val="003057E5"/>
    <w:rsid w:val="00305B6E"/>
    <w:rsid w:val="00305BC5"/>
    <w:rsid w:val="00305F90"/>
    <w:rsid w:val="003063B5"/>
    <w:rsid w:val="0030657C"/>
    <w:rsid w:val="00306B64"/>
    <w:rsid w:val="00306BC5"/>
    <w:rsid w:val="00306D91"/>
    <w:rsid w:val="0030759E"/>
    <w:rsid w:val="00307A10"/>
    <w:rsid w:val="00307CB0"/>
    <w:rsid w:val="003100DC"/>
    <w:rsid w:val="0031029F"/>
    <w:rsid w:val="00310504"/>
    <w:rsid w:val="003105CF"/>
    <w:rsid w:val="003108AC"/>
    <w:rsid w:val="00310FFC"/>
    <w:rsid w:val="00311604"/>
    <w:rsid w:val="003118F8"/>
    <w:rsid w:val="00311C85"/>
    <w:rsid w:val="00312310"/>
    <w:rsid w:val="00312839"/>
    <w:rsid w:val="00312A16"/>
    <w:rsid w:val="00313223"/>
    <w:rsid w:val="00313758"/>
    <w:rsid w:val="0031378C"/>
    <w:rsid w:val="003138A8"/>
    <w:rsid w:val="00314198"/>
    <w:rsid w:val="00314303"/>
    <w:rsid w:val="00314541"/>
    <w:rsid w:val="003145E1"/>
    <w:rsid w:val="0031467D"/>
    <w:rsid w:val="00314ECA"/>
    <w:rsid w:val="003156B5"/>
    <w:rsid w:val="0031576E"/>
    <w:rsid w:val="00315A11"/>
    <w:rsid w:val="003164D3"/>
    <w:rsid w:val="0031686B"/>
    <w:rsid w:val="003169A2"/>
    <w:rsid w:val="00316AED"/>
    <w:rsid w:val="003173D6"/>
    <w:rsid w:val="0031742B"/>
    <w:rsid w:val="0031787E"/>
    <w:rsid w:val="00320C80"/>
    <w:rsid w:val="00320E20"/>
    <w:rsid w:val="00321690"/>
    <w:rsid w:val="00322185"/>
    <w:rsid w:val="00322331"/>
    <w:rsid w:val="00322859"/>
    <w:rsid w:val="00322EE8"/>
    <w:rsid w:val="00323467"/>
    <w:rsid w:val="0032442D"/>
    <w:rsid w:val="00324C8B"/>
    <w:rsid w:val="00325689"/>
    <w:rsid w:val="00326534"/>
    <w:rsid w:val="003269FA"/>
    <w:rsid w:val="00326B01"/>
    <w:rsid w:val="00326D15"/>
    <w:rsid w:val="00327876"/>
    <w:rsid w:val="00327C28"/>
    <w:rsid w:val="003307C2"/>
    <w:rsid w:val="00330936"/>
    <w:rsid w:val="003313F6"/>
    <w:rsid w:val="0033151D"/>
    <w:rsid w:val="00331941"/>
    <w:rsid w:val="00332072"/>
    <w:rsid w:val="003320DC"/>
    <w:rsid w:val="0033295A"/>
    <w:rsid w:val="003329C9"/>
    <w:rsid w:val="003332DB"/>
    <w:rsid w:val="00333405"/>
    <w:rsid w:val="00333567"/>
    <w:rsid w:val="00333B8C"/>
    <w:rsid w:val="00333CFE"/>
    <w:rsid w:val="0033458A"/>
    <w:rsid w:val="0033478B"/>
    <w:rsid w:val="003349D1"/>
    <w:rsid w:val="00334D5E"/>
    <w:rsid w:val="003351F5"/>
    <w:rsid w:val="0033543B"/>
    <w:rsid w:val="00335C04"/>
    <w:rsid w:val="0033621E"/>
    <w:rsid w:val="0033674C"/>
    <w:rsid w:val="00336883"/>
    <w:rsid w:val="00336A6E"/>
    <w:rsid w:val="00337149"/>
    <w:rsid w:val="00337175"/>
    <w:rsid w:val="00337388"/>
    <w:rsid w:val="00337391"/>
    <w:rsid w:val="0033760F"/>
    <w:rsid w:val="003400A4"/>
    <w:rsid w:val="0034077A"/>
    <w:rsid w:val="00340873"/>
    <w:rsid w:val="003409C6"/>
    <w:rsid w:val="00340BD2"/>
    <w:rsid w:val="00340DEB"/>
    <w:rsid w:val="00341220"/>
    <w:rsid w:val="00341501"/>
    <w:rsid w:val="00341813"/>
    <w:rsid w:val="00341D6D"/>
    <w:rsid w:val="00341E2B"/>
    <w:rsid w:val="0034222F"/>
    <w:rsid w:val="003423DA"/>
    <w:rsid w:val="00342882"/>
    <w:rsid w:val="00343092"/>
    <w:rsid w:val="0034351F"/>
    <w:rsid w:val="0034366E"/>
    <w:rsid w:val="00343FB6"/>
    <w:rsid w:val="0034421E"/>
    <w:rsid w:val="003446E8"/>
    <w:rsid w:val="00344796"/>
    <w:rsid w:val="00345084"/>
    <w:rsid w:val="00345227"/>
    <w:rsid w:val="003455AA"/>
    <w:rsid w:val="00345864"/>
    <w:rsid w:val="0034663D"/>
    <w:rsid w:val="003469A3"/>
    <w:rsid w:val="00346D74"/>
    <w:rsid w:val="0034708F"/>
    <w:rsid w:val="00347400"/>
    <w:rsid w:val="00347580"/>
    <w:rsid w:val="00347753"/>
    <w:rsid w:val="003502AF"/>
    <w:rsid w:val="00350E5E"/>
    <w:rsid w:val="00350FEE"/>
    <w:rsid w:val="00351172"/>
    <w:rsid w:val="003512F4"/>
    <w:rsid w:val="00351984"/>
    <w:rsid w:val="00351C78"/>
    <w:rsid w:val="00351D6B"/>
    <w:rsid w:val="00351E39"/>
    <w:rsid w:val="00351EAC"/>
    <w:rsid w:val="003524EF"/>
    <w:rsid w:val="00352B9E"/>
    <w:rsid w:val="00353130"/>
    <w:rsid w:val="00353964"/>
    <w:rsid w:val="00353BD7"/>
    <w:rsid w:val="00353F19"/>
    <w:rsid w:val="003542FA"/>
    <w:rsid w:val="003546B1"/>
    <w:rsid w:val="00354D65"/>
    <w:rsid w:val="003551DA"/>
    <w:rsid w:val="003554B0"/>
    <w:rsid w:val="003565F0"/>
    <w:rsid w:val="00356FE3"/>
    <w:rsid w:val="00356FFA"/>
    <w:rsid w:val="0035713C"/>
    <w:rsid w:val="003572F8"/>
    <w:rsid w:val="00357440"/>
    <w:rsid w:val="00357C4E"/>
    <w:rsid w:val="00360357"/>
    <w:rsid w:val="00360B3C"/>
    <w:rsid w:val="00360E12"/>
    <w:rsid w:val="00360FA7"/>
    <w:rsid w:val="00361173"/>
    <w:rsid w:val="0036140C"/>
    <w:rsid w:val="0036194D"/>
    <w:rsid w:val="00362236"/>
    <w:rsid w:val="00362B24"/>
    <w:rsid w:val="00362BAF"/>
    <w:rsid w:val="003637E0"/>
    <w:rsid w:val="00363CD2"/>
    <w:rsid w:val="003640CC"/>
    <w:rsid w:val="00364772"/>
    <w:rsid w:val="00364C5B"/>
    <w:rsid w:val="00364C9D"/>
    <w:rsid w:val="00364D04"/>
    <w:rsid w:val="00364D8C"/>
    <w:rsid w:val="00364F0F"/>
    <w:rsid w:val="00365214"/>
    <w:rsid w:val="00365D16"/>
    <w:rsid w:val="00365EBE"/>
    <w:rsid w:val="0036637C"/>
    <w:rsid w:val="0036665E"/>
    <w:rsid w:val="003667E2"/>
    <w:rsid w:val="00367399"/>
    <w:rsid w:val="00367681"/>
    <w:rsid w:val="00367F70"/>
    <w:rsid w:val="003706E6"/>
    <w:rsid w:val="003707F6"/>
    <w:rsid w:val="00370811"/>
    <w:rsid w:val="00370934"/>
    <w:rsid w:val="00370989"/>
    <w:rsid w:val="00370C9D"/>
    <w:rsid w:val="00370D8D"/>
    <w:rsid w:val="00371FBE"/>
    <w:rsid w:val="00372740"/>
    <w:rsid w:val="003730EF"/>
    <w:rsid w:val="0037310E"/>
    <w:rsid w:val="0037371D"/>
    <w:rsid w:val="00373833"/>
    <w:rsid w:val="00373ADF"/>
    <w:rsid w:val="00373B77"/>
    <w:rsid w:val="00374244"/>
    <w:rsid w:val="00374880"/>
    <w:rsid w:val="00374C52"/>
    <w:rsid w:val="00374DF6"/>
    <w:rsid w:val="00375260"/>
    <w:rsid w:val="003757FF"/>
    <w:rsid w:val="00375C5D"/>
    <w:rsid w:val="00376076"/>
    <w:rsid w:val="0037630C"/>
    <w:rsid w:val="00376F1F"/>
    <w:rsid w:val="003800A6"/>
    <w:rsid w:val="0038029B"/>
    <w:rsid w:val="0038084B"/>
    <w:rsid w:val="00380D2B"/>
    <w:rsid w:val="00380D45"/>
    <w:rsid w:val="003814FC"/>
    <w:rsid w:val="0038164E"/>
    <w:rsid w:val="0038200D"/>
    <w:rsid w:val="003822B5"/>
    <w:rsid w:val="0038242B"/>
    <w:rsid w:val="003825AE"/>
    <w:rsid w:val="00382A7F"/>
    <w:rsid w:val="00382C28"/>
    <w:rsid w:val="00382FD5"/>
    <w:rsid w:val="003830A2"/>
    <w:rsid w:val="0038320A"/>
    <w:rsid w:val="00383268"/>
    <w:rsid w:val="003835C7"/>
    <w:rsid w:val="003836B3"/>
    <w:rsid w:val="00383BE6"/>
    <w:rsid w:val="003843B4"/>
    <w:rsid w:val="003845AB"/>
    <w:rsid w:val="00384D81"/>
    <w:rsid w:val="00385650"/>
    <w:rsid w:val="003856F3"/>
    <w:rsid w:val="00385B39"/>
    <w:rsid w:val="00385E7D"/>
    <w:rsid w:val="003860FB"/>
    <w:rsid w:val="00386B52"/>
    <w:rsid w:val="00387D68"/>
    <w:rsid w:val="00390374"/>
    <w:rsid w:val="003903FA"/>
    <w:rsid w:val="003905E2"/>
    <w:rsid w:val="00390601"/>
    <w:rsid w:val="00390946"/>
    <w:rsid w:val="003911D4"/>
    <w:rsid w:val="00391B9A"/>
    <w:rsid w:val="00392003"/>
    <w:rsid w:val="003925AE"/>
    <w:rsid w:val="00392781"/>
    <w:rsid w:val="00392B23"/>
    <w:rsid w:val="00392E8E"/>
    <w:rsid w:val="00392F9A"/>
    <w:rsid w:val="003931A8"/>
    <w:rsid w:val="00393388"/>
    <w:rsid w:val="00393692"/>
    <w:rsid w:val="0039374F"/>
    <w:rsid w:val="00393B05"/>
    <w:rsid w:val="00394EBA"/>
    <w:rsid w:val="003951B1"/>
    <w:rsid w:val="003953E5"/>
    <w:rsid w:val="00395894"/>
    <w:rsid w:val="00395AD3"/>
    <w:rsid w:val="00395C3D"/>
    <w:rsid w:val="00395DE8"/>
    <w:rsid w:val="00395F40"/>
    <w:rsid w:val="0039662F"/>
    <w:rsid w:val="003968F5"/>
    <w:rsid w:val="00396B45"/>
    <w:rsid w:val="00396D66"/>
    <w:rsid w:val="00397B5F"/>
    <w:rsid w:val="003A0422"/>
    <w:rsid w:val="003A1162"/>
    <w:rsid w:val="003A1E54"/>
    <w:rsid w:val="003A1FD1"/>
    <w:rsid w:val="003A2164"/>
    <w:rsid w:val="003A22D0"/>
    <w:rsid w:val="003A262F"/>
    <w:rsid w:val="003A364F"/>
    <w:rsid w:val="003A3D70"/>
    <w:rsid w:val="003A461B"/>
    <w:rsid w:val="003A4827"/>
    <w:rsid w:val="003A4AB8"/>
    <w:rsid w:val="003A4D61"/>
    <w:rsid w:val="003A4D85"/>
    <w:rsid w:val="003A5756"/>
    <w:rsid w:val="003A584F"/>
    <w:rsid w:val="003A5C9F"/>
    <w:rsid w:val="003A6578"/>
    <w:rsid w:val="003A7667"/>
    <w:rsid w:val="003A7B99"/>
    <w:rsid w:val="003A7EFE"/>
    <w:rsid w:val="003B08A0"/>
    <w:rsid w:val="003B0B31"/>
    <w:rsid w:val="003B0D80"/>
    <w:rsid w:val="003B2388"/>
    <w:rsid w:val="003B25DD"/>
    <w:rsid w:val="003B271C"/>
    <w:rsid w:val="003B2DCD"/>
    <w:rsid w:val="003B3864"/>
    <w:rsid w:val="003B3D33"/>
    <w:rsid w:val="003B413D"/>
    <w:rsid w:val="003B44EB"/>
    <w:rsid w:val="003B4C95"/>
    <w:rsid w:val="003B505B"/>
    <w:rsid w:val="003B5449"/>
    <w:rsid w:val="003B5575"/>
    <w:rsid w:val="003B55D3"/>
    <w:rsid w:val="003B5CAC"/>
    <w:rsid w:val="003B5DF3"/>
    <w:rsid w:val="003B606A"/>
    <w:rsid w:val="003B608D"/>
    <w:rsid w:val="003B612C"/>
    <w:rsid w:val="003B628D"/>
    <w:rsid w:val="003B6B20"/>
    <w:rsid w:val="003B72AC"/>
    <w:rsid w:val="003B75AA"/>
    <w:rsid w:val="003B7829"/>
    <w:rsid w:val="003B78D8"/>
    <w:rsid w:val="003B7E1D"/>
    <w:rsid w:val="003C06B5"/>
    <w:rsid w:val="003C10E4"/>
    <w:rsid w:val="003C1103"/>
    <w:rsid w:val="003C1827"/>
    <w:rsid w:val="003C1B02"/>
    <w:rsid w:val="003C1DEC"/>
    <w:rsid w:val="003C1E8F"/>
    <w:rsid w:val="003C211A"/>
    <w:rsid w:val="003C269B"/>
    <w:rsid w:val="003C2F79"/>
    <w:rsid w:val="003C320F"/>
    <w:rsid w:val="003C3263"/>
    <w:rsid w:val="003C3BF2"/>
    <w:rsid w:val="003C3E6E"/>
    <w:rsid w:val="003C4096"/>
    <w:rsid w:val="003C48D5"/>
    <w:rsid w:val="003C4974"/>
    <w:rsid w:val="003C4AC6"/>
    <w:rsid w:val="003C4EF0"/>
    <w:rsid w:val="003C517C"/>
    <w:rsid w:val="003C555B"/>
    <w:rsid w:val="003C59C1"/>
    <w:rsid w:val="003C6103"/>
    <w:rsid w:val="003C6986"/>
    <w:rsid w:val="003C6CD0"/>
    <w:rsid w:val="003C713D"/>
    <w:rsid w:val="003C7202"/>
    <w:rsid w:val="003C72CA"/>
    <w:rsid w:val="003C7F5F"/>
    <w:rsid w:val="003D002C"/>
    <w:rsid w:val="003D0975"/>
    <w:rsid w:val="003D0976"/>
    <w:rsid w:val="003D0BC6"/>
    <w:rsid w:val="003D0BF7"/>
    <w:rsid w:val="003D0C4A"/>
    <w:rsid w:val="003D1315"/>
    <w:rsid w:val="003D1729"/>
    <w:rsid w:val="003D18A8"/>
    <w:rsid w:val="003D19DC"/>
    <w:rsid w:val="003D1E22"/>
    <w:rsid w:val="003D2074"/>
    <w:rsid w:val="003D22A9"/>
    <w:rsid w:val="003D2834"/>
    <w:rsid w:val="003D2958"/>
    <w:rsid w:val="003D2CB6"/>
    <w:rsid w:val="003D3072"/>
    <w:rsid w:val="003D34F1"/>
    <w:rsid w:val="003D382F"/>
    <w:rsid w:val="003D3F6D"/>
    <w:rsid w:val="003D4B53"/>
    <w:rsid w:val="003D4B7E"/>
    <w:rsid w:val="003D4C3F"/>
    <w:rsid w:val="003D4E93"/>
    <w:rsid w:val="003D4EB0"/>
    <w:rsid w:val="003D5910"/>
    <w:rsid w:val="003D591B"/>
    <w:rsid w:val="003D66EF"/>
    <w:rsid w:val="003D6B8F"/>
    <w:rsid w:val="003D71DB"/>
    <w:rsid w:val="003D77C9"/>
    <w:rsid w:val="003D7D33"/>
    <w:rsid w:val="003E023C"/>
    <w:rsid w:val="003E0380"/>
    <w:rsid w:val="003E055D"/>
    <w:rsid w:val="003E05BC"/>
    <w:rsid w:val="003E0788"/>
    <w:rsid w:val="003E07B5"/>
    <w:rsid w:val="003E07BB"/>
    <w:rsid w:val="003E0C71"/>
    <w:rsid w:val="003E1034"/>
    <w:rsid w:val="003E1740"/>
    <w:rsid w:val="003E1963"/>
    <w:rsid w:val="003E1A52"/>
    <w:rsid w:val="003E1A74"/>
    <w:rsid w:val="003E1C17"/>
    <w:rsid w:val="003E1D0B"/>
    <w:rsid w:val="003E20D5"/>
    <w:rsid w:val="003E210C"/>
    <w:rsid w:val="003E2115"/>
    <w:rsid w:val="003E298C"/>
    <w:rsid w:val="003E2E0C"/>
    <w:rsid w:val="003E3458"/>
    <w:rsid w:val="003E351F"/>
    <w:rsid w:val="003E3B3D"/>
    <w:rsid w:val="003E3D05"/>
    <w:rsid w:val="003E493C"/>
    <w:rsid w:val="003E49E1"/>
    <w:rsid w:val="003E526D"/>
    <w:rsid w:val="003E535A"/>
    <w:rsid w:val="003E54AB"/>
    <w:rsid w:val="003E5941"/>
    <w:rsid w:val="003E5BAB"/>
    <w:rsid w:val="003E5C0A"/>
    <w:rsid w:val="003E5DA2"/>
    <w:rsid w:val="003E6168"/>
    <w:rsid w:val="003E6269"/>
    <w:rsid w:val="003E63BC"/>
    <w:rsid w:val="003E63D1"/>
    <w:rsid w:val="003E64D5"/>
    <w:rsid w:val="003E69BC"/>
    <w:rsid w:val="003E6B74"/>
    <w:rsid w:val="003E72ED"/>
    <w:rsid w:val="003E7350"/>
    <w:rsid w:val="003E74B1"/>
    <w:rsid w:val="003E7643"/>
    <w:rsid w:val="003E764E"/>
    <w:rsid w:val="003E7D1C"/>
    <w:rsid w:val="003F043C"/>
    <w:rsid w:val="003F0548"/>
    <w:rsid w:val="003F0888"/>
    <w:rsid w:val="003F0AC9"/>
    <w:rsid w:val="003F0BC1"/>
    <w:rsid w:val="003F103B"/>
    <w:rsid w:val="003F13BE"/>
    <w:rsid w:val="003F1602"/>
    <w:rsid w:val="003F17F5"/>
    <w:rsid w:val="003F20A8"/>
    <w:rsid w:val="003F23DE"/>
    <w:rsid w:val="003F29DB"/>
    <w:rsid w:val="003F2A97"/>
    <w:rsid w:val="003F2C2F"/>
    <w:rsid w:val="003F2D66"/>
    <w:rsid w:val="003F2D92"/>
    <w:rsid w:val="003F2EE6"/>
    <w:rsid w:val="003F3137"/>
    <w:rsid w:val="003F362A"/>
    <w:rsid w:val="003F398D"/>
    <w:rsid w:val="003F3AC8"/>
    <w:rsid w:val="003F3C6F"/>
    <w:rsid w:val="003F4D3B"/>
    <w:rsid w:val="003F4D47"/>
    <w:rsid w:val="003F4F73"/>
    <w:rsid w:val="003F5148"/>
    <w:rsid w:val="003F5588"/>
    <w:rsid w:val="003F5FBF"/>
    <w:rsid w:val="003F6013"/>
    <w:rsid w:val="003F6035"/>
    <w:rsid w:val="003F644E"/>
    <w:rsid w:val="003F694E"/>
    <w:rsid w:val="003F70AE"/>
    <w:rsid w:val="003F70C9"/>
    <w:rsid w:val="003F71E0"/>
    <w:rsid w:val="004006A3"/>
    <w:rsid w:val="00401717"/>
    <w:rsid w:val="00401E2F"/>
    <w:rsid w:val="00401F7E"/>
    <w:rsid w:val="0040283F"/>
    <w:rsid w:val="00402902"/>
    <w:rsid w:val="004029A3"/>
    <w:rsid w:val="00402C72"/>
    <w:rsid w:val="00402DAA"/>
    <w:rsid w:val="004033D3"/>
    <w:rsid w:val="004035F1"/>
    <w:rsid w:val="00403892"/>
    <w:rsid w:val="00403989"/>
    <w:rsid w:val="00403BD3"/>
    <w:rsid w:val="00404519"/>
    <w:rsid w:val="0040545B"/>
    <w:rsid w:val="00405462"/>
    <w:rsid w:val="004056C5"/>
    <w:rsid w:val="004056DF"/>
    <w:rsid w:val="00405AA5"/>
    <w:rsid w:val="00405ACD"/>
    <w:rsid w:val="00405AF8"/>
    <w:rsid w:val="00405C22"/>
    <w:rsid w:val="00406053"/>
    <w:rsid w:val="00406ACB"/>
    <w:rsid w:val="00407009"/>
    <w:rsid w:val="00407178"/>
    <w:rsid w:val="00407772"/>
    <w:rsid w:val="0040788C"/>
    <w:rsid w:val="00407D67"/>
    <w:rsid w:val="00410190"/>
    <w:rsid w:val="00410642"/>
    <w:rsid w:val="00410D06"/>
    <w:rsid w:val="00411041"/>
    <w:rsid w:val="00411A79"/>
    <w:rsid w:val="00411B77"/>
    <w:rsid w:val="00411C3D"/>
    <w:rsid w:val="004121CD"/>
    <w:rsid w:val="00412330"/>
    <w:rsid w:val="00412369"/>
    <w:rsid w:val="00413065"/>
    <w:rsid w:val="0041306C"/>
    <w:rsid w:val="004131A4"/>
    <w:rsid w:val="0041333F"/>
    <w:rsid w:val="004135A2"/>
    <w:rsid w:val="004137DD"/>
    <w:rsid w:val="004142FD"/>
    <w:rsid w:val="00414599"/>
    <w:rsid w:val="00414D8C"/>
    <w:rsid w:val="00415363"/>
    <w:rsid w:val="00415D83"/>
    <w:rsid w:val="0041642F"/>
    <w:rsid w:val="00416558"/>
    <w:rsid w:val="00416F08"/>
    <w:rsid w:val="00417629"/>
    <w:rsid w:val="004178BA"/>
    <w:rsid w:val="00417EA7"/>
    <w:rsid w:val="00420D17"/>
    <w:rsid w:val="00420E0D"/>
    <w:rsid w:val="004215ED"/>
    <w:rsid w:val="00421E09"/>
    <w:rsid w:val="00422543"/>
    <w:rsid w:val="004225B0"/>
    <w:rsid w:val="00422C2B"/>
    <w:rsid w:val="00423F82"/>
    <w:rsid w:val="00424223"/>
    <w:rsid w:val="00424539"/>
    <w:rsid w:val="00424648"/>
    <w:rsid w:val="00424BA3"/>
    <w:rsid w:val="00424BF4"/>
    <w:rsid w:val="00424D69"/>
    <w:rsid w:val="00425EFC"/>
    <w:rsid w:val="0042673E"/>
    <w:rsid w:val="00426B7B"/>
    <w:rsid w:val="00427103"/>
    <w:rsid w:val="00427515"/>
    <w:rsid w:val="00427D48"/>
    <w:rsid w:val="00427EC2"/>
    <w:rsid w:val="004309B4"/>
    <w:rsid w:val="00430D11"/>
    <w:rsid w:val="004318A4"/>
    <w:rsid w:val="00431F49"/>
    <w:rsid w:val="00432361"/>
    <w:rsid w:val="004324E9"/>
    <w:rsid w:val="004329A2"/>
    <w:rsid w:val="00432B57"/>
    <w:rsid w:val="00432D86"/>
    <w:rsid w:val="0043306A"/>
    <w:rsid w:val="004333DA"/>
    <w:rsid w:val="004344A1"/>
    <w:rsid w:val="0043450C"/>
    <w:rsid w:val="004348CD"/>
    <w:rsid w:val="00435722"/>
    <w:rsid w:val="00435922"/>
    <w:rsid w:val="00435960"/>
    <w:rsid w:val="00436CA8"/>
    <w:rsid w:val="00436E6C"/>
    <w:rsid w:val="0043724F"/>
    <w:rsid w:val="004373A3"/>
    <w:rsid w:val="004373ED"/>
    <w:rsid w:val="004375C7"/>
    <w:rsid w:val="00437EC1"/>
    <w:rsid w:val="00440CE1"/>
    <w:rsid w:val="00440D52"/>
    <w:rsid w:val="00441085"/>
    <w:rsid w:val="0044111E"/>
    <w:rsid w:val="0044167D"/>
    <w:rsid w:val="00441908"/>
    <w:rsid w:val="00441934"/>
    <w:rsid w:val="00441A76"/>
    <w:rsid w:val="00442266"/>
    <w:rsid w:val="00442586"/>
    <w:rsid w:val="00442F96"/>
    <w:rsid w:val="00443628"/>
    <w:rsid w:val="004437FA"/>
    <w:rsid w:val="00444355"/>
    <w:rsid w:val="004449A2"/>
    <w:rsid w:val="004469BD"/>
    <w:rsid w:val="00446D51"/>
    <w:rsid w:val="004472C3"/>
    <w:rsid w:val="004475C4"/>
    <w:rsid w:val="004476E2"/>
    <w:rsid w:val="004477D0"/>
    <w:rsid w:val="0044784E"/>
    <w:rsid w:val="00447A26"/>
    <w:rsid w:val="00447B22"/>
    <w:rsid w:val="00447B91"/>
    <w:rsid w:val="00447DB6"/>
    <w:rsid w:val="00450694"/>
    <w:rsid w:val="00450891"/>
    <w:rsid w:val="00450C2B"/>
    <w:rsid w:val="00450EED"/>
    <w:rsid w:val="0045110B"/>
    <w:rsid w:val="0045128E"/>
    <w:rsid w:val="00451619"/>
    <w:rsid w:val="00451CB4"/>
    <w:rsid w:val="00452163"/>
    <w:rsid w:val="0045218F"/>
    <w:rsid w:val="00452326"/>
    <w:rsid w:val="00452AE9"/>
    <w:rsid w:val="00452C6E"/>
    <w:rsid w:val="00452C8B"/>
    <w:rsid w:val="00452C95"/>
    <w:rsid w:val="00452DBD"/>
    <w:rsid w:val="00453946"/>
    <w:rsid w:val="00453B58"/>
    <w:rsid w:val="0045503F"/>
    <w:rsid w:val="00455E1D"/>
    <w:rsid w:val="0045608C"/>
    <w:rsid w:val="00456290"/>
    <w:rsid w:val="00456936"/>
    <w:rsid w:val="00456A79"/>
    <w:rsid w:val="00457A4D"/>
    <w:rsid w:val="00460029"/>
    <w:rsid w:val="00460064"/>
    <w:rsid w:val="004605F2"/>
    <w:rsid w:val="00460770"/>
    <w:rsid w:val="00461105"/>
    <w:rsid w:val="004612AA"/>
    <w:rsid w:val="004618DF"/>
    <w:rsid w:val="0046251B"/>
    <w:rsid w:val="004629A7"/>
    <w:rsid w:val="00462C59"/>
    <w:rsid w:val="00463DEC"/>
    <w:rsid w:val="00463E48"/>
    <w:rsid w:val="004642F5"/>
    <w:rsid w:val="004646BD"/>
    <w:rsid w:val="00464B33"/>
    <w:rsid w:val="00464D59"/>
    <w:rsid w:val="00464F1B"/>
    <w:rsid w:val="0046519C"/>
    <w:rsid w:val="00465681"/>
    <w:rsid w:val="00465CB0"/>
    <w:rsid w:val="00465CC4"/>
    <w:rsid w:val="00465DB5"/>
    <w:rsid w:val="00465F20"/>
    <w:rsid w:val="00466141"/>
    <w:rsid w:val="00466560"/>
    <w:rsid w:val="004666FC"/>
    <w:rsid w:val="00466809"/>
    <w:rsid w:val="00467109"/>
    <w:rsid w:val="004672A4"/>
    <w:rsid w:val="00467480"/>
    <w:rsid w:val="0046758A"/>
    <w:rsid w:val="0046791E"/>
    <w:rsid w:val="004679CF"/>
    <w:rsid w:val="00467C5E"/>
    <w:rsid w:val="0047062F"/>
    <w:rsid w:val="00470812"/>
    <w:rsid w:val="004711B2"/>
    <w:rsid w:val="004712E6"/>
    <w:rsid w:val="0047148C"/>
    <w:rsid w:val="004718D4"/>
    <w:rsid w:val="00472490"/>
    <w:rsid w:val="00472653"/>
    <w:rsid w:val="00472823"/>
    <w:rsid w:val="00472CE5"/>
    <w:rsid w:val="00472D09"/>
    <w:rsid w:val="00472E67"/>
    <w:rsid w:val="00472E9D"/>
    <w:rsid w:val="004730DE"/>
    <w:rsid w:val="00473898"/>
    <w:rsid w:val="00473AFD"/>
    <w:rsid w:val="00473B25"/>
    <w:rsid w:val="00473B5D"/>
    <w:rsid w:val="00473CCD"/>
    <w:rsid w:val="00473CF5"/>
    <w:rsid w:val="00475143"/>
    <w:rsid w:val="004751F7"/>
    <w:rsid w:val="004752D7"/>
    <w:rsid w:val="00475715"/>
    <w:rsid w:val="00475A8F"/>
    <w:rsid w:val="00476329"/>
    <w:rsid w:val="00476445"/>
    <w:rsid w:val="004767FA"/>
    <w:rsid w:val="00476D37"/>
    <w:rsid w:val="00477570"/>
    <w:rsid w:val="004775A1"/>
    <w:rsid w:val="00477720"/>
    <w:rsid w:val="0048003A"/>
    <w:rsid w:val="00480438"/>
    <w:rsid w:val="00480439"/>
    <w:rsid w:val="004806DB"/>
    <w:rsid w:val="00480FE5"/>
    <w:rsid w:val="004818AF"/>
    <w:rsid w:val="00481CDC"/>
    <w:rsid w:val="00482227"/>
    <w:rsid w:val="004829B3"/>
    <w:rsid w:val="0048310C"/>
    <w:rsid w:val="00483118"/>
    <w:rsid w:val="00483CEF"/>
    <w:rsid w:val="00483F07"/>
    <w:rsid w:val="00483F4C"/>
    <w:rsid w:val="004844F3"/>
    <w:rsid w:val="004847A0"/>
    <w:rsid w:val="00484ABC"/>
    <w:rsid w:val="00484B95"/>
    <w:rsid w:val="004856C2"/>
    <w:rsid w:val="00485934"/>
    <w:rsid w:val="00485992"/>
    <w:rsid w:val="00485A35"/>
    <w:rsid w:val="00485A46"/>
    <w:rsid w:val="004863A3"/>
    <w:rsid w:val="00486D0D"/>
    <w:rsid w:val="00486F5F"/>
    <w:rsid w:val="0048712D"/>
    <w:rsid w:val="00487227"/>
    <w:rsid w:val="00487796"/>
    <w:rsid w:val="00487830"/>
    <w:rsid w:val="00490218"/>
    <w:rsid w:val="00490D1D"/>
    <w:rsid w:val="004912E3"/>
    <w:rsid w:val="004913A2"/>
    <w:rsid w:val="004915F3"/>
    <w:rsid w:val="004918D4"/>
    <w:rsid w:val="00491EA5"/>
    <w:rsid w:val="00491ED4"/>
    <w:rsid w:val="00492136"/>
    <w:rsid w:val="0049228A"/>
    <w:rsid w:val="00493060"/>
    <w:rsid w:val="00493172"/>
    <w:rsid w:val="00493300"/>
    <w:rsid w:val="00493964"/>
    <w:rsid w:val="00494558"/>
    <w:rsid w:val="0049469D"/>
    <w:rsid w:val="004950AA"/>
    <w:rsid w:val="004953D0"/>
    <w:rsid w:val="0049592C"/>
    <w:rsid w:val="00495CC9"/>
    <w:rsid w:val="0049621F"/>
    <w:rsid w:val="004962FA"/>
    <w:rsid w:val="0049652F"/>
    <w:rsid w:val="00496894"/>
    <w:rsid w:val="00496B51"/>
    <w:rsid w:val="00497874"/>
    <w:rsid w:val="00497ECA"/>
    <w:rsid w:val="00497FF1"/>
    <w:rsid w:val="004A0407"/>
    <w:rsid w:val="004A06BA"/>
    <w:rsid w:val="004A081C"/>
    <w:rsid w:val="004A0880"/>
    <w:rsid w:val="004A0CAD"/>
    <w:rsid w:val="004A0DA3"/>
    <w:rsid w:val="004A0EF9"/>
    <w:rsid w:val="004A1659"/>
    <w:rsid w:val="004A17FE"/>
    <w:rsid w:val="004A1CD9"/>
    <w:rsid w:val="004A1F0D"/>
    <w:rsid w:val="004A282D"/>
    <w:rsid w:val="004A2BC7"/>
    <w:rsid w:val="004A3279"/>
    <w:rsid w:val="004A379B"/>
    <w:rsid w:val="004A47D0"/>
    <w:rsid w:val="004A4FFD"/>
    <w:rsid w:val="004A5429"/>
    <w:rsid w:val="004A62F7"/>
    <w:rsid w:val="004A7948"/>
    <w:rsid w:val="004B0417"/>
    <w:rsid w:val="004B07E7"/>
    <w:rsid w:val="004B08A7"/>
    <w:rsid w:val="004B0A7C"/>
    <w:rsid w:val="004B0ACD"/>
    <w:rsid w:val="004B1024"/>
    <w:rsid w:val="004B1222"/>
    <w:rsid w:val="004B12CF"/>
    <w:rsid w:val="004B1406"/>
    <w:rsid w:val="004B1445"/>
    <w:rsid w:val="004B1992"/>
    <w:rsid w:val="004B19AE"/>
    <w:rsid w:val="004B203F"/>
    <w:rsid w:val="004B2201"/>
    <w:rsid w:val="004B25C0"/>
    <w:rsid w:val="004B285F"/>
    <w:rsid w:val="004B288F"/>
    <w:rsid w:val="004B29C7"/>
    <w:rsid w:val="004B2BDB"/>
    <w:rsid w:val="004B364D"/>
    <w:rsid w:val="004B39E0"/>
    <w:rsid w:val="004B3EC6"/>
    <w:rsid w:val="004B4189"/>
    <w:rsid w:val="004B4574"/>
    <w:rsid w:val="004B4DF1"/>
    <w:rsid w:val="004B4E7C"/>
    <w:rsid w:val="004B5228"/>
    <w:rsid w:val="004B595D"/>
    <w:rsid w:val="004B5A45"/>
    <w:rsid w:val="004B68FC"/>
    <w:rsid w:val="004B6985"/>
    <w:rsid w:val="004B6CBF"/>
    <w:rsid w:val="004B6EA0"/>
    <w:rsid w:val="004B7465"/>
    <w:rsid w:val="004B7AF6"/>
    <w:rsid w:val="004C0395"/>
    <w:rsid w:val="004C05A3"/>
    <w:rsid w:val="004C0B59"/>
    <w:rsid w:val="004C1046"/>
    <w:rsid w:val="004C1F0C"/>
    <w:rsid w:val="004C2519"/>
    <w:rsid w:val="004C257F"/>
    <w:rsid w:val="004C28FE"/>
    <w:rsid w:val="004C29FD"/>
    <w:rsid w:val="004C2B26"/>
    <w:rsid w:val="004C3393"/>
    <w:rsid w:val="004C35A5"/>
    <w:rsid w:val="004C3849"/>
    <w:rsid w:val="004C45EE"/>
    <w:rsid w:val="004C4A73"/>
    <w:rsid w:val="004C4CFF"/>
    <w:rsid w:val="004C5513"/>
    <w:rsid w:val="004C6100"/>
    <w:rsid w:val="004C6716"/>
    <w:rsid w:val="004C7862"/>
    <w:rsid w:val="004D01CB"/>
    <w:rsid w:val="004D0BA7"/>
    <w:rsid w:val="004D0D7D"/>
    <w:rsid w:val="004D10B3"/>
    <w:rsid w:val="004D1EA0"/>
    <w:rsid w:val="004D2065"/>
    <w:rsid w:val="004D2203"/>
    <w:rsid w:val="004D2485"/>
    <w:rsid w:val="004D25FE"/>
    <w:rsid w:val="004D27F2"/>
    <w:rsid w:val="004D2867"/>
    <w:rsid w:val="004D28CF"/>
    <w:rsid w:val="004D2961"/>
    <w:rsid w:val="004D2C3D"/>
    <w:rsid w:val="004D2E85"/>
    <w:rsid w:val="004D31E3"/>
    <w:rsid w:val="004D3358"/>
    <w:rsid w:val="004D37A8"/>
    <w:rsid w:val="004D42DE"/>
    <w:rsid w:val="004D43FB"/>
    <w:rsid w:val="004D47FA"/>
    <w:rsid w:val="004D49D6"/>
    <w:rsid w:val="004D4ACB"/>
    <w:rsid w:val="004D4B6F"/>
    <w:rsid w:val="004D4EA4"/>
    <w:rsid w:val="004D519B"/>
    <w:rsid w:val="004D6876"/>
    <w:rsid w:val="004D687D"/>
    <w:rsid w:val="004D722E"/>
    <w:rsid w:val="004D7A7C"/>
    <w:rsid w:val="004D7E26"/>
    <w:rsid w:val="004D7F2F"/>
    <w:rsid w:val="004E069A"/>
    <w:rsid w:val="004E0733"/>
    <w:rsid w:val="004E0D7D"/>
    <w:rsid w:val="004E1064"/>
    <w:rsid w:val="004E1820"/>
    <w:rsid w:val="004E28CF"/>
    <w:rsid w:val="004E2DBC"/>
    <w:rsid w:val="004E3F93"/>
    <w:rsid w:val="004E430A"/>
    <w:rsid w:val="004E495B"/>
    <w:rsid w:val="004E4A43"/>
    <w:rsid w:val="004E5257"/>
    <w:rsid w:val="004E540C"/>
    <w:rsid w:val="004E5822"/>
    <w:rsid w:val="004E5A64"/>
    <w:rsid w:val="004E5B16"/>
    <w:rsid w:val="004E694D"/>
    <w:rsid w:val="004E6BBC"/>
    <w:rsid w:val="004E6C05"/>
    <w:rsid w:val="004E6C17"/>
    <w:rsid w:val="004E6F78"/>
    <w:rsid w:val="004E7851"/>
    <w:rsid w:val="004E7DFF"/>
    <w:rsid w:val="004E7FE1"/>
    <w:rsid w:val="004F132F"/>
    <w:rsid w:val="004F186B"/>
    <w:rsid w:val="004F22BE"/>
    <w:rsid w:val="004F2332"/>
    <w:rsid w:val="004F2386"/>
    <w:rsid w:val="004F392A"/>
    <w:rsid w:val="004F3ABB"/>
    <w:rsid w:val="004F3BCC"/>
    <w:rsid w:val="004F4193"/>
    <w:rsid w:val="004F4451"/>
    <w:rsid w:val="004F4668"/>
    <w:rsid w:val="004F50FE"/>
    <w:rsid w:val="004F5476"/>
    <w:rsid w:val="004F56E3"/>
    <w:rsid w:val="004F56F5"/>
    <w:rsid w:val="004F5A76"/>
    <w:rsid w:val="004F5EB2"/>
    <w:rsid w:val="004F6451"/>
    <w:rsid w:val="004F6484"/>
    <w:rsid w:val="004F66A2"/>
    <w:rsid w:val="004F69D0"/>
    <w:rsid w:val="004F750D"/>
    <w:rsid w:val="004F7944"/>
    <w:rsid w:val="0050010A"/>
    <w:rsid w:val="005001C8"/>
    <w:rsid w:val="00500D17"/>
    <w:rsid w:val="00500DE3"/>
    <w:rsid w:val="00500EE9"/>
    <w:rsid w:val="00500F00"/>
    <w:rsid w:val="00500F5B"/>
    <w:rsid w:val="005011BB"/>
    <w:rsid w:val="005012ED"/>
    <w:rsid w:val="00501372"/>
    <w:rsid w:val="005013AA"/>
    <w:rsid w:val="005020A1"/>
    <w:rsid w:val="00502411"/>
    <w:rsid w:val="00502666"/>
    <w:rsid w:val="0050285F"/>
    <w:rsid w:val="00502CC9"/>
    <w:rsid w:val="00502E6B"/>
    <w:rsid w:val="00503185"/>
    <w:rsid w:val="00503337"/>
    <w:rsid w:val="00503B90"/>
    <w:rsid w:val="0050430C"/>
    <w:rsid w:val="00504BAF"/>
    <w:rsid w:val="00504CFE"/>
    <w:rsid w:val="005052AC"/>
    <w:rsid w:val="005055BC"/>
    <w:rsid w:val="00505E9B"/>
    <w:rsid w:val="00506197"/>
    <w:rsid w:val="00506A66"/>
    <w:rsid w:val="00506BB2"/>
    <w:rsid w:val="00506E7B"/>
    <w:rsid w:val="00506F74"/>
    <w:rsid w:val="0050733D"/>
    <w:rsid w:val="0050771D"/>
    <w:rsid w:val="005100A8"/>
    <w:rsid w:val="00510358"/>
    <w:rsid w:val="005109CA"/>
    <w:rsid w:val="00510D4E"/>
    <w:rsid w:val="0051110B"/>
    <w:rsid w:val="005112A0"/>
    <w:rsid w:val="00512157"/>
    <w:rsid w:val="00512159"/>
    <w:rsid w:val="00513145"/>
    <w:rsid w:val="005132F6"/>
    <w:rsid w:val="00513F62"/>
    <w:rsid w:val="00514930"/>
    <w:rsid w:val="00514B65"/>
    <w:rsid w:val="00515140"/>
    <w:rsid w:val="0051546A"/>
    <w:rsid w:val="005156ED"/>
    <w:rsid w:val="0051570F"/>
    <w:rsid w:val="00516636"/>
    <w:rsid w:val="00516AAE"/>
    <w:rsid w:val="00516E06"/>
    <w:rsid w:val="0051757E"/>
    <w:rsid w:val="00517B1C"/>
    <w:rsid w:val="00517D5A"/>
    <w:rsid w:val="00520142"/>
    <w:rsid w:val="00520282"/>
    <w:rsid w:val="0052093C"/>
    <w:rsid w:val="00520CC3"/>
    <w:rsid w:val="00521917"/>
    <w:rsid w:val="00521A78"/>
    <w:rsid w:val="00522076"/>
    <w:rsid w:val="005222B2"/>
    <w:rsid w:val="005228E7"/>
    <w:rsid w:val="00522ABE"/>
    <w:rsid w:val="005236DD"/>
    <w:rsid w:val="0052385A"/>
    <w:rsid w:val="00523B52"/>
    <w:rsid w:val="005243E4"/>
    <w:rsid w:val="005248F3"/>
    <w:rsid w:val="00524A05"/>
    <w:rsid w:val="00524AD8"/>
    <w:rsid w:val="00524C5A"/>
    <w:rsid w:val="00524D87"/>
    <w:rsid w:val="0052595A"/>
    <w:rsid w:val="00525F52"/>
    <w:rsid w:val="005265F8"/>
    <w:rsid w:val="00526C3C"/>
    <w:rsid w:val="0052717D"/>
    <w:rsid w:val="00527D47"/>
    <w:rsid w:val="00530604"/>
    <w:rsid w:val="0053078C"/>
    <w:rsid w:val="0053083D"/>
    <w:rsid w:val="00530AB7"/>
    <w:rsid w:val="00530B44"/>
    <w:rsid w:val="00530F82"/>
    <w:rsid w:val="005313EB"/>
    <w:rsid w:val="00531952"/>
    <w:rsid w:val="00531F6F"/>
    <w:rsid w:val="0053223C"/>
    <w:rsid w:val="0053229A"/>
    <w:rsid w:val="0053269B"/>
    <w:rsid w:val="005329C6"/>
    <w:rsid w:val="00532E49"/>
    <w:rsid w:val="0053331F"/>
    <w:rsid w:val="005339F0"/>
    <w:rsid w:val="00534203"/>
    <w:rsid w:val="005344FC"/>
    <w:rsid w:val="00534B9B"/>
    <w:rsid w:val="00535110"/>
    <w:rsid w:val="00535420"/>
    <w:rsid w:val="0053555B"/>
    <w:rsid w:val="005360B8"/>
    <w:rsid w:val="00536219"/>
    <w:rsid w:val="00536443"/>
    <w:rsid w:val="005364AF"/>
    <w:rsid w:val="005368D4"/>
    <w:rsid w:val="005370FB"/>
    <w:rsid w:val="005376E3"/>
    <w:rsid w:val="00537BC8"/>
    <w:rsid w:val="00537CDE"/>
    <w:rsid w:val="005409CB"/>
    <w:rsid w:val="00541007"/>
    <w:rsid w:val="00541451"/>
    <w:rsid w:val="00541E9F"/>
    <w:rsid w:val="00542633"/>
    <w:rsid w:val="005426A7"/>
    <w:rsid w:val="00542860"/>
    <w:rsid w:val="005432F1"/>
    <w:rsid w:val="005435EE"/>
    <w:rsid w:val="00543618"/>
    <w:rsid w:val="00543C26"/>
    <w:rsid w:val="00543CC7"/>
    <w:rsid w:val="00543CE4"/>
    <w:rsid w:val="005441D7"/>
    <w:rsid w:val="00544232"/>
    <w:rsid w:val="00544673"/>
    <w:rsid w:val="005448B1"/>
    <w:rsid w:val="00544931"/>
    <w:rsid w:val="00544BA7"/>
    <w:rsid w:val="00545069"/>
    <w:rsid w:val="0054535C"/>
    <w:rsid w:val="0054581C"/>
    <w:rsid w:val="00545E7A"/>
    <w:rsid w:val="00547342"/>
    <w:rsid w:val="0054739A"/>
    <w:rsid w:val="0054741C"/>
    <w:rsid w:val="005478A1"/>
    <w:rsid w:val="00547D6E"/>
    <w:rsid w:val="00550367"/>
    <w:rsid w:val="00550B32"/>
    <w:rsid w:val="00550CBA"/>
    <w:rsid w:val="005510AA"/>
    <w:rsid w:val="0055127F"/>
    <w:rsid w:val="00551966"/>
    <w:rsid w:val="00551B1D"/>
    <w:rsid w:val="00551E9C"/>
    <w:rsid w:val="00551FA6"/>
    <w:rsid w:val="00552078"/>
    <w:rsid w:val="00552E1E"/>
    <w:rsid w:val="00553B73"/>
    <w:rsid w:val="00554564"/>
    <w:rsid w:val="00554873"/>
    <w:rsid w:val="00554B50"/>
    <w:rsid w:val="00555E92"/>
    <w:rsid w:val="00555F85"/>
    <w:rsid w:val="005561D4"/>
    <w:rsid w:val="005564C0"/>
    <w:rsid w:val="005568E0"/>
    <w:rsid w:val="00556EE1"/>
    <w:rsid w:val="005573A3"/>
    <w:rsid w:val="00557CD2"/>
    <w:rsid w:val="00560063"/>
    <w:rsid w:val="0056015D"/>
    <w:rsid w:val="0056065C"/>
    <w:rsid w:val="00560695"/>
    <w:rsid w:val="00560E15"/>
    <w:rsid w:val="00560FE1"/>
    <w:rsid w:val="00561077"/>
    <w:rsid w:val="005613C8"/>
    <w:rsid w:val="00561608"/>
    <w:rsid w:val="0056163E"/>
    <w:rsid w:val="00561BB1"/>
    <w:rsid w:val="0056274E"/>
    <w:rsid w:val="0056297A"/>
    <w:rsid w:val="0056337D"/>
    <w:rsid w:val="005634BF"/>
    <w:rsid w:val="00563A5E"/>
    <w:rsid w:val="00563D10"/>
    <w:rsid w:val="00564446"/>
    <w:rsid w:val="005652FD"/>
    <w:rsid w:val="00565A0D"/>
    <w:rsid w:val="00565D4A"/>
    <w:rsid w:val="00565D83"/>
    <w:rsid w:val="00565F2D"/>
    <w:rsid w:val="005661F5"/>
    <w:rsid w:val="00567BE5"/>
    <w:rsid w:val="0057085E"/>
    <w:rsid w:val="00570A47"/>
    <w:rsid w:val="00570BCE"/>
    <w:rsid w:val="00571547"/>
    <w:rsid w:val="00571D50"/>
    <w:rsid w:val="00571D86"/>
    <w:rsid w:val="00572981"/>
    <w:rsid w:val="00572E41"/>
    <w:rsid w:val="0057312C"/>
    <w:rsid w:val="005735BF"/>
    <w:rsid w:val="0057399D"/>
    <w:rsid w:val="00573C2C"/>
    <w:rsid w:val="00573CFC"/>
    <w:rsid w:val="00573E1F"/>
    <w:rsid w:val="0057415D"/>
    <w:rsid w:val="005741D0"/>
    <w:rsid w:val="00574469"/>
    <w:rsid w:val="0057455F"/>
    <w:rsid w:val="005748C8"/>
    <w:rsid w:val="0057498E"/>
    <w:rsid w:val="00574B47"/>
    <w:rsid w:val="00574D9E"/>
    <w:rsid w:val="00575A07"/>
    <w:rsid w:val="0057605C"/>
    <w:rsid w:val="005774FC"/>
    <w:rsid w:val="00577AE1"/>
    <w:rsid w:val="00577B6E"/>
    <w:rsid w:val="00580172"/>
    <w:rsid w:val="00580259"/>
    <w:rsid w:val="0058030D"/>
    <w:rsid w:val="005805CA"/>
    <w:rsid w:val="00580B60"/>
    <w:rsid w:val="00580F54"/>
    <w:rsid w:val="00581303"/>
    <w:rsid w:val="005813F4"/>
    <w:rsid w:val="00581A94"/>
    <w:rsid w:val="00581B79"/>
    <w:rsid w:val="00581FF2"/>
    <w:rsid w:val="0058261C"/>
    <w:rsid w:val="00582988"/>
    <w:rsid w:val="00582F57"/>
    <w:rsid w:val="00583612"/>
    <w:rsid w:val="00583E19"/>
    <w:rsid w:val="00584183"/>
    <w:rsid w:val="0058452E"/>
    <w:rsid w:val="00584615"/>
    <w:rsid w:val="00584C50"/>
    <w:rsid w:val="00585CA0"/>
    <w:rsid w:val="00585DDD"/>
    <w:rsid w:val="00586420"/>
    <w:rsid w:val="005865EA"/>
    <w:rsid w:val="0058730C"/>
    <w:rsid w:val="005878D0"/>
    <w:rsid w:val="0058791D"/>
    <w:rsid w:val="00587DCC"/>
    <w:rsid w:val="00590009"/>
    <w:rsid w:val="005904EE"/>
    <w:rsid w:val="00590D84"/>
    <w:rsid w:val="005911BB"/>
    <w:rsid w:val="00592215"/>
    <w:rsid w:val="0059282D"/>
    <w:rsid w:val="00593514"/>
    <w:rsid w:val="005938C4"/>
    <w:rsid w:val="00593E42"/>
    <w:rsid w:val="005945CB"/>
    <w:rsid w:val="0059460C"/>
    <w:rsid w:val="0059477D"/>
    <w:rsid w:val="0059538E"/>
    <w:rsid w:val="005959B9"/>
    <w:rsid w:val="00595A9F"/>
    <w:rsid w:val="005963C3"/>
    <w:rsid w:val="005967DF"/>
    <w:rsid w:val="00596A2C"/>
    <w:rsid w:val="00596A70"/>
    <w:rsid w:val="00596B16"/>
    <w:rsid w:val="00596F38"/>
    <w:rsid w:val="005A0263"/>
    <w:rsid w:val="005A084D"/>
    <w:rsid w:val="005A0859"/>
    <w:rsid w:val="005A08DF"/>
    <w:rsid w:val="005A0B7A"/>
    <w:rsid w:val="005A1CBD"/>
    <w:rsid w:val="005A1F4C"/>
    <w:rsid w:val="005A210E"/>
    <w:rsid w:val="005A2D50"/>
    <w:rsid w:val="005A3336"/>
    <w:rsid w:val="005A38C1"/>
    <w:rsid w:val="005A3AC1"/>
    <w:rsid w:val="005A3E8F"/>
    <w:rsid w:val="005A5424"/>
    <w:rsid w:val="005A5790"/>
    <w:rsid w:val="005A5DE3"/>
    <w:rsid w:val="005A60B8"/>
    <w:rsid w:val="005A60C1"/>
    <w:rsid w:val="005A6309"/>
    <w:rsid w:val="005A6A2E"/>
    <w:rsid w:val="005A775A"/>
    <w:rsid w:val="005A79F2"/>
    <w:rsid w:val="005A7BF9"/>
    <w:rsid w:val="005A7E65"/>
    <w:rsid w:val="005A7FF2"/>
    <w:rsid w:val="005B0451"/>
    <w:rsid w:val="005B0693"/>
    <w:rsid w:val="005B0C2C"/>
    <w:rsid w:val="005B1476"/>
    <w:rsid w:val="005B19EB"/>
    <w:rsid w:val="005B2520"/>
    <w:rsid w:val="005B26BB"/>
    <w:rsid w:val="005B2798"/>
    <w:rsid w:val="005B2C17"/>
    <w:rsid w:val="005B2DC3"/>
    <w:rsid w:val="005B30D9"/>
    <w:rsid w:val="005B3246"/>
    <w:rsid w:val="005B39A3"/>
    <w:rsid w:val="005B4865"/>
    <w:rsid w:val="005B4B82"/>
    <w:rsid w:val="005B4D4C"/>
    <w:rsid w:val="005B4F50"/>
    <w:rsid w:val="005B5004"/>
    <w:rsid w:val="005B5647"/>
    <w:rsid w:val="005B5CAD"/>
    <w:rsid w:val="005B6283"/>
    <w:rsid w:val="005B6384"/>
    <w:rsid w:val="005B6506"/>
    <w:rsid w:val="005B66C3"/>
    <w:rsid w:val="005B68CC"/>
    <w:rsid w:val="005B6AC8"/>
    <w:rsid w:val="005B6BCB"/>
    <w:rsid w:val="005B6FE3"/>
    <w:rsid w:val="005B7827"/>
    <w:rsid w:val="005B7ECC"/>
    <w:rsid w:val="005C028E"/>
    <w:rsid w:val="005C08CB"/>
    <w:rsid w:val="005C0926"/>
    <w:rsid w:val="005C10F5"/>
    <w:rsid w:val="005C161B"/>
    <w:rsid w:val="005C1EAB"/>
    <w:rsid w:val="005C216C"/>
    <w:rsid w:val="005C21B1"/>
    <w:rsid w:val="005C2F13"/>
    <w:rsid w:val="005C31FE"/>
    <w:rsid w:val="005C39CB"/>
    <w:rsid w:val="005C3C8A"/>
    <w:rsid w:val="005C3F3A"/>
    <w:rsid w:val="005C3F71"/>
    <w:rsid w:val="005C410F"/>
    <w:rsid w:val="005C41F2"/>
    <w:rsid w:val="005C42E5"/>
    <w:rsid w:val="005C46B8"/>
    <w:rsid w:val="005C4716"/>
    <w:rsid w:val="005C4909"/>
    <w:rsid w:val="005C4CCF"/>
    <w:rsid w:val="005C5156"/>
    <w:rsid w:val="005C5190"/>
    <w:rsid w:val="005C51AC"/>
    <w:rsid w:val="005C54E3"/>
    <w:rsid w:val="005C5963"/>
    <w:rsid w:val="005C62A3"/>
    <w:rsid w:val="005C62C2"/>
    <w:rsid w:val="005C6C4F"/>
    <w:rsid w:val="005C70CA"/>
    <w:rsid w:val="005C7442"/>
    <w:rsid w:val="005C7A8A"/>
    <w:rsid w:val="005C7DD4"/>
    <w:rsid w:val="005C7E5F"/>
    <w:rsid w:val="005D02E5"/>
    <w:rsid w:val="005D09FF"/>
    <w:rsid w:val="005D0C26"/>
    <w:rsid w:val="005D0D1A"/>
    <w:rsid w:val="005D1016"/>
    <w:rsid w:val="005D2254"/>
    <w:rsid w:val="005D250C"/>
    <w:rsid w:val="005D2720"/>
    <w:rsid w:val="005D2933"/>
    <w:rsid w:val="005D2964"/>
    <w:rsid w:val="005D2F2D"/>
    <w:rsid w:val="005D3043"/>
    <w:rsid w:val="005D3A11"/>
    <w:rsid w:val="005D3BDF"/>
    <w:rsid w:val="005D44C9"/>
    <w:rsid w:val="005D4572"/>
    <w:rsid w:val="005D4AD2"/>
    <w:rsid w:val="005D4D13"/>
    <w:rsid w:val="005D534A"/>
    <w:rsid w:val="005D5450"/>
    <w:rsid w:val="005D5573"/>
    <w:rsid w:val="005D5AEB"/>
    <w:rsid w:val="005D5EC5"/>
    <w:rsid w:val="005D61CD"/>
    <w:rsid w:val="005D6726"/>
    <w:rsid w:val="005D6D6A"/>
    <w:rsid w:val="005D6DD5"/>
    <w:rsid w:val="005D78D7"/>
    <w:rsid w:val="005D7A55"/>
    <w:rsid w:val="005D7BA3"/>
    <w:rsid w:val="005D7D21"/>
    <w:rsid w:val="005D7FCD"/>
    <w:rsid w:val="005E02F8"/>
    <w:rsid w:val="005E05BA"/>
    <w:rsid w:val="005E07D0"/>
    <w:rsid w:val="005E098F"/>
    <w:rsid w:val="005E0FE6"/>
    <w:rsid w:val="005E114F"/>
    <w:rsid w:val="005E16FA"/>
    <w:rsid w:val="005E265D"/>
    <w:rsid w:val="005E29AB"/>
    <w:rsid w:val="005E2C8A"/>
    <w:rsid w:val="005E309A"/>
    <w:rsid w:val="005E33B7"/>
    <w:rsid w:val="005E3849"/>
    <w:rsid w:val="005E4110"/>
    <w:rsid w:val="005E4152"/>
    <w:rsid w:val="005E46D2"/>
    <w:rsid w:val="005E5854"/>
    <w:rsid w:val="005E6067"/>
    <w:rsid w:val="005E607B"/>
    <w:rsid w:val="005E6C6B"/>
    <w:rsid w:val="005E6CD0"/>
    <w:rsid w:val="005E6EB9"/>
    <w:rsid w:val="005E7502"/>
    <w:rsid w:val="005E75CD"/>
    <w:rsid w:val="005E7997"/>
    <w:rsid w:val="005E7DE4"/>
    <w:rsid w:val="005E7FC7"/>
    <w:rsid w:val="005F04FB"/>
    <w:rsid w:val="005F0586"/>
    <w:rsid w:val="005F0A13"/>
    <w:rsid w:val="005F1EE7"/>
    <w:rsid w:val="005F2DB4"/>
    <w:rsid w:val="005F3719"/>
    <w:rsid w:val="005F43E7"/>
    <w:rsid w:val="005F450A"/>
    <w:rsid w:val="005F45B8"/>
    <w:rsid w:val="005F53D6"/>
    <w:rsid w:val="005F542B"/>
    <w:rsid w:val="005F54F8"/>
    <w:rsid w:val="005F558E"/>
    <w:rsid w:val="005F5792"/>
    <w:rsid w:val="005F670E"/>
    <w:rsid w:val="005F684C"/>
    <w:rsid w:val="005F6B33"/>
    <w:rsid w:val="005F73B7"/>
    <w:rsid w:val="005F7762"/>
    <w:rsid w:val="005F7AC8"/>
    <w:rsid w:val="005F7C89"/>
    <w:rsid w:val="005F7DCC"/>
    <w:rsid w:val="00600238"/>
    <w:rsid w:val="006007F3"/>
    <w:rsid w:val="00600B26"/>
    <w:rsid w:val="00600F92"/>
    <w:rsid w:val="00602024"/>
    <w:rsid w:val="006021D4"/>
    <w:rsid w:val="00602BBF"/>
    <w:rsid w:val="006030EA"/>
    <w:rsid w:val="0060311F"/>
    <w:rsid w:val="00603A24"/>
    <w:rsid w:val="00603CEC"/>
    <w:rsid w:val="006040B6"/>
    <w:rsid w:val="006042A4"/>
    <w:rsid w:val="006042EA"/>
    <w:rsid w:val="006048D9"/>
    <w:rsid w:val="00604BDF"/>
    <w:rsid w:val="00605559"/>
    <w:rsid w:val="00606089"/>
    <w:rsid w:val="006065F1"/>
    <w:rsid w:val="00607952"/>
    <w:rsid w:val="00607B13"/>
    <w:rsid w:val="006100C5"/>
    <w:rsid w:val="0061132E"/>
    <w:rsid w:val="00611F7D"/>
    <w:rsid w:val="00611FD7"/>
    <w:rsid w:val="006121E0"/>
    <w:rsid w:val="0061272A"/>
    <w:rsid w:val="00612B14"/>
    <w:rsid w:val="006137EA"/>
    <w:rsid w:val="00613C0C"/>
    <w:rsid w:val="00613DEF"/>
    <w:rsid w:val="00614A2A"/>
    <w:rsid w:val="006150C6"/>
    <w:rsid w:val="00615A77"/>
    <w:rsid w:val="0061672B"/>
    <w:rsid w:val="00616D4B"/>
    <w:rsid w:val="00617307"/>
    <w:rsid w:val="00617718"/>
    <w:rsid w:val="00617B95"/>
    <w:rsid w:val="00620067"/>
    <w:rsid w:val="006203E4"/>
    <w:rsid w:val="00620922"/>
    <w:rsid w:val="00620EB1"/>
    <w:rsid w:val="00620FEE"/>
    <w:rsid w:val="0062120C"/>
    <w:rsid w:val="006212B8"/>
    <w:rsid w:val="006215F3"/>
    <w:rsid w:val="0062197D"/>
    <w:rsid w:val="0062226E"/>
    <w:rsid w:val="006225AD"/>
    <w:rsid w:val="00622CDA"/>
    <w:rsid w:val="00622D21"/>
    <w:rsid w:val="0062305E"/>
    <w:rsid w:val="00623E41"/>
    <w:rsid w:val="0062407A"/>
    <w:rsid w:val="00624413"/>
    <w:rsid w:val="00624691"/>
    <w:rsid w:val="0062481E"/>
    <w:rsid w:val="00624878"/>
    <w:rsid w:val="00624D03"/>
    <w:rsid w:val="00624EAB"/>
    <w:rsid w:val="00625ACF"/>
    <w:rsid w:val="00626000"/>
    <w:rsid w:val="0062627A"/>
    <w:rsid w:val="00626556"/>
    <w:rsid w:val="00626AE3"/>
    <w:rsid w:val="00626B74"/>
    <w:rsid w:val="0062735E"/>
    <w:rsid w:val="00627432"/>
    <w:rsid w:val="00627CC5"/>
    <w:rsid w:val="00627FA8"/>
    <w:rsid w:val="006302D7"/>
    <w:rsid w:val="006306EF"/>
    <w:rsid w:val="00630CE9"/>
    <w:rsid w:val="006310B7"/>
    <w:rsid w:val="0063133D"/>
    <w:rsid w:val="00631DFE"/>
    <w:rsid w:val="00632252"/>
    <w:rsid w:val="00632C16"/>
    <w:rsid w:val="00632D8C"/>
    <w:rsid w:val="0063364A"/>
    <w:rsid w:val="00633989"/>
    <w:rsid w:val="00633A41"/>
    <w:rsid w:val="00633D55"/>
    <w:rsid w:val="00634104"/>
    <w:rsid w:val="0063481C"/>
    <w:rsid w:val="00635168"/>
    <w:rsid w:val="006356B4"/>
    <w:rsid w:val="00635FC2"/>
    <w:rsid w:val="0063607E"/>
    <w:rsid w:val="00636643"/>
    <w:rsid w:val="006366B7"/>
    <w:rsid w:val="00636ECB"/>
    <w:rsid w:val="0063711D"/>
    <w:rsid w:val="0063724B"/>
    <w:rsid w:val="006408E2"/>
    <w:rsid w:val="00640C86"/>
    <w:rsid w:val="00640DA0"/>
    <w:rsid w:val="00641A26"/>
    <w:rsid w:val="006420A5"/>
    <w:rsid w:val="00642FC7"/>
    <w:rsid w:val="00643588"/>
    <w:rsid w:val="00643F47"/>
    <w:rsid w:val="00644046"/>
    <w:rsid w:val="00644A91"/>
    <w:rsid w:val="00645511"/>
    <w:rsid w:val="00645673"/>
    <w:rsid w:val="00645D02"/>
    <w:rsid w:val="0064627F"/>
    <w:rsid w:val="006464A8"/>
    <w:rsid w:val="006464C5"/>
    <w:rsid w:val="00647AFE"/>
    <w:rsid w:val="00647B33"/>
    <w:rsid w:val="00647C3D"/>
    <w:rsid w:val="006503C5"/>
    <w:rsid w:val="006503E1"/>
    <w:rsid w:val="0065059E"/>
    <w:rsid w:val="00650DB0"/>
    <w:rsid w:val="00651470"/>
    <w:rsid w:val="00651D91"/>
    <w:rsid w:val="00651DEF"/>
    <w:rsid w:val="006520F9"/>
    <w:rsid w:val="006524C6"/>
    <w:rsid w:val="0065265A"/>
    <w:rsid w:val="006529B6"/>
    <w:rsid w:val="00652B2B"/>
    <w:rsid w:val="00652BA3"/>
    <w:rsid w:val="00652E2E"/>
    <w:rsid w:val="00652F98"/>
    <w:rsid w:val="0065311B"/>
    <w:rsid w:val="00653863"/>
    <w:rsid w:val="006549E8"/>
    <w:rsid w:val="00654C1B"/>
    <w:rsid w:val="00654D2C"/>
    <w:rsid w:val="00654DA8"/>
    <w:rsid w:val="00654FEC"/>
    <w:rsid w:val="006551A1"/>
    <w:rsid w:val="00655878"/>
    <w:rsid w:val="00656054"/>
    <w:rsid w:val="0065667E"/>
    <w:rsid w:val="00657005"/>
    <w:rsid w:val="0065724C"/>
    <w:rsid w:val="0066016D"/>
    <w:rsid w:val="00660A4C"/>
    <w:rsid w:val="00660B4D"/>
    <w:rsid w:val="006612D4"/>
    <w:rsid w:val="00661549"/>
    <w:rsid w:val="006615C1"/>
    <w:rsid w:val="006625FC"/>
    <w:rsid w:val="0066279C"/>
    <w:rsid w:val="006633F1"/>
    <w:rsid w:val="00663AAB"/>
    <w:rsid w:val="00663D93"/>
    <w:rsid w:val="00663F42"/>
    <w:rsid w:val="0066416E"/>
    <w:rsid w:val="006642AE"/>
    <w:rsid w:val="0066434A"/>
    <w:rsid w:val="00664F95"/>
    <w:rsid w:val="00665320"/>
    <w:rsid w:val="00665A4A"/>
    <w:rsid w:val="00665B22"/>
    <w:rsid w:val="00665C55"/>
    <w:rsid w:val="006660B7"/>
    <w:rsid w:val="006666CF"/>
    <w:rsid w:val="00666C0A"/>
    <w:rsid w:val="00666F3D"/>
    <w:rsid w:val="006674D9"/>
    <w:rsid w:val="00667F17"/>
    <w:rsid w:val="0067056C"/>
    <w:rsid w:val="00670780"/>
    <w:rsid w:val="00670793"/>
    <w:rsid w:val="00671047"/>
    <w:rsid w:val="00671266"/>
    <w:rsid w:val="00671E83"/>
    <w:rsid w:val="00671F40"/>
    <w:rsid w:val="006728BB"/>
    <w:rsid w:val="006729B2"/>
    <w:rsid w:val="0067355B"/>
    <w:rsid w:val="00673B9A"/>
    <w:rsid w:val="00673CA9"/>
    <w:rsid w:val="00673D1F"/>
    <w:rsid w:val="00673D88"/>
    <w:rsid w:val="00673E13"/>
    <w:rsid w:val="006740E5"/>
    <w:rsid w:val="00674258"/>
    <w:rsid w:val="0067456A"/>
    <w:rsid w:val="006746C6"/>
    <w:rsid w:val="006751E2"/>
    <w:rsid w:val="0067538C"/>
    <w:rsid w:val="00675747"/>
    <w:rsid w:val="0067578C"/>
    <w:rsid w:val="00675C30"/>
    <w:rsid w:val="00675C7E"/>
    <w:rsid w:val="00676091"/>
    <w:rsid w:val="00676710"/>
    <w:rsid w:val="00676886"/>
    <w:rsid w:val="006768E2"/>
    <w:rsid w:val="006769B2"/>
    <w:rsid w:val="00676F3A"/>
    <w:rsid w:val="00676FFF"/>
    <w:rsid w:val="0067703A"/>
    <w:rsid w:val="0067765F"/>
    <w:rsid w:val="00677A69"/>
    <w:rsid w:val="00677B82"/>
    <w:rsid w:val="00677D35"/>
    <w:rsid w:val="00680015"/>
    <w:rsid w:val="00680196"/>
    <w:rsid w:val="0068056E"/>
    <w:rsid w:val="00681C3F"/>
    <w:rsid w:val="006820FE"/>
    <w:rsid w:val="00682AAC"/>
    <w:rsid w:val="00682D2D"/>
    <w:rsid w:val="00683156"/>
    <w:rsid w:val="00683410"/>
    <w:rsid w:val="00683BC8"/>
    <w:rsid w:val="00684C18"/>
    <w:rsid w:val="00684DC4"/>
    <w:rsid w:val="00684DEA"/>
    <w:rsid w:val="00684E25"/>
    <w:rsid w:val="00684FDE"/>
    <w:rsid w:val="006854CC"/>
    <w:rsid w:val="00685ACF"/>
    <w:rsid w:val="00685DE1"/>
    <w:rsid w:val="00686EA9"/>
    <w:rsid w:val="0068739B"/>
    <w:rsid w:val="00690214"/>
    <w:rsid w:val="006905D5"/>
    <w:rsid w:val="00690995"/>
    <w:rsid w:val="006909C6"/>
    <w:rsid w:val="00690F1C"/>
    <w:rsid w:val="00690F57"/>
    <w:rsid w:val="0069117F"/>
    <w:rsid w:val="00691779"/>
    <w:rsid w:val="006918C7"/>
    <w:rsid w:val="00691DFE"/>
    <w:rsid w:val="00692A79"/>
    <w:rsid w:val="00692C29"/>
    <w:rsid w:val="00692FDC"/>
    <w:rsid w:val="006930C2"/>
    <w:rsid w:val="00693213"/>
    <w:rsid w:val="0069365B"/>
    <w:rsid w:val="00693671"/>
    <w:rsid w:val="006936BB"/>
    <w:rsid w:val="00693DCC"/>
    <w:rsid w:val="00694282"/>
    <w:rsid w:val="00695587"/>
    <w:rsid w:val="00695E0C"/>
    <w:rsid w:val="00695F3D"/>
    <w:rsid w:val="00696AC9"/>
    <w:rsid w:val="006973AB"/>
    <w:rsid w:val="006A0A97"/>
    <w:rsid w:val="006A0CC9"/>
    <w:rsid w:val="006A0F09"/>
    <w:rsid w:val="006A1224"/>
    <w:rsid w:val="006A1B02"/>
    <w:rsid w:val="006A1BA7"/>
    <w:rsid w:val="006A23FF"/>
    <w:rsid w:val="006A2BCA"/>
    <w:rsid w:val="006A2CF8"/>
    <w:rsid w:val="006A3678"/>
    <w:rsid w:val="006A3C2E"/>
    <w:rsid w:val="006A3D75"/>
    <w:rsid w:val="006A4037"/>
    <w:rsid w:val="006A4903"/>
    <w:rsid w:val="006A4F12"/>
    <w:rsid w:val="006A6349"/>
    <w:rsid w:val="006A656D"/>
    <w:rsid w:val="006A6614"/>
    <w:rsid w:val="006A6B09"/>
    <w:rsid w:val="006A6E8B"/>
    <w:rsid w:val="006A706F"/>
    <w:rsid w:val="006A7244"/>
    <w:rsid w:val="006A751D"/>
    <w:rsid w:val="006A7700"/>
    <w:rsid w:val="006B0041"/>
    <w:rsid w:val="006B019F"/>
    <w:rsid w:val="006B02A2"/>
    <w:rsid w:val="006B0373"/>
    <w:rsid w:val="006B0802"/>
    <w:rsid w:val="006B0C3E"/>
    <w:rsid w:val="006B101D"/>
    <w:rsid w:val="006B14CD"/>
    <w:rsid w:val="006B1843"/>
    <w:rsid w:val="006B1A2E"/>
    <w:rsid w:val="006B1AA4"/>
    <w:rsid w:val="006B1C8B"/>
    <w:rsid w:val="006B1D9A"/>
    <w:rsid w:val="006B2872"/>
    <w:rsid w:val="006B29EF"/>
    <w:rsid w:val="006B2C52"/>
    <w:rsid w:val="006B2D86"/>
    <w:rsid w:val="006B30FE"/>
    <w:rsid w:val="006B4DF4"/>
    <w:rsid w:val="006B5650"/>
    <w:rsid w:val="006B58A1"/>
    <w:rsid w:val="006B5F72"/>
    <w:rsid w:val="006B6654"/>
    <w:rsid w:val="006B669F"/>
    <w:rsid w:val="006B6FF4"/>
    <w:rsid w:val="006B7207"/>
    <w:rsid w:val="006B746E"/>
    <w:rsid w:val="006B7517"/>
    <w:rsid w:val="006B7706"/>
    <w:rsid w:val="006B771B"/>
    <w:rsid w:val="006B7762"/>
    <w:rsid w:val="006B7CFD"/>
    <w:rsid w:val="006C00FB"/>
    <w:rsid w:val="006C0351"/>
    <w:rsid w:val="006C0489"/>
    <w:rsid w:val="006C096B"/>
    <w:rsid w:val="006C0AE4"/>
    <w:rsid w:val="006C1225"/>
    <w:rsid w:val="006C122B"/>
    <w:rsid w:val="006C136B"/>
    <w:rsid w:val="006C179F"/>
    <w:rsid w:val="006C19E8"/>
    <w:rsid w:val="006C20D5"/>
    <w:rsid w:val="006C249E"/>
    <w:rsid w:val="006C24CC"/>
    <w:rsid w:val="006C3380"/>
    <w:rsid w:val="006C365E"/>
    <w:rsid w:val="006C3A46"/>
    <w:rsid w:val="006C3CA4"/>
    <w:rsid w:val="006C40C3"/>
    <w:rsid w:val="006C4A5F"/>
    <w:rsid w:val="006C4DB7"/>
    <w:rsid w:val="006C4E76"/>
    <w:rsid w:val="006C5574"/>
    <w:rsid w:val="006C66B1"/>
    <w:rsid w:val="006C66E7"/>
    <w:rsid w:val="006C6714"/>
    <w:rsid w:val="006C691C"/>
    <w:rsid w:val="006C6C2A"/>
    <w:rsid w:val="006C7085"/>
    <w:rsid w:val="006C75D6"/>
    <w:rsid w:val="006C77C5"/>
    <w:rsid w:val="006C78A7"/>
    <w:rsid w:val="006D0140"/>
    <w:rsid w:val="006D049E"/>
    <w:rsid w:val="006D0A41"/>
    <w:rsid w:val="006D0ADE"/>
    <w:rsid w:val="006D0CCC"/>
    <w:rsid w:val="006D0E9E"/>
    <w:rsid w:val="006D20D3"/>
    <w:rsid w:val="006D2D76"/>
    <w:rsid w:val="006D2EC5"/>
    <w:rsid w:val="006D2F8D"/>
    <w:rsid w:val="006D340A"/>
    <w:rsid w:val="006D3770"/>
    <w:rsid w:val="006D49ED"/>
    <w:rsid w:val="006D4E78"/>
    <w:rsid w:val="006D5074"/>
    <w:rsid w:val="006D51FB"/>
    <w:rsid w:val="006D6640"/>
    <w:rsid w:val="006D6694"/>
    <w:rsid w:val="006D7100"/>
    <w:rsid w:val="006D72E9"/>
    <w:rsid w:val="006D7EC5"/>
    <w:rsid w:val="006E008C"/>
    <w:rsid w:val="006E038A"/>
    <w:rsid w:val="006E071F"/>
    <w:rsid w:val="006E09F4"/>
    <w:rsid w:val="006E0A8B"/>
    <w:rsid w:val="006E0E76"/>
    <w:rsid w:val="006E1120"/>
    <w:rsid w:val="006E1196"/>
    <w:rsid w:val="006E1B37"/>
    <w:rsid w:val="006E1BA7"/>
    <w:rsid w:val="006E1DB9"/>
    <w:rsid w:val="006E1E6C"/>
    <w:rsid w:val="006E2354"/>
    <w:rsid w:val="006E2E34"/>
    <w:rsid w:val="006E2FA9"/>
    <w:rsid w:val="006E31EB"/>
    <w:rsid w:val="006E3513"/>
    <w:rsid w:val="006E3612"/>
    <w:rsid w:val="006E47C4"/>
    <w:rsid w:val="006E52D4"/>
    <w:rsid w:val="006E57E3"/>
    <w:rsid w:val="006E5B08"/>
    <w:rsid w:val="006E5BA5"/>
    <w:rsid w:val="006E5C9C"/>
    <w:rsid w:val="006E5F90"/>
    <w:rsid w:val="006E620D"/>
    <w:rsid w:val="006E6219"/>
    <w:rsid w:val="006E66D3"/>
    <w:rsid w:val="006E6FFB"/>
    <w:rsid w:val="006E7571"/>
    <w:rsid w:val="006E7C3E"/>
    <w:rsid w:val="006E7EC6"/>
    <w:rsid w:val="006E7FDD"/>
    <w:rsid w:val="006F07B5"/>
    <w:rsid w:val="006F0C61"/>
    <w:rsid w:val="006F1332"/>
    <w:rsid w:val="006F170B"/>
    <w:rsid w:val="006F1B42"/>
    <w:rsid w:val="006F1C64"/>
    <w:rsid w:val="006F20CB"/>
    <w:rsid w:val="006F2445"/>
    <w:rsid w:val="006F2BD0"/>
    <w:rsid w:val="006F2EF7"/>
    <w:rsid w:val="006F3703"/>
    <w:rsid w:val="006F3714"/>
    <w:rsid w:val="006F3760"/>
    <w:rsid w:val="006F43E3"/>
    <w:rsid w:val="006F4D07"/>
    <w:rsid w:val="006F50F1"/>
    <w:rsid w:val="006F5434"/>
    <w:rsid w:val="006F58D3"/>
    <w:rsid w:val="006F5B7F"/>
    <w:rsid w:val="006F5E2C"/>
    <w:rsid w:val="006F6AE0"/>
    <w:rsid w:val="006F7192"/>
    <w:rsid w:val="006F71CB"/>
    <w:rsid w:val="006F72D8"/>
    <w:rsid w:val="006F7BB9"/>
    <w:rsid w:val="007001FE"/>
    <w:rsid w:val="00700E22"/>
    <w:rsid w:val="0070121F"/>
    <w:rsid w:val="0070127B"/>
    <w:rsid w:val="00701389"/>
    <w:rsid w:val="0070139F"/>
    <w:rsid w:val="00701406"/>
    <w:rsid w:val="00702216"/>
    <w:rsid w:val="00703C36"/>
    <w:rsid w:val="00703F52"/>
    <w:rsid w:val="00703FDC"/>
    <w:rsid w:val="00704065"/>
    <w:rsid w:val="00704330"/>
    <w:rsid w:val="00704653"/>
    <w:rsid w:val="00704CD7"/>
    <w:rsid w:val="00705188"/>
    <w:rsid w:val="0070590A"/>
    <w:rsid w:val="0070635E"/>
    <w:rsid w:val="00706892"/>
    <w:rsid w:val="00706C9D"/>
    <w:rsid w:val="0070760C"/>
    <w:rsid w:val="00707879"/>
    <w:rsid w:val="00707D4D"/>
    <w:rsid w:val="00707EF5"/>
    <w:rsid w:val="00710929"/>
    <w:rsid w:val="00710CC9"/>
    <w:rsid w:val="00711C86"/>
    <w:rsid w:val="00711E1E"/>
    <w:rsid w:val="00712946"/>
    <w:rsid w:val="00713779"/>
    <w:rsid w:val="0071397A"/>
    <w:rsid w:val="007139ED"/>
    <w:rsid w:val="00713CEB"/>
    <w:rsid w:val="00713F7A"/>
    <w:rsid w:val="00714590"/>
    <w:rsid w:val="007154A4"/>
    <w:rsid w:val="007154B0"/>
    <w:rsid w:val="0071576D"/>
    <w:rsid w:val="00715962"/>
    <w:rsid w:val="00715970"/>
    <w:rsid w:val="00715B86"/>
    <w:rsid w:val="00715F81"/>
    <w:rsid w:val="00716858"/>
    <w:rsid w:val="00716AEB"/>
    <w:rsid w:val="0071716C"/>
    <w:rsid w:val="0071776D"/>
    <w:rsid w:val="00717AC5"/>
    <w:rsid w:val="0072017D"/>
    <w:rsid w:val="00720DF7"/>
    <w:rsid w:val="00721953"/>
    <w:rsid w:val="00721ECB"/>
    <w:rsid w:val="007229C4"/>
    <w:rsid w:val="00722F47"/>
    <w:rsid w:val="00722FFC"/>
    <w:rsid w:val="00723816"/>
    <w:rsid w:val="00723EB0"/>
    <w:rsid w:val="00723EE3"/>
    <w:rsid w:val="007242CC"/>
    <w:rsid w:val="00724456"/>
    <w:rsid w:val="0072462F"/>
    <w:rsid w:val="007253C3"/>
    <w:rsid w:val="007254E9"/>
    <w:rsid w:val="007255D2"/>
    <w:rsid w:val="00725640"/>
    <w:rsid w:val="00725B58"/>
    <w:rsid w:val="00725CEA"/>
    <w:rsid w:val="00725DB8"/>
    <w:rsid w:val="00725DF5"/>
    <w:rsid w:val="007266D1"/>
    <w:rsid w:val="00726A9E"/>
    <w:rsid w:val="00726D1D"/>
    <w:rsid w:val="00727008"/>
    <w:rsid w:val="00727469"/>
    <w:rsid w:val="00727A61"/>
    <w:rsid w:val="00727D25"/>
    <w:rsid w:val="00727E14"/>
    <w:rsid w:val="007303C2"/>
    <w:rsid w:val="0073042A"/>
    <w:rsid w:val="00730B17"/>
    <w:rsid w:val="00730CD8"/>
    <w:rsid w:val="00730E43"/>
    <w:rsid w:val="0073113C"/>
    <w:rsid w:val="00731508"/>
    <w:rsid w:val="00731EEE"/>
    <w:rsid w:val="00731F9D"/>
    <w:rsid w:val="0073204C"/>
    <w:rsid w:val="0073218B"/>
    <w:rsid w:val="0073237C"/>
    <w:rsid w:val="00732424"/>
    <w:rsid w:val="00732503"/>
    <w:rsid w:val="0073291F"/>
    <w:rsid w:val="00732CDA"/>
    <w:rsid w:val="00732E60"/>
    <w:rsid w:val="00732F3B"/>
    <w:rsid w:val="007332B9"/>
    <w:rsid w:val="0073367B"/>
    <w:rsid w:val="00733D9D"/>
    <w:rsid w:val="00734057"/>
    <w:rsid w:val="00734D83"/>
    <w:rsid w:val="0073505A"/>
    <w:rsid w:val="00735107"/>
    <w:rsid w:val="007353D8"/>
    <w:rsid w:val="00735404"/>
    <w:rsid w:val="00736683"/>
    <w:rsid w:val="0073756F"/>
    <w:rsid w:val="00737AE2"/>
    <w:rsid w:val="00737F7E"/>
    <w:rsid w:val="007403F7"/>
    <w:rsid w:val="00740487"/>
    <w:rsid w:val="00740650"/>
    <w:rsid w:val="00740E15"/>
    <w:rsid w:val="00741B5A"/>
    <w:rsid w:val="00742AEC"/>
    <w:rsid w:val="00742B15"/>
    <w:rsid w:val="00742B49"/>
    <w:rsid w:val="00742BA3"/>
    <w:rsid w:val="00742BD1"/>
    <w:rsid w:val="00742CD6"/>
    <w:rsid w:val="00742D9C"/>
    <w:rsid w:val="007430FD"/>
    <w:rsid w:val="00743A36"/>
    <w:rsid w:val="00743AD3"/>
    <w:rsid w:val="00743B12"/>
    <w:rsid w:val="00743C19"/>
    <w:rsid w:val="007446ED"/>
    <w:rsid w:val="00744715"/>
    <w:rsid w:val="00744917"/>
    <w:rsid w:val="00744A08"/>
    <w:rsid w:val="007452CD"/>
    <w:rsid w:val="00745533"/>
    <w:rsid w:val="00745ADC"/>
    <w:rsid w:val="0074648F"/>
    <w:rsid w:val="0074695E"/>
    <w:rsid w:val="00746A0A"/>
    <w:rsid w:val="00746CE6"/>
    <w:rsid w:val="00746F99"/>
    <w:rsid w:val="00747674"/>
    <w:rsid w:val="00747906"/>
    <w:rsid w:val="00747991"/>
    <w:rsid w:val="00747CF5"/>
    <w:rsid w:val="00750034"/>
    <w:rsid w:val="0075030A"/>
    <w:rsid w:val="007506F0"/>
    <w:rsid w:val="00750742"/>
    <w:rsid w:val="00750778"/>
    <w:rsid w:val="0075094C"/>
    <w:rsid w:val="00750B4D"/>
    <w:rsid w:val="00750BE0"/>
    <w:rsid w:val="00751513"/>
    <w:rsid w:val="00751811"/>
    <w:rsid w:val="00751F89"/>
    <w:rsid w:val="007523E2"/>
    <w:rsid w:val="00752420"/>
    <w:rsid w:val="0075279F"/>
    <w:rsid w:val="0075283C"/>
    <w:rsid w:val="00752F7E"/>
    <w:rsid w:val="007532F1"/>
    <w:rsid w:val="00753B4F"/>
    <w:rsid w:val="00753E99"/>
    <w:rsid w:val="0075416F"/>
    <w:rsid w:val="00754CC3"/>
    <w:rsid w:val="00754DC4"/>
    <w:rsid w:val="00754F0D"/>
    <w:rsid w:val="007553AC"/>
    <w:rsid w:val="007558C2"/>
    <w:rsid w:val="007561E8"/>
    <w:rsid w:val="0075647E"/>
    <w:rsid w:val="00756601"/>
    <w:rsid w:val="00756778"/>
    <w:rsid w:val="0075678C"/>
    <w:rsid w:val="00756D7D"/>
    <w:rsid w:val="00756D9D"/>
    <w:rsid w:val="00757640"/>
    <w:rsid w:val="0075792C"/>
    <w:rsid w:val="00757991"/>
    <w:rsid w:val="00757AC9"/>
    <w:rsid w:val="00757EEF"/>
    <w:rsid w:val="00760263"/>
    <w:rsid w:val="00760AF3"/>
    <w:rsid w:val="00760D5F"/>
    <w:rsid w:val="00761198"/>
    <w:rsid w:val="007613B5"/>
    <w:rsid w:val="00761731"/>
    <w:rsid w:val="00761758"/>
    <w:rsid w:val="007618EE"/>
    <w:rsid w:val="00761A98"/>
    <w:rsid w:val="00761C79"/>
    <w:rsid w:val="00762436"/>
    <w:rsid w:val="0076302D"/>
    <w:rsid w:val="00763156"/>
    <w:rsid w:val="00763297"/>
    <w:rsid w:val="007642E8"/>
    <w:rsid w:val="0076466A"/>
    <w:rsid w:val="0076467F"/>
    <w:rsid w:val="0076599E"/>
    <w:rsid w:val="00765B2A"/>
    <w:rsid w:val="00765D8C"/>
    <w:rsid w:val="007662CB"/>
    <w:rsid w:val="007669D4"/>
    <w:rsid w:val="00766BB4"/>
    <w:rsid w:val="00766FC9"/>
    <w:rsid w:val="0076711D"/>
    <w:rsid w:val="0076722E"/>
    <w:rsid w:val="007676E2"/>
    <w:rsid w:val="00767888"/>
    <w:rsid w:val="00770306"/>
    <w:rsid w:val="00770A5A"/>
    <w:rsid w:val="00770F27"/>
    <w:rsid w:val="00771973"/>
    <w:rsid w:val="0077199F"/>
    <w:rsid w:val="00771B28"/>
    <w:rsid w:val="00771F3E"/>
    <w:rsid w:val="00772429"/>
    <w:rsid w:val="007725B1"/>
    <w:rsid w:val="0077282A"/>
    <w:rsid w:val="00772A9E"/>
    <w:rsid w:val="00772D19"/>
    <w:rsid w:val="00772FE2"/>
    <w:rsid w:val="0077332E"/>
    <w:rsid w:val="00773333"/>
    <w:rsid w:val="007739E2"/>
    <w:rsid w:val="00774902"/>
    <w:rsid w:val="0077554C"/>
    <w:rsid w:val="007758F8"/>
    <w:rsid w:val="007766A2"/>
    <w:rsid w:val="00777468"/>
    <w:rsid w:val="00777A1F"/>
    <w:rsid w:val="00777B3D"/>
    <w:rsid w:val="00780657"/>
    <w:rsid w:val="00780842"/>
    <w:rsid w:val="007809C3"/>
    <w:rsid w:val="00780AEF"/>
    <w:rsid w:val="007818C4"/>
    <w:rsid w:val="00782777"/>
    <w:rsid w:val="00782AB3"/>
    <w:rsid w:val="007831B0"/>
    <w:rsid w:val="0078367F"/>
    <w:rsid w:val="00783810"/>
    <w:rsid w:val="007838A4"/>
    <w:rsid w:val="00783CD0"/>
    <w:rsid w:val="00784AB0"/>
    <w:rsid w:val="00784C50"/>
    <w:rsid w:val="00784CB2"/>
    <w:rsid w:val="0078592F"/>
    <w:rsid w:val="00785B1F"/>
    <w:rsid w:val="0078692A"/>
    <w:rsid w:val="00786A83"/>
    <w:rsid w:val="00786B15"/>
    <w:rsid w:val="00786DD0"/>
    <w:rsid w:val="00786F8C"/>
    <w:rsid w:val="00787523"/>
    <w:rsid w:val="00787802"/>
    <w:rsid w:val="00787B32"/>
    <w:rsid w:val="00790082"/>
    <w:rsid w:val="00790237"/>
    <w:rsid w:val="00790912"/>
    <w:rsid w:val="00791258"/>
    <w:rsid w:val="007912AC"/>
    <w:rsid w:val="007915BE"/>
    <w:rsid w:val="007919FE"/>
    <w:rsid w:val="00792D72"/>
    <w:rsid w:val="00792E5A"/>
    <w:rsid w:val="00792E8B"/>
    <w:rsid w:val="00792ECE"/>
    <w:rsid w:val="0079374A"/>
    <w:rsid w:val="00793965"/>
    <w:rsid w:val="00793C63"/>
    <w:rsid w:val="00793EC5"/>
    <w:rsid w:val="0079474B"/>
    <w:rsid w:val="00794826"/>
    <w:rsid w:val="00794A81"/>
    <w:rsid w:val="00794F53"/>
    <w:rsid w:val="00795BB5"/>
    <w:rsid w:val="00795FF4"/>
    <w:rsid w:val="0079608A"/>
    <w:rsid w:val="007961A9"/>
    <w:rsid w:val="0079627C"/>
    <w:rsid w:val="00796902"/>
    <w:rsid w:val="007970EE"/>
    <w:rsid w:val="0079755E"/>
    <w:rsid w:val="007979DC"/>
    <w:rsid w:val="00797C91"/>
    <w:rsid w:val="007A048B"/>
    <w:rsid w:val="007A101D"/>
    <w:rsid w:val="007A1514"/>
    <w:rsid w:val="007A1884"/>
    <w:rsid w:val="007A1F4C"/>
    <w:rsid w:val="007A219E"/>
    <w:rsid w:val="007A2218"/>
    <w:rsid w:val="007A2331"/>
    <w:rsid w:val="007A2BCF"/>
    <w:rsid w:val="007A2D25"/>
    <w:rsid w:val="007A3702"/>
    <w:rsid w:val="007A381A"/>
    <w:rsid w:val="007A3D69"/>
    <w:rsid w:val="007A3E57"/>
    <w:rsid w:val="007A452D"/>
    <w:rsid w:val="007A49DA"/>
    <w:rsid w:val="007A4C37"/>
    <w:rsid w:val="007A4D0B"/>
    <w:rsid w:val="007A4EF6"/>
    <w:rsid w:val="007A5054"/>
    <w:rsid w:val="007A511E"/>
    <w:rsid w:val="007A5536"/>
    <w:rsid w:val="007A67B3"/>
    <w:rsid w:val="007A6E96"/>
    <w:rsid w:val="007A7421"/>
    <w:rsid w:val="007A785A"/>
    <w:rsid w:val="007A7CF9"/>
    <w:rsid w:val="007A7E92"/>
    <w:rsid w:val="007B0254"/>
    <w:rsid w:val="007B066E"/>
    <w:rsid w:val="007B08CA"/>
    <w:rsid w:val="007B0C0D"/>
    <w:rsid w:val="007B11C2"/>
    <w:rsid w:val="007B156B"/>
    <w:rsid w:val="007B1D4A"/>
    <w:rsid w:val="007B1D50"/>
    <w:rsid w:val="007B2387"/>
    <w:rsid w:val="007B25F6"/>
    <w:rsid w:val="007B2764"/>
    <w:rsid w:val="007B2EE3"/>
    <w:rsid w:val="007B36D1"/>
    <w:rsid w:val="007B41E5"/>
    <w:rsid w:val="007B47C4"/>
    <w:rsid w:val="007B4A68"/>
    <w:rsid w:val="007B4BB5"/>
    <w:rsid w:val="007B4C90"/>
    <w:rsid w:val="007B4F23"/>
    <w:rsid w:val="007B501D"/>
    <w:rsid w:val="007B5598"/>
    <w:rsid w:val="007B57C1"/>
    <w:rsid w:val="007B5F6C"/>
    <w:rsid w:val="007B62C4"/>
    <w:rsid w:val="007B689D"/>
    <w:rsid w:val="007B6E8E"/>
    <w:rsid w:val="007B6F5C"/>
    <w:rsid w:val="007B745B"/>
    <w:rsid w:val="007B748D"/>
    <w:rsid w:val="007B7708"/>
    <w:rsid w:val="007C086D"/>
    <w:rsid w:val="007C0CED"/>
    <w:rsid w:val="007C191E"/>
    <w:rsid w:val="007C1978"/>
    <w:rsid w:val="007C19BF"/>
    <w:rsid w:val="007C1F46"/>
    <w:rsid w:val="007C2297"/>
    <w:rsid w:val="007C2738"/>
    <w:rsid w:val="007C2B06"/>
    <w:rsid w:val="007C2B13"/>
    <w:rsid w:val="007C2BAE"/>
    <w:rsid w:val="007C3150"/>
    <w:rsid w:val="007C31E6"/>
    <w:rsid w:val="007C3340"/>
    <w:rsid w:val="007C4044"/>
    <w:rsid w:val="007C4851"/>
    <w:rsid w:val="007C4B01"/>
    <w:rsid w:val="007C4F3A"/>
    <w:rsid w:val="007C5A0D"/>
    <w:rsid w:val="007C5B3E"/>
    <w:rsid w:val="007C684F"/>
    <w:rsid w:val="007C6E48"/>
    <w:rsid w:val="007C760B"/>
    <w:rsid w:val="007C768A"/>
    <w:rsid w:val="007C79B8"/>
    <w:rsid w:val="007D0696"/>
    <w:rsid w:val="007D0FA3"/>
    <w:rsid w:val="007D1985"/>
    <w:rsid w:val="007D1BFD"/>
    <w:rsid w:val="007D1F44"/>
    <w:rsid w:val="007D2BBF"/>
    <w:rsid w:val="007D2BF6"/>
    <w:rsid w:val="007D349F"/>
    <w:rsid w:val="007D36F6"/>
    <w:rsid w:val="007D383E"/>
    <w:rsid w:val="007D39F7"/>
    <w:rsid w:val="007D3D9D"/>
    <w:rsid w:val="007D40EF"/>
    <w:rsid w:val="007D416E"/>
    <w:rsid w:val="007D434E"/>
    <w:rsid w:val="007D4B1F"/>
    <w:rsid w:val="007D4BB0"/>
    <w:rsid w:val="007D4D7C"/>
    <w:rsid w:val="007D604C"/>
    <w:rsid w:val="007D64EC"/>
    <w:rsid w:val="007D6685"/>
    <w:rsid w:val="007D68A7"/>
    <w:rsid w:val="007D69A9"/>
    <w:rsid w:val="007D7360"/>
    <w:rsid w:val="007D74D6"/>
    <w:rsid w:val="007E00F9"/>
    <w:rsid w:val="007E0259"/>
    <w:rsid w:val="007E061B"/>
    <w:rsid w:val="007E0727"/>
    <w:rsid w:val="007E0DA7"/>
    <w:rsid w:val="007E1008"/>
    <w:rsid w:val="007E15D9"/>
    <w:rsid w:val="007E1741"/>
    <w:rsid w:val="007E256D"/>
    <w:rsid w:val="007E265A"/>
    <w:rsid w:val="007E2680"/>
    <w:rsid w:val="007E2754"/>
    <w:rsid w:val="007E2AC6"/>
    <w:rsid w:val="007E2DC6"/>
    <w:rsid w:val="007E2F9E"/>
    <w:rsid w:val="007E32CE"/>
    <w:rsid w:val="007E332E"/>
    <w:rsid w:val="007E35E7"/>
    <w:rsid w:val="007E379C"/>
    <w:rsid w:val="007E3B3A"/>
    <w:rsid w:val="007E3F5A"/>
    <w:rsid w:val="007E4986"/>
    <w:rsid w:val="007E4B94"/>
    <w:rsid w:val="007E4BB2"/>
    <w:rsid w:val="007E4F0C"/>
    <w:rsid w:val="007E6164"/>
    <w:rsid w:val="007E6600"/>
    <w:rsid w:val="007E699B"/>
    <w:rsid w:val="007E6A7D"/>
    <w:rsid w:val="007E6AA4"/>
    <w:rsid w:val="007E6C6B"/>
    <w:rsid w:val="007E6F46"/>
    <w:rsid w:val="007E7688"/>
    <w:rsid w:val="007E7DDE"/>
    <w:rsid w:val="007E7EFB"/>
    <w:rsid w:val="007F03E8"/>
    <w:rsid w:val="007F0BAA"/>
    <w:rsid w:val="007F0E9F"/>
    <w:rsid w:val="007F1F6C"/>
    <w:rsid w:val="007F2272"/>
    <w:rsid w:val="007F2991"/>
    <w:rsid w:val="007F3570"/>
    <w:rsid w:val="007F4536"/>
    <w:rsid w:val="007F4659"/>
    <w:rsid w:val="007F4C23"/>
    <w:rsid w:val="007F552A"/>
    <w:rsid w:val="007F56D9"/>
    <w:rsid w:val="007F5CEB"/>
    <w:rsid w:val="007F6982"/>
    <w:rsid w:val="007F6AE8"/>
    <w:rsid w:val="007F6D1E"/>
    <w:rsid w:val="007F7554"/>
    <w:rsid w:val="00800161"/>
    <w:rsid w:val="0080080B"/>
    <w:rsid w:val="00800AC5"/>
    <w:rsid w:val="00800D4B"/>
    <w:rsid w:val="00800EB0"/>
    <w:rsid w:val="00801113"/>
    <w:rsid w:val="00801981"/>
    <w:rsid w:val="008019F7"/>
    <w:rsid w:val="00801A1E"/>
    <w:rsid w:val="00801C78"/>
    <w:rsid w:val="00801CBA"/>
    <w:rsid w:val="00801CD9"/>
    <w:rsid w:val="00802136"/>
    <w:rsid w:val="0080225F"/>
    <w:rsid w:val="00802786"/>
    <w:rsid w:val="008029ED"/>
    <w:rsid w:val="008032FA"/>
    <w:rsid w:val="0080386C"/>
    <w:rsid w:val="00803913"/>
    <w:rsid w:val="00804086"/>
    <w:rsid w:val="008048D4"/>
    <w:rsid w:val="00804A71"/>
    <w:rsid w:val="00804E3B"/>
    <w:rsid w:val="00804F57"/>
    <w:rsid w:val="00805065"/>
    <w:rsid w:val="00805134"/>
    <w:rsid w:val="008053B8"/>
    <w:rsid w:val="008057DC"/>
    <w:rsid w:val="0080583E"/>
    <w:rsid w:val="00805D9C"/>
    <w:rsid w:val="0080606F"/>
    <w:rsid w:val="008064F7"/>
    <w:rsid w:val="00806AD9"/>
    <w:rsid w:val="00807704"/>
    <w:rsid w:val="00807E0A"/>
    <w:rsid w:val="00810975"/>
    <w:rsid w:val="00810DA5"/>
    <w:rsid w:val="0081124F"/>
    <w:rsid w:val="00811370"/>
    <w:rsid w:val="0081192E"/>
    <w:rsid w:val="00811944"/>
    <w:rsid w:val="00811F18"/>
    <w:rsid w:val="008120FD"/>
    <w:rsid w:val="00812DAD"/>
    <w:rsid w:val="008130A6"/>
    <w:rsid w:val="00813179"/>
    <w:rsid w:val="008132A7"/>
    <w:rsid w:val="00813684"/>
    <w:rsid w:val="00813836"/>
    <w:rsid w:val="00813ACC"/>
    <w:rsid w:val="0081525E"/>
    <w:rsid w:val="00815939"/>
    <w:rsid w:val="00816C67"/>
    <w:rsid w:val="00816DCE"/>
    <w:rsid w:val="00817248"/>
    <w:rsid w:val="008173AA"/>
    <w:rsid w:val="008173B1"/>
    <w:rsid w:val="00817895"/>
    <w:rsid w:val="00821938"/>
    <w:rsid w:val="00821945"/>
    <w:rsid w:val="008221B3"/>
    <w:rsid w:val="00822222"/>
    <w:rsid w:val="00822411"/>
    <w:rsid w:val="0082245B"/>
    <w:rsid w:val="00822BD4"/>
    <w:rsid w:val="00822EA6"/>
    <w:rsid w:val="008231BC"/>
    <w:rsid w:val="00823473"/>
    <w:rsid w:val="00823B8A"/>
    <w:rsid w:val="00824232"/>
    <w:rsid w:val="008248A5"/>
    <w:rsid w:val="00824CC2"/>
    <w:rsid w:val="00824E4B"/>
    <w:rsid w:val="00824EEB"/>
    <w:rsid w:val="00825FC8"/>
    <w:rsid w:val="008266BF"/>
    <w:rsid w:val="00826896"/>
    <w:rsid w:val="00826BCA"/>
    <w:rsid w:val="00826F4C"/>
    <w:rsid w:val="00827546"/>
    <w:rsid w:val="008308A8"/>
    <w:rsid w:val="0083125B"/>
    <w:rsid w:val="0083139D"/>
    <w:rsid w:val="00831540"/>
    <w:rsid w:val="00831CB4"/>
    <w:rsid w:val="00831EA8"/>
    <w:rsid w:val="0083230E"/>
    <w:rsid w:val="0083256C"/>
    <w:rsid w:val="00832665"/>
    <w:rsid w:val="008326EB"/>
    <w:rsid w:val="00832761"/>
    <w:rsid w:val="00832EEB"/>
    <w:rsid w:val="0083398E"/>
    <w:rsid w:val="00833D91"/>
    <w:rsid w:val="00834306"/>
    <w:rsid w:val="00834531"/>
    <w:rsid w:val="00834A7D"/>
    <w:rsid w:val="00834D9E"/>
    <w:rsid w:val="00834E39"/>
    <w:rsid w:val="00834EC8"/>
    <w:rsid w:val="00835510"/>
    <w:rsid w:val="008355F7"/>
    <w:rsid w:val="0083586F"/>
    <w:rsid w:val="008358F5"/>
    <w:rsid w:val="00835BC2"/>
    <w:rsid w:val="00836165"/>
    <w:rsid w:val="0083655F"/>
    <w:rsid w:val="00837670"/>
    <w:rsid w:val="0083798C"/>
    <w:rsid w:val="00837C3C"/>
    <w:rsid w:val="00837F21"/>
    <w:rsid w:val="008405EA"/>
    <w:rsid w:val="00840896"/>
    <w:rsid w:val="00841162"/>
    <w:rsid w:val="00841280"/>
    <w:rsid w:val="00841862"/>
    <w:rsid w:val="00842213"/>
    <w:rsid w:val="008422F8"/>
    <w:rsid w:val="008426E3"/>
    <w:rsid w:val="00842917"/>
    <w:rsid w:val="0084374C"/>
    <w:rsid w:val="008439EE"/>
    <w:rsid w:val="00843E0C"/>
    <w:rsid w:val="00844133"/>
    <w:rsid w:val="00844452"/>
    <w:rsid w:val="00844512"/>
    <w:rsid w:val="00844BFB"/>
    <w:rsid w:val="00844EEF"/>
    <w:rsid w:val="00845052"/>
    <w:rsid w:val="00845358"/>
    <w:rsid w:val="008457EC"/>
    <w:rsid w:val="00845AE0"/>
    <w:rsid w:val="00845DBA"/>
    <w:rsid w:val="00845E27"/>
    <w:rsid w:val="0084675D"/>
    <w:rsid w:val="00847041"/>
    <w:rsid w:val="0084781F"/>
    <w:rsid w:val="008479CD"/>
    <w:rsid w:val="00847A72"/>
    <w:rsid w:val="00847EBD"/>
    <w:rsid w:val="00850262"/>
    <w:rsid w:val="00850842"/>
    <w:rsid w:val="00851475"/>
    <w:rsid w:val="00851569"/>
    <w:rsid w:val="008517E1"/>
    <w:rsid w:val="00851A56"/>
    <w:rsid w:val="00851D1E"/>
    <w:rsid w:val="0085236D"/>
    <w:rsid w:val="0085238B"/>
    <w:rsid w:val="008537D6"/>
    <w:rsid w:val="00853DBE"/>
    <w:rsid w:val="00853E6E"/>
    <w:rsid w:val="00853F10"/>
    <w:rsid w:val="008542AE"/>
    <w:rsid w:val="0085443C"/>
    <w:rsid w:val="008546AA"/>
    <w:rsid w:val="00854846"/>
    <w:rsid w:val="00855280"/>
    <w:rsid w:val="00856A79"/>
    <w:rsid w:val="00856B87"/>
    <w:rsid w:val="008572A1"/>
    <w:rsid w:val="00857320"/>
    <w:rsid w:val="0085735C"/>
    <w:rsid w:val="0085798E"/>
    <w:rsid w:val="00857FC8"/>
    <w:rsid w:val="00857FF3"/>
    <w:rsid w:val="008601A6"/>
    <w:rsid w:val="00860240"/>
    <w:rsid w:val="00860967"/>
    <w:rsid w:val="00860994"/>
    <w:rsid w:val="00860E3E"/>
    <w:rsid w:val="00861323"/>
    <w:rsid w:val="0086136A"/>
    <w:rsid w:val="0086151D"/>
    <w:rsid w:val="008617B1"/>
    <w:rsid w:val="00861B92"/>
    <w:rsid w:val="00861DA0"/>
    <w:rsid w:val="00861DFD"/>
    <w:rsid w:val="00861F1F"/>
    <w:rsid w:val="00861F98"/>
    <w:rsid w:val="00862549"/>
    <w:rsid w:val="008627C4"/>
    <w:rsid w:val="00862A83"/>
    <w:rsid w:val="00862ADC"/>
    <w:rsid w:val="00862BF3"/>
    <w:rsid w:val="0086375F"/>
    <w:rsid w:val="0086418C"/>
    <w:rsid w:val="0086421D"/>
    <w:rsid w:val="0086497A"/>
    <w:rsid w:val="008649C8"/>
    <w:rsid w:val="00864FEC"/>
    <w:rsid w:val="00865ABF"/>
    <w:rsid w:val="00866543"/>
    <w:rsid w:val="008665BB"/>
    <w:rsid w:val="0086683F"/>
    <w:rsid w:val="00866A48"/>
    <w:rsid w:val="00867235"/>
    <w:rsid w:val="00867565"/>
    <w:rsid w:val="00867704"/>
    <w:rsid w:val="00867850"/>
    <w:rsid w:val="00867F3C"/>
    <w:rsid w:val="00870504"/>
    <w:rsid w:val="00870754"/>
    <w:rsid w:val="008708EC"/>
    <w:rsid w:val="00870BFE"/>
    <w:rsid w:val="00870C47"/>
    <w:rsid w:val="00870E02"/>
    <w:rsid w:val="0087120A"/>
    <w:rsid w:val="00871342"/>
    <w:rsid w:val="00871812"/>
    <w:rsid w:val="0087190C"/>
    <w:rsid w:val="00871BA0"/>
    <w:rsid w:val="00871D30"/>
    <w:rsid w:val="00871D4D"/>
    <w:rsid w:val="00872151"/>
    <w:rsid w:val="00872159"/>
    <w:rsid w:val="008728C0"/>
    <w:rsid w:val="008729A2"/>
    <w:rsid w:val="00872F8D"/>
    <w:rsid w:val="008737FE"/>
    <w:rsid w:val="00873883"/>
    <w:rsid w:val="00873A86"/>
    <w:rsid w:val="00873D6B"/>
    <w:rsid w:val="00873D9A"/>
    <w:rsid w:val="00873EC4"/>
    <w:rsid w:val="00873EF7"/>
    <w:rsid w:val="008741C3"/>
    <w:rsid w:val="008743F7"/>
    <w:rsid w:val="00874CFB"/>
    <w:rsid w:val="00875047"/>
    <w:rsid w:val="00875AA3"/>
    <w:rsid w:val="00876155"/>
    <w:rsid w:val="00876387"/>
    <w:rsid w:val="00876A1A"/>
    <w:rsid w:val="00876CF4"/>
    <w:rsid w:val="00876F4E"/>
    <w:rsid w:val="00877753"/>
    <w:rsid w:val="00877784"/>
    <w:rsid w:val="00877875"/>
    <w:rsid w:val="00877A10"/>
    <w:rsid w:val="008801F0"/>
    <w:rsid w:val="008804AE"/>
    <w:rsid w:val="00880550"/>
    <w:rsid w:val="008809A6"/>
    <w:rsid w:val="00880C19"/>
    <w:rsid w:val="00880E51"/>
    <w:rsid w:val="00881083"/>
    <w:rsid w:val="008810A1"/>
    <w:rsid w:val="008814F3"/>
    <w:rsid w:val="00881647"/>
    <w:rsid w:val="00881DBC"/>
    <w:rsid w:val="00881DDF"/>
    <w:rsid w:val="00881F88"/>
    <w:rsid w:val="0088227D"/>
    <w:rsid w:val="00882CAB"/>
    <w:rsid w:val="00882E67"/>
    <w:rsid w:val="008832C9"/>
    <w:rsid w:val="008834C2"/>
    <w:rsid w:val="008834E0"/>
    <w:rsid w:val="00883A8D"/>
    <w:rsid w:val="00883E8A"/>
    <w:rsid w:val="00883FB3"/>
    <w:rsid w:val="00884025"/>
    <w:rsid w:val="0088439A"/>
    <w:rsid w:val="00884412"/>
    <w:rsid w:val="008851A4"/>
    <w:rsid w:val="00886CEA"/>
    <w:rsid w:val="008871CE"/>
    <w:rsid w:val="00887E0C"/>
    <w:rsid w:val="00890262"/>
    <w:rsid w:val="00890669"/>
    <w:rsid w:val="00890724"/>
    <w:rsid w:val="00890AD8"/>
    <w:rsid w:val="00890B5A"/>
    <w:rsid w:val="00890F0D"/>
    <w:rsid w:val="008912C6"/>
    <w:rsid w:val="0089167B"/>
    <w:rsid w:val="00892A38"/>
    <w:rsid w:val="00892C39"/>
    <w:rsid w:val="00892C68"/>
    <w:rsid w:val="008932ED"/>
    <w:rsid w:val="00893AB6"/>
    <w:rsid w:val="00893B82"/>
    <w:rsid w:val="00893C7C"/>
    <w:rsid w:val="00893FE2"/>
    <w:rsid w:val="00896250"/>
    <w:rsid w:val="00896E31"/>
    <w:rsid w:val="008A0337"/>
    <w:rsid w:val="008A089B"/>
    <w:rsid w:val="008A0B4E"/>
    <w:rsid w:val="008A0C06"/>
    <w:rsid w:val="008A121B"/>
    <w:rsid w:val="008A1BFA"/>
    <w:rsid w:val="008A1CA8"/>
    <w:rsid w:val="008A1F6D"/>
    <w:rsid w:val="008A205B"/>
    <w:rsid w:val="008A2322"/>
    <w:rsid w:val="008A252A"/>
    <w:rsid w:val="008A2720"/>
    <w:rsid w:val="008A2915"/>
    <w:rsid w:val="008A2AAF"/>
    <w:rsid w:val="008A3BC4"/>
    <w:rsid w:val="008A3C6F"/>
    <w:rsid w:val="008A434E"/>
    <w:rsid w:val="008A462D"/>
    <w:rsid w:val="008A50F9"/>
    <w:rsid w:val="008A555D"/>
    <w:rsid w:val="008A5640"/>
    <w:rsid w:val="008A593C"/>
    <w:rsid w:val="008A5A21"/>
    <w:rsid w:val="008A5D77"/>
    <w:rsid w:val="008A5F93"/>
    <w:rsid w:val="008A60A3"/>
    <w:rsid w:val="008A65B7"/>
    <w:rsid w:val="008A6C65"/>
    <w:rsid w:val="008A6D3A"/>
    <w:rsid w:val="008A6D87"/>
    <w:rsid w:val="008A7290"/>
    <w:rsid w:val="008A742E"/>
    <w:rsid w:val="008A74E1"/>
    <w:rsid w:val="008A7904"/>
    <w:rsid w:val="008A7F52"/>
    <w:rsid w:val="008B0401"/>
    <w:rsid w:val="008B0404"/>
    <w:rsid w:val="008B08AC"/>
    <w:rsid w:val="008B0A7E"/>
    <w:rsid w:val="008B1164"/>
    <w:rsid w:val="008B1247"/>
    <w:rsid w:val="008B15E6"/>
    <w:rsid w:val="008B161D"/>
    <w:rsid w:val="008B1742"/>
    <w:rsid w:val="008B1B2C"/>
    <w:rsid w:val="008B1BB6"/>
    <w:rsid w:val="008B1C7C"/>
    <w:rsid w:val="008B1E56"/>
    <w:rsid w:val="008B1E6C"/>
    <w:rsid w:val="008B2264"/>
    <w:rsid w:val="008B2CA0"/>
    <w:rsid w:val="008B3482"/>
    <w:rsid w:val="008B3ABC"/>
    <w:rsid w:val="008B41C0"/>
    <w:rsid w:val="008B41F0"/>
    <w:rsid w:val="008B4290"/>
    <w:rsid w:val="008B45AD"/>
    <w:rsid w:val="008B561D"/>
    <w:rsid w:val="008B5732"/>
    <w:rsid w:val="008B5740"/>
    <w:rsid w:val="008B579E"/>
    <w:rsid w:val="008B5948"/>
    <w:rsid w:val="008B62BB"/>
    <w:rsid w:val="008B641C"/>
    <w:rsid w:val="008B6742"/>
    <w:rsid w:val="008B6F26"/>
    <w:rsid w:val="008B7076"/>
    <w:rsid w:val="008B73C1"/>
    <w:rsid w:val="008B796C"/>
    <w:rsid w:val="008B7B71"/>
    <w:rsid w:val="008B7BDF"/>
    <w:rsid w:val="008C0ABF"/>
    <w:rsid w:val="008C0E75"/>
    <w:rsid w:val="008C1DC2"/>
    <w:rsid w:val="008C2382"/>
    <w:rsid w:val="008C2721"/>
    <w:rsid w:val="008C2C25"/>
    <w:rsid w:val="008C35B4"/>
    <w:rsid w:val="008C3E6D"/>
    <w:rsid w:val="008C44AA"/>
    <w:rsid w:val="008C4C9C"/>
    <w:rsid w:val="008C6151"/>
    <w:rsid w:val="008C6215"/>
    <w:rsid w:val="008C67AD"/>
    <w:rsid w:val="008C6B4F"/>
    <w:rsid w:val="008C6B93"/>
    <w:rsid w:val="008C6BD3"/>
    <w:rsid w:val="008C6C16"/>
    <w:rsid w:val="008C6E9E"/>
    <w:rsid w:val="008C75B5"/>
    <w:rsid w:val="008C7E16"/>
    <w:rsid w:val="008C7F66"/>
    <w:rsid w:val="008D05A8"/>
    <w:rsid w:val="008D076B"/>
    <w:rsid w:val="008D0EB5"/>
    <w:rsid w:val="008D15FE"/>
    <w:rsid w:val="008D1B6B"/>
    <w:rsid w:val="008D1C98"/>
    <w:rsid w:val="008D2639"/>
    <w:rsid w:val="008D2811"/>
    <w:rsid w:val="008D2B04"/>
    <w:rsid w:val="008D2CF4"/>
    <w:rsid w:val="008D323A"/>
    <w:rsid w:val="008D32DD"/>
    <w:rsid w:val="008D3321"/>
    <w:rsid w:val="008D41ED"/>
    <w:rsid w:val="008D4357"/>
    <w:rsid w:val="008D4A15"/>
    <w:rsid w:val="008D4ACB"/>
    <w:rsid w:val="008D4DBD"/>
    <w:rsid w:val="008D582C"/>
    <w:rsid w:val="008D5C8E"/>
    <w:rsid w:val="008D5D75"/>
    <w:rsid w:val="008D62C8"/>
    <w:rsid w:val="008D6E06"/>
    <w:rsid w:val="008D7697"/>
    <w:rsid w:val="008D796A"/>
    <w:rsid w:val="008D7A42"/>
    <w:rsid w:val="008D7C50"/>
    <w:rsid w:val="008D7C95"/>
    <w:rsid w:val="008D7ED2"/>
    <w:rsid w:val="008E0297"/>
    <w:rsid w:val="008E0555"/>
    <w:rsid w:val="008E0AE2"/>
    <w:rsid w:val="008E14AA"/>
    <w:rsid w:val="008E14C6"/>
    <w:rsid w:val="008E19A8"/>
    <w:rsid w:val="008E1CE5"/>
    <w:rsid w:val="008E1DB9"/>
    <w:rsid w:val="008E1E6D"/>
    <w:rsid w:val="008E2437"/>
    <w:rsid w:val="008E2CB8"/>
    <w:rsid w:val="008E2F5A"/>
    <w:rsid w:val="008E2F93"/>
    <w:rsid w:val="008E301E"/>
    <w:rsid w:val="008E3074"/>
    <w:rsid w:val="008E35A4"/>
    <w:rsid w:val="008E366F"/>
    <w:rsid w:val="008E370B"/>
    <w:rsid w:val="008E3917"/>
    <w:rsid w:val="008E3AD2"/>
    <w:rsid w:val="008E4A6A"/>
    <w:rsid w:val="008E4F3F"/>
    <w:rsid w:val="008E534A"/>
    <w:rsid w:val="008E5A28"/>
    <w:rsid w:val="008E5B2D"/>
    <w:rsid w:val="008E5D7F"/>
    <w:rsid w:val="008E5ED1"/>
    <w:rsid w:val="008E61B8"/>
    <w:rsid w:val="008E6265"/>
    <w:rsid w:val="008E63BD"/>
    <w:rsid w:val="008E6FD5"/>
    <w:rsid w:val="008E7C88"/>
    <w:rsid w:val="008F02F7"/>
    <w:rsid w:val="008F069D"/>
    <w:rsid w:val="008F0779"/>
    <w:rsid w:val="008F07D3"/>
    <w:rsid w:val="008F1EEC"/>
    <w:rsid w:val="008F20A8"/>
    <w:rsid w:val="008F25FF"/>
    <w:rsid w:val="008F2C30"/>
    <w:rsid w:val="008F3738"/>
    <w:rsid w:val="008F414B"/>
    <w:rsid w:val="008F45D6"/>
    <w:rsid w:val="008F4996"/>
    <w:rsid w:val="008F4AA6"/>
    <w:rsid w:val="008F539C"/>
    <w:rsid w:val="008F5C12"/>
    <w:rsid w:val="008F6FD1"/>
    <w:rsid w:val="008F761B"/>
    <w:rsid w:val="008F764C"/>
    <w:rsid w:val="008F77A9"/>
    <w:rsid w:val="008F78BA"/>
    <w:rsid w:val="008F7DC6"/>
    <w:rsid w:val="00900346"/>
    <w:rsid w:val="009003E1"/>
    <w:rsid w:val="009008D2"/>
    <w:rsid w:val="00900DCB"/>
    <w:rsid w:val="009011E2"/>
    <w:rsid w:val="0090132F"/>
    <w:rsid w:val="00901624"/>
    <w:rsid w:val="00901AE2"/>
    <w:rsid w:val="0090201F"/>
    <w:rsid w:val="00902045"/>
    <w:rsid w:val="0090214D"/>
    <w:rsid w:val="0090286B"/>
    <w:rsid w:val="00902BFE"/>
    <w:rsid w:val="00902F43"/>
    <w:rsid w:val="0090300F"/>
    <w:rsid w:val="0090335D"/>
    <w:rsid w:val="009034BB"/>
    <w:rsid w:val="0090365F"/>
    <w:rsid w:val="00903716"/>
    <w:rsid w:val="00903BC4"/>
    <w:rsid w:val="00903DCC"/>
    <w:rsid w:val="00904233"/>
    <w:rsid w:val="009042B8"/>
    <w:rsid w:val="009045AF"/>
    <w:rsid w:val="00904E46"/>
    <w:rsid w:val="0090526D"/>
    <w:rsid w:val="00905E5A"/>
    <w:rsid w:val="00905E66"/>
    <w:rsid w:val="009069D9"/>
    <w:rsid w:val="00906AA8"/>
    <w:rsid w:val="00906D4D"/>
    <w:rsid w:val="00907876"/>
    <w:rsid w:val="0091017A"/>
    <w:rsid w:val="009106B2"/>
    <w:rsid w:val="0091105A"/>
    <w:rsid w:val="00911271"/>
    <w:rsid w:val="00911391"/>
    <w:rsid w:val="0091176E"/>
    <w:rsid w:val="00911A1B"/>
    <w:rsid w:val="00911C5A"/>
    <w:rsid w:val="00911C6F"/>
    <w:rsid w:val="00911CAD"/>
    <w:rsid w:val="00911CBF"/>
    <w:rsid w:val="00911F0E"/>
    <w:rsid w:val="009123B4"/>
    <w:rsid w:val="009123B9"/>
    <w:rsid w:val="00912481"/>
    <w:rsid w:val="0091277B"/>
    <w:rsid w:val="00912B3A"/>
    <w:rsid w:val="00912EB6"/>
    <w:rsid w:val="0091316E"/>
    <w:rsid w:val="009137AE"/>
    <w:rsid w:val="00913956"/>
    <w:rsid w:val="00913998"/>
    <w:rsid w:val="00913BFD"/>
    <w:rsid w:val="009140C9"/>
    <w:rsid w:val="009141C0"/>
    <w:rsid w:val="009144EF"/>
    <w:rsid w:val="00914534"/>
    <w:rsid w:val="00914A70"/>
    <w:rsid w:val="009150E2"/>
    <w:rsid w:val="009151EE"/>
    <w:rsid w:val="0091525A"/>
    <w:rsid w:val="00915780"/>
    <w:rsid w:val="009158A6"/>
    <w:rsid w:val="00915F25"/>
    <w:rsid w:val="00916053"/>
    <w:rsid w:val="009166FA"/>
    <w:rsid w:val="00916C84"/>
    <w:rsid w:val="009174DF"/>
    <w:rsid w:val="009179B5"/>
    <w:rsid w:val="00917DDC"/>
    <w:rsid w:val="00917E9B"/>
    <w:rsid w:val="00920111"/>
    <w:rsid w:val="009201ED"/>
    <w:rsid w:val="00920276"/>
    <w:rsid w:val="00920A0F"/>
    <w:rsid w:val="00920D36"/>
    <w:rsid w:val="0092126D"/>
    <w:rsid w:val="009212D3"/>
    <w:rsid w:val="0092189C"/>
    <w:rsid w:val="00921C88"/>
    <w:rsid w:val="00921EE9"/>
    <w:rsid w:val="009223B0"/>
    <w:rsid w:val="00922504"/>
    <w:rsid w:val="009228B8"/>
    <w:rsid w:val="00923195"/>
    <w:rsid w:val="0092351F"/>
    <w:rsid w:val="00923E71"/>
    <w:rsid w:val="009243E1"/>
    <w:rsid w:val="00924AB6"/>
    <w:rsid w:val="00924ACC"/>
    <w:rsid w:val="00924AE4"/>
    <w:rsid w:val="00924B54"/>
    <w:rsid w:val="00924EDB"/>
    <w:rsid w:val="00925840"/>
    <w:rsid w:val="009262F3"/>
    <w:rsid w:val="0092664A"/>
    <w:rsid w:val="00926C9A"/>
    <w:rsid w:val="00926E4A"/>
    <w:rsid w:val="00927158"/>
    <w:rsid w:val="0092747B"/>
    <w:rsid w:val="00927604"/>
    <w:rsid w:val="00927C9C"/>
    <w:rsid w:val="00927D85"/>
    <w:rsid w:val="00927E3E"/>
    <w:rsid w:val="00927EC4"/>
    <w:rsid w:val="00930687"/>
    <w:rsid w:val="0093080D"/>
    <w:rsid w:val="009309E5"/>
    <w:rsid w:val="009313C2"/>
    <w:rsid w:val="00931E96"/>
    <w:rsid w:val="0093285E"/>
    <w:rsid w:val="00932BC6"/>
    <w:rsid w:val="00932BD1"/>
    <w:rsid w:val="00933027"/>
    <w:rsid w:val="00933603"/>
    <w:rsid w:val="00933768"/>
    <w:rsid w:val="009338DD"/>
    <w:rsid w:val="00933E5F"/>
    <w:rsid w:val="0093413E"/>
    <w:rsid w:val="009344E8"/>
    <w:rsid w:val="00934752"/>
    <w:rsid w:val="009347E6"/>
    <w:rsid w:val="00934EB6"/>
    <w:rsid w:val="009350A3"/>
    <w:rsid w:val="00935335"/>
    <w:rsid w:val="00935A9C"/>
    <w:rsid w:val="00935E84"/>
    <w:rsid w:val="00935EEE"/>
    <w:rsid w:val="009366CE"/>
    <w:rsid w:val="00936A4C"/>
    <w:rsid w:val="00936E3C"/>
    <w:rsid w:val="00936F50"/>
    <w:rsid w:val="00937471"/>
    <w:rsid w:val="009374C0"/>
    <w:rsid w:val="00940212"/>
    <w:rsid w:val="0094078C"/>
    <w:rsid w:val="009408E3"/>
    <w:rsid w:val="00940BE1"/>
    <w:rsid w:val="00940C7E"/>
    <w:rsid w:val="00940CBD"/>
    <w:rsid w:val="009411E1"/>
    <w:rsid w:val="0094168A"/>
    <w:rsid w:val="0094184B"/>
    <w:rsid w:val="009419EA"/>
    <w:rsid w:val="00941F02"/>
    <w:rsid w:val="009420EB"/>
    <w:rsid w:val="009423C4"/>
    <w:rsid w:val="00942577"/>
    <w:rsid w:val="009434A7"/>
    <w:rsid w:val="00943762"/>
    <w:rsid w:val="009438B6"/>
    <w:rsid w:val="00943B54"/>
    <w:rsid w:val="00943FA3"/>
    <w:rsid w:val="0094428E"/>
    <w:rsid w:val="009443CA"/>
    <w:rsid w:val="009445E2"/>
    <w:rsid w:val="00944820"/>
    <w:rsid w:val="00944E7C"/>
    <w:rsid w:val="00944EA0"/>
    <w:rsid w:val="009451E0"/>
    <w:rsid w:val="009454DA"/>
    <w:rsid w:val="00945575"/>
    <w:rsid w:val="00945658"/>
    <w:rsid w:val="009456C1"/>
    <w:rsid w:val="0094789C"/>
    <w:rsid w:val="00950291"/>
    <w:rsid w:val="009504BB"/>
    <w:rsid w:val="00950ADC"/>
    <w:rsid w:val="009510DB"/>
    <w:rsid w:val="009513ED"/>
    <w:rsid w:val="0095169B"/>
    <w:rsid w:val="00951E70"/>
    <w:rsid w:val="00951F1B"/>
    <w:rsid w:val="0095269D"/>
    <w:rsid w:val="00952BBC"/>
    <w:rsid w:val="00952E1C"/>
    <w:rsid w:val="00953B06"/>
    <w:rsid w:val="00953D47"/>
    <w:rsid w:val="00953D74"/>
    <w:rsid w:val="00953EF9"/>
    <w:rsid w:val="00954941"/>
    <w:rsid w:val="00954E3A"/>
    <w:rsid w:val="0095553B"/>
    <w:rsid w:val="00955797"/>
    <w:rsid w:val="0095598F"/>
    <w:rsid w:val="00955DBB"/>
    <w:rsid w:val="0095614A"/>
    <w:rsid w:val="0095629B"/>
    <w:rsid w:val="00956331"/>
    <w:rsid w:val="00956DB3"/>
    <w:rsid w:val="0095746C"/>
    <w:rsid w:val="00957994"/>
    <w:rsid w:val="00957A02"/>
    <w:rsid w:val="00957B36"/>
    <w:rsid w:val="00960009"/>
    <w:rsid w:val="00960603"/>
    <w:rsid w:val="00960D79"/>
    <w:rsid w:val="009610F6"/>
    <w:rsid w:val="00961642"/>
    <w:rsid w:val="00961B54"/>
    <w:rsid w:val="00961BA5"/>
    <w:rsid w:val="00961DE6"/>
    <w:rsid w:val="00961F0A"/>
    <w:rsid w:val="00962386"/>
    <w:rsid w:val="00962725"/>
    <w:rsid w:val="009629B3"/>
    <w:rsid w:val="00962A07"/>
    <w:rsid w:val="00964A71"/>
    <w:rsid w:val="00964DEE"/>
    <w:rsid w:val="00965A02"/>
    <w:rsid w:val="00965CAE"/>
    <w:rsid w:val="009666DF"/>
    <w:rsid w:val="009669FF"/>
    <w:rsid w:val="00966E85"/>
    <w:rsid w:val="0096752E"/>
    <w:rsid w:val="00967C53"/>
    <w:rsid w:val="009710C8"/>
    <w:rsid w:val="009711D1"/>
    <w:rsid w:val="00971374"/>
    <w:rsid w:val="009714AA"/>
    <w:rsid w:val="0097186D"/>
    <w:rsid w:val="00971C0B"/>
    <w:rsid w:val="00972467"/>
    <w:rsid w:val="00972548"/>
    <w:rsid w:val="0097290B"/>
    <w:rsid w:val="00972BE8"/>
    <w:rsid w:val="00972C14"/>
    <w:rsid w:val="009730B6"/>
    <w:rsid w:val="00973421"/>
    <w:rsid w:val="00973660"/>
    <w:rsid w:val="009736D6"/>
    <w:rsid w:val="00973CB7"/>
    <w:rsid w:val="00973D53"/>
    <w:rsid w:val="00973DD3"/>
    <w:rsid w:val="00974324"/>
    <w:rsid w:val="0097434A"/>
    <w:rsid w:val="009746AA"/>
    <w:rsid w:val="00974CBA"/>
    <w:rsid w:val="00974E24"/>
    <w:rsid w:val="00974F02"/>
    <w:rsid w:val="00975080"/>
    <w:rsid w:val="0097592E"/>
    <w:rsid w:val="0097663A"/>
    <w:rsid w:val="009771E7"/>
    <w:rsid w:val="009776B3"/>
    <w:rsid w:val="0097779B"/>
    <w:rsid w:val="00977BDE"/>
    <w:rsid w:val="00977C6E"/>
    <w:rsid w:val="00977C7A"/>
    <w:rsid w:val="00980451"/>
    <w:rsid w:val="00980473"/>
    <w:rsid w:val="00980597"/>
    <w:rsid w:val="0098126A"/>
    <w:rsid w:val="00981EDC"/>
    <w:rsid w:val="00982133"/>
    <w:rsid w:val="0098488E"/>
    <w:rsid w:val="009848B4"/>
    <w:rsid w:val="00984981"/>
    <w:rsid w:val="00984B48"/>
    <w:rsid w:val="00984C4B"/>
    <w:rsid w:val="00985275"/>
    <w:rsid w:val="00985607"/>
    <w:rsid w:val="00985CB4"/>
    <w:rsid w:val="009865D2"/>
    <w:rsid w:val="009865FB"/>
    <w:rsid w:val="00986611"/>
    <w:rsid w:val="00986B6D"/>
    <w:rsid w:val="00987F93"/>
    <w:rsid w:val="00987FBA"/>
    <w:rsid w:val="00987FF3"/>
    <w:rsid w:val="00987FF9"/>
    <w:rsid w:val="009906F2"/>
    <w:rsid w:val="00990892"/>
    <w:rsid w:val="009908E7"/>
    <w:rsid w:val="00990EBC"/>
    <w:rsid w:val="00990F6A"/>
    <w:rsid w:val="009916B3"/>
    <w:rsid w:val="00991734"/>
    <w:rsid w:val="0099219B"/>
    <w:rsid w:val="0099267E"/>
    <w:rsid w:val="009929BA"/>
    <w:rsid w:val="00992BF7"/>
    <w:rsid w:val="00992E4F"/>
    <w:rsid w:val="00992FE9"/>
    <w:rsid w:val="00993153"/>
    <w:rsid w:val="0099375A"/>
    <w:rsid w:val="00994A83"/>
    <w:rsid w:val="00994F05"/>
    <w:rsid w:val="00994F13"/>
    <w:rsid w:val="00995150"/>
    <w:rsid w:val="009959C2"/>
    <w:rsid w:val="00996367"/>
    <w:rsid w:val="00996DD1"/>
    <w:rsid w:val="00997498"/>
    <w:rsid w:val="009979D4"/>
    <w:rsid w:val="00997C51"/>
    <w:rsid w:val="009A01B3"/>
    <w:rsid w:val="009A04C5"/>
    <w:rsid w:val="009A0875"/>
    <w:rsid w:val="009A0DC5"/>
    <w:rsid w:val="009A172C"/>
    <w:rsid w:val="009A19AF"/>
    <w:rsid w:val="009A1B83"/>
    <w:rsid w:val="009A1C23"/>
    <w:rsid w:val="009A1D2B"/>
    <w:rsid w:val="009A1F2F"/>
    <w:rsid w:val="009A2706"/>
    <w:rsid w:val="009A29B1"/>
    <w:rsid w:val="009A312A"/>
    <w:rsid w:val="009A3193"/>
    <w:rsid w:val="009A3271"/>
    <w:rsid w:val="009A3483"/>
    <w:rsid w:val="009A3857"/>
    <w:rsid w:val="009A3AE4"/>
    <w:rsid w:val="009A3FB5"/>
    <w:rsid w:val="009A4B3A"/>
    <w:rsid w:val="009A4BCA"/>
    <w:rsid w:val="009A4EF7"/>
    <w:rsid w:val="009A511D"/>
    <w:rsid w:val="009A5289"/>
    <w:rsid w:val="009A57F2"/>
    <w:rsid w:val="009A5921"/>
    <w:rsid w:val="009A5A0E"/>
    <w:rsid w:val="009A5B15"/>
    <w:rsid w:val="009A5E4E"/>
    <w:rsid w:val="009A61EF"/>
    <w:rsid w:val="009A6526"/>
    <w:rsid w:val="009A6971"/>
    <w:rsid w:val="009A6C1D"/>
    <w:rsid w:val="009A6CC7"/>
    <w:rsid w:val="009A7936"/>
    <w:rsid w:val="009A7A3D"/>
    <w:rsid w:val="009A7BB0"/>
    <w:rsid w:val="009A7CD8"/>
    <w:rsid w:val="009B03F0"/>
    <w:rsid w:val="009B07A8"/>
    <w:rsid w:val="009B089D"/>
    <w:rsid w:val="009B0907"/>
    <w:rsid w:val="009B0E65"/>
    <w:rsid w:val="009B1C01"/>
    <w:rsid w:val="009B1D88"/>
    <w:rsid w:val="009B1E6E"/>
    <w:rsid w:val="009B1FC6"/>
    <w:rsid w:val="009B23A7"/>
    <w:rsid w:val="009B2445"/>
    <w:rsid w:val="009B35C2"/>
    <w:rsid w:val="009B35FC"/>
    <w:rsid w:val="009B4859"/>
    <w:rsid w:val="009B4987"/>
    <w:rsid w:val="009B4B7A"/>
    <w:rsid w:val="009B4C11"/>
    <w:rsid w:val="009B4DC3"/>
    <w:rsid w:val="009B5317"/>
    <w:rsid w:val="009B5DA4"/>
    <w:rsid w:val="009B62B7"/>
    <w:rsid w:val="009B6498"/>
    <w:rsid w:val="009B6508"/>
    <w:rsid w:val="009B65E2"/>
    <w:rsid w:val="009B6A18"/>
    <w:rsid w:val="009B759E"/>
    <w:rsid w:val="009B78A9"/>
    <w:rsid w:val="009B7914"/>
    <w:rsid w:val="009C0218"/>
    <w:rsid w:val="009C03A3"/>
    <w:rsid w:val="009C0619"/>
    <w:rsid w:val="009C0671"/>
    <w:rsid w:val="009C0BCC"/>
    <w:rsid w:val="009C10BA"/>
    <w:rsid w:val="009C1368"/>
    <w:rsid w:val="009C16C3"/>
    <w:rsid w:val="009C178F"/>
    <w:rsid w:val="009C1AA2"/>
    <w:rsid w:val="009C1B71"/>
    <w:rsid w:val="009C2A62"/>
    <w:rsid w:val="009C2D8E"/>
    <w:rsid w:val="009C359C"/>
    <w:rsid w:val="009C3726"/>
    <w:rsid w:val="009C4099"/>
    <w:rsid w:val="009C458B"/>
    <w:rsid w:val="009C4852"/>
    <w:rsid w:val="009C5349"/>
    <w:rsid w:val="009C59EA"/>
    <w:rsid w:val="009C5B0D"/>
    <w:rsid w:val="009C61FB"/>
    <w:rsid w:val="009C679D"/>
    <w:rsid w:val="009C6856"/>
    <w:rsid w:val="009C6FC5"/>
    <w:rsid w:val="009C7198"/>
    <w:rsid w:val="009C7CE7"/>
    <w:rsid w:val="009C7E4C"/>
    <w:rsid w:val="009D02B0"/>
    <w:rsid w:val="009D14BC"/>
    <w:rsid w:val="009D206D"/>
    <w:rsid w:val="009D336C"/>
    <w:rsid w:val="009D33F0"/>
    <w:rsid w:val="009D4144"/>
    <w:rsid w:val="009D41A6"/>
    <w:rsid w:val="009D42A4"/>
    <w:rsid w:val="009D42EA"/>
    <w:rsid w:val="009D480A"/>
    <w:rsid w:val="009D5639"/>
    <w:rsid w:val="009D581A"/>
    <w:rsid w:val="009D5837"/>
    <w:rsid w:val="009D5C28"/>
    <w:rsid w:val="009D5C84"/>
    <w:rsid w:val="009D7008"/>
    <w:rsid w:val="009D7266"/>
    <w:rsid w:val="009D7290"/>
    <w:rsid w:val="009D7442"/>
    <w:rsid w:val="009D776B"/>
    <w:rsid w:val="009D77B1"/>
    <w:rsid w:val="009D7F1C"/>
    <w:rsid w:val="009E0057"/>
    <w:rsid w:val="009E01C7"/>
    <w:rsid w:val="009E0A8D"/>
    <w:rsid w:val="009E0D09"/>
    <w:rsid w:val="009E0D50"/>
    <w:rsid w:val="009E104B"/>
    <w:rsid w:val="009E119E"/>
    <w:rsid w:val="009E1532"/>
    <w:rsid w:val="009E168C"/>
    <w:rsid w:val="009E1B00"/>
    <w:rsid w:val="009E1BE4"/>
    <w:rsid w:val="009E1DB0"/>
    <w:rsid w:val="009E1E53"/>
    <w:rsid w:val="009E1EDD"/>
    <w:rsid w:val="009E1F17"/>
    <w:rsid w:val="009E2136"/>
    <w:rsid w:val="009E2367"/>
    <w:rsid w:val="009E2383"/>
    <w:rsid w:val="009E254C"/>
    <w:rsid w:val="009E274B"/>
    <w:rsid w:val="009E2791"/>
    <w:rsid w:val="009E27B4"/>
    <w:rsid w:val="009E29C0"/>
    <w:rsid w:val="009E2A42"/>
    <w:rsid w:val="009E2ADE"/>
    <w:rsid w:val="009E2CBE"/>
    <w:rsid w:val="009E2D08"/>
    <w:rsid w:val="009E35AC"/>
    <w:rsid w:val="009E40B9"/>
    <w:rsid w:val="009E4814"/>
    <w:rsid w:val="009E56B2"/>
    <w:rsid w:val="009E59D0"/>
    <w:rsid w:val="009E5A53"/>
    <w:rsid w:val="009E6AE4"/>
    <w:rsid w:val="009E6C35"/>
    <w:rsid w:val="009E70C7"/>
    <w:rsid w:val="009E75AC"/>
    <w:rsid w:val="009E7832"/>
    <w:rsid w:val="009E7917"/>
    <w:rsid w:val="009F0068"/>
    <w:rsid w:val="009F073F"/>
    <w:rsid w:val="009F08C0"/>
    <w:rsid w:val="009F0B0A"/>
    <w:rsid w:val="009F1C9D"/>
    <w:rsid w:val="009F1F0C"/>
    <w:rsid w:val="009F1F12"/>
    <w:rsid w:val="009F1F69"/>
    <w:rsid w:val="009F2862"/>
    <w:rsid w:val="009F316D"/>
    <w:rsid w:val="009F3A4D"/>
    <w:rsid w:val="009F3E30"/>
    <w:rsid w:val="009F421F"/>
    <w:rsid w:val="009F43C7"/>
    <w:rsid w:val="009F4C42"/>
    <w:rsid w:val="009F4C52"/>
    <w:rsid w:val="009F4D5B"/>
    <w:rsid w:val="009F5422"/>
    <w:rsid w:val="009F57BE"/>
    <w:rsid w:val="009F61E5"/>
    <w:rsid w:val="009F68E9"/>
    <w:rsid w:val="009F6A11"/>
    <w:rsid w:val="009F6DB8"/>
    <w:rsid w:val="009F7B02"/>
    <w:rsid w:val="009F7EF3"/>
    <w:rsid w:val="00A0019E"/>
    <w:rsid w:val="00A007EE"/>
    <w:rsid w:val="00A00A2E"/>
    <w:rsid w:val="00A00D8E"/>
    <w:rsid w:val="00A01064"/>
    <w:rsid w:val="00A01202"/>
    <w:rsid w:val="00A01529"/>
    <w:rsid w:val="00A017B1"/>
    <w:rsid w:val="00A0190D"/>
    <w:rsid w:val="00A01913"/>
    <w:rsid w:val="00A01CB2"/>
    <w:rsid w:val="00A01E29"/>
    <w:rsid w:val="00A02161"/>
    <w:rsid w:val="00A02480"/>
    <w:rsid w:val="00A02C85"/>
    <w:rsid w:val="00A03060"/>
    <w:rsid w:val="00A03339"/>
    <w:rsid w:val="00A0373B"/>
    <w:rsid w:val="00A03C3D"/>
    <w:rsid w:val="00A041B1"/>
    <w:rsid w:val="00A04746"/>
    <w:rsid w:val="00A04F1A"/>
    <w:rsid w:val="00A051A0"/>
    <w:rsid w:val="00A05CD7"/>
    <w:rsid w:val="00A05CDE"/>
    <w:rsid w:val="00A061A2"/>
    <w:rsid w:val="00A065CD"/>
    <w:rsid w:val="00A06AE0"/>
    <w:rsid w:val="00A06B0E"/>
    <w:rsid w:val="00A06BE5"/>
    <w:rsid w:val="00A07221"/>
    <w:rsid w:val="00A075D7"/>
    <w:rsid w:val="00A07658"/>
    <w:rsid w:val="00A106BF"/>
    <w:rsid w:val="00A10915"/>
    <w:rsid w:val="00A10A23"/>
    <w:rsid w:val="00A10F1B"/>
    <w:rsid w:val="00A11605"/>
    <w:rsid w:val="00A11C4C"/>
    <w:rsid w:val="00A11D1A"/>
    <w:rsid w:val="00A1207F"/>
    <w:rsid w:val="00A129DC"/>
    <w:rsid w:val="00A12A16"/>
    <w:rsid w:val="00A12FEB"/>
    <w:rsid w:val="00A136A9"/>
    <w:rsid w:val="00A13D33"/>
    <w:rsid w:val="00A13D8F"/>
    <w:rsid w:val="00A142A0"/>
    <w:rsid w:val="00A14885"/>
    <w:rsid w:val="00A152DC"/>
    <w:rsid w:val="00A15373"/>
    <w:rsid w:val="00A155E8"/>
    <w:rsid w:val="00A15B30"/>
    <w:rsid w:val="00A16BD5"/>
    <w:rsid w:val="00A16EA4"/>
    <w:rsid w:val="00A17178"/>
    <w:rsid w:val="00A17729"/>
    <w:rsid w:val="00A1797D"/>
    <w:rsid w:val="00A17D59"/>
    <w:rsid w:val="00A17EBA"/>
    <w:rsid w:val="00A207C3"/>
    <w:rsid w:val="00A21886"/>
    <w:rsid w:val="00A21923"/>
    <w:rsid w:val="00A22131"/>
    <w:rsid w:val="00A225E4"/>
    <w:rsid w:val="00A22701"/>
    <w:rsid w:val="00A22EFC"/>
    <w:rsid w:val="00A22F95"/>
    <w:rsid w:val="00A23CC8"/>
    <w:rsid w:val="00A24A07"/>
    <w:rsid w:val="00A24B38"/>
    <w:rsid w:val="00A24C43"/>
    <w:rsid w:val="00A25639"/>
    <w:rsid w:val="00A25DBC"/>
    <w:rsid w:val="00A25F4A"/>
    <w:rsid w:val="00A261CC"/>
    <w:rsid w:val="00A261FF"/>
    <w:rsid w:val="00A263AF"/>
    <w:rsid w:val="00A26953"/>
    <w:rsid w:val="00A26D63"/>
    <w:rsid w:val="00A26D67"/>
    <w:rsid w:val="00A272FE"/>
    <w:rsid w:val="00A27667"/>
    <w:rsid w:val="00A277F1"/>
    <w:rsid w:val="00A27B0F"/>
    <w:rsid w:val="00A27B21"/>
    <w:rsid w:val="00A27D54"/>
    <w:rsid w:val="00A3065C"/>
    <w:rsid w:val="00A30EE1"/>
    <w:rsid w:val="00A30EEE"/>
    <w:rsid w:val="00A317F2"/>
    <w:rsid w:val="00A31882"/>
    <w:rsid w:val="00A320D1"/>
    <w:rsid w:val="00A3294A"/>
    <w:rsid w:val="00A329ED"/>
    <w:rsid w:val="00A32B3C"/>
    <w:rsid w:val="00A32F77"/>
    <w:rsid w:val="00A3304D"/>
    <w:rsid w:val="00A33563"/>
    <w:rsid w:val="00A3364E"/>
    <w:rsid w:val="00A3381B"/>
    <w:rsid w:val="00A33CCA"/>
    <w:rsid w:val="00A33F2D"/>
    <w:rsid w:val="00A3404A"/>
    <w:rsid w:val="00A341B3"/>
    <w:rsid w:val="00A34644"/>
    <w:rsid w:val="00A3485B"/>
    <w:rsid w:val="00A34E7A"/>
    <w:rsid w:val="00A350E2"/>
    <w:rsid w:val="00A35496"/>
    <w:rsid w:val="00A3561F"/>
    <w:rsid w:val="00A356E0"/>
    <w:rsid w:val="00A357DD"/>
    <w:rsid w:val="00A35CEF"/>
    <w:rsid w:val="00A35DB6"/>
    <w:rsid w:val="00A35FD3"/>
    <w:rsid w:val="00A361E0"/>
    <w:rsid w:val="00A3637C"/>
    <w:rsid w:val="00A378DB"/>
    <w:rsid w:val="00A37C16"/>
    <w:rsid w:val="00A402AB"/>
    <w:rsid w:val="00A40945"/>
    <w:rsid w:val="00A40C96"/>
    <w:rsid w:val="00A41063"/>
    <w:rsid w:val="00A412BB"/>
    <w:rsid w:val="00A41C76"/>
    <w:rsid w:val="00A41F3C"/>
    <w:rsid w:val="00A425F3"/>
    <w:rsid w:val="00A4294C"/>
    <w:rsid w:val="00A431B3"/>
    <w:rsid w:val="00A43626"/>
    <w:rsid w:val="00A438FB"/>
    <w:rsid w:val="00A4391C"/>
    <w:rsid w:val="00A43966"/>
    <w:rsid w:val="00A4397D"/>
    <w:rsid w:val="00A43BCB"/>
    <w:rsid w:val="00A43E31"/>
    <w:rsid w:val="00A4413F"/>
    <w:rsid w:val="00A447C6"/>
    <w:rsid w:val="00A448E2"/>
    <w:rsid w:val="00A44BDD"/>
    <w:rsid w:val="00A44F12"/>
    <w:rsid w:val="00A45837"/>
    <w:rsid w:val="00A459A9"/>
    <w:rsid w:val="00A45A9A"/>
    <w:rsid w:val="00A45B0E"/>
    <w:rsid w:val="00A460F2"/>
    <w:rsid w:val="00A464AA"/>
    <w:rsid w:val="00A4715D"/>
    <w:rsid w:val="00A47E1D"/>
    <w:rsid w:val="00A50D93"/>
    <w:rsid w:val="00A51053"/>
    <w:rsid w:val="00A510A5"/>
    <w:rsid w:val="00A51EEE"/>
    <w:rsid w:val="00A51EFF"/>
    <w:rsid w:val="00A51FE2"/>
    <w:rsid w:val="00A52CE1"/>
    <w:rsid w:val="00A52D97"/>
    <w:rsid w:val="00A540C3"/>
    <w:rsid w:val="00A5424B"/>
    <w:rsid w:val="00A54259"/>
    <w:rsid w:val="00A543EB"/>
    <w:rsid w:val="00A54906"/>
    <w:rsid w:val="00A54E8E"/>
    <w:rsid w:val="00A55414"/>
    <w:rsid w:val="00A55AF9"/>
    <w:rsid w:val="00A55B7B"/>
    <w:rsid w:val="00A55BBC"/>
    <w:rsid w:val="00A569E9"/>
    <w:rsid w:val="00A56DC9"/>
    <w:rsid w:val="00A57350"/>
    <w:rsid w:val="00A57A97"/>
    <w:rsid w:val="00A57E21"/>
    <w:rsid w:val="00A6001D"/>
    <w:rsid w:val="00A60D7F"/>
    <w:rsid w:val="00A610FE"/>
    <w:rsid w:val="00A613E8"/>
    <w:rsid w:val="00A6177C"/>
    <w:rsid w:val="00A617AB"/>
    <w:rsid w:val="00A6219B"/>
    <w:rsid w:val="00A62218"/>
    <w:rsid w:val="00A62254"/>
    <w:rsid w:val="00A62A52"/>
    <w:rsid w:val="00A62C78"/>
    <w:rsid w:val="00A634A7"/>
    <w:rsid w:val="00A64163"/>
    <w:rsid w:val="00A641D8"/>
    <w:rsid w:val="00A6472D"/>
    <w:rsid w:val="00A64DE6"/>
    <w:rsid w:val="00A65022"/>
    <w:rsid w:val="00A65172"/>
    <w:rsid w:val="00A6597B"/>
    <w:rsid w:val="00A65B52"/>
    <w:rsid w:val="00A66133"/>
    <w:rsid w:val="00A66634"/>
    <w:rsid w:val="00A67B02"/>
    <w:rsid w:val="00A67CB9"/>
    <w:rsid w:val="00A701DC"/>
    <w:rsid w:val="00A704F9"/>
    <w:rsid w:val="00A70968"/>
    <w:rsid w:val="00A70E20"/>
    <w:rsid w:val="00A71DE4"/>
    <w:rsid w:val="00A72077"/>
    <w:rsid w:val="00A7314A"/>
    <w:rsid w:val="00A73208"/>
    <w:rsid w:val="00A7357C"/>
    <w:rsid w:val="00A7358C"/>
    <w:rsid w:val="00A73CD4"/>
    <w:rsid w:val="00A73D29"/>
    <w:rsid w:val="00A73E23"/>
    <w:rsid w:val="00A74084"/>
    <w:rsid w:val="00A740CD"/>
    <w:rsid w:val="00A755FC"/>
    <w:rsid w:val="00A7585F"/>
    <w:rsid w:val="00A75E06"/>
    <w:rsid w:val="00A75F72"/>
    <w:rsid w:val="00A76348"/>
    <w:rsid w:val="00A76838"/>
    <w:rsid w:val="00A7687E"/>
    <w:rsid w:val="00A76BC0"/>
    <w:rsid w:val="00A76C77"/>
    <w:rsid w:val="00A76CDF"/>
    <w:rsid w:val="00A76D7B"/>
    <w:rsid w:val="00A771D9"/>
    <w:rsid w:val="00A7732D"/>
    <w:rsid w:val="00A773C4"/>
    <w:rsid w:val="00A77BD7"/>
    <w:rsid w:val="00A77C1B"/>
    <w:rsid w:val="00A77FC8"/>
    <w:rsid w:val="00A8017F"/>
    <w:rsid w:val="00A8056A"/>
    <w:rsid w:val="00A80A77"/>
    <w:rsid w:val="00A80BC9"/>
    <w:rsid w:val="00A80E7D"/>
    <w:rsid w:val="00A81153"/>
    <w:rsid w:val="00A81361"/>
    <w:rsid w:val="00A813C6"/>
    <w:rsid w:val="00A81554"/>
    <w:rsid w:val="00A8191A"/>
    <w:rsid w:val="00A81ABA"/>
    <w:rsid w:val="00A81B8C"/>
    <w:rsid w:val="00A81C40"/>
    <w:rsid w:val="00A82277"/>
    <w:rsid w:val="00A82B9E"/>
    <w:rsid w:val="00A83721"/>
    <w:rsid w:val="00A838BB"/>
    <w:rsid w:val="00A83CA1"/>
    <w:rsid w:val="00A83D68"/>
    <w:rsid w:val="00A83E61"/>
    <w:rsid w:val="00A84500"/>
    <w:rsid w:val="00A84564"/>
    <w:rsid w:val="00A84B58"/>
    <w:rsid w:val="00A852F4"/>
    <w:rsid w:val="00A85874"/>
    <w:rsid w:val="00A85A23"/>
    <w:rsid w:val="00A85C54"/>
    <w:rsid w:val="00A85FD8"/>
    <w:rsid w:val="00A860F1"/>
    <w:rsid w:val="00A863D8"/>
    <w:rsid w:val="00A87D8F"/>
    <w:rsid w:val="00A90948"/>
    <w:rsid w:val="00A90B87"/>
    <w:rsid w:val="00A90F88"/>
    <w:rsid w:val="00A910BE"/>
    <w:rsid w:val="00A910DC"/>
    <w:rsid w:val="00A9125D"/>
    <w:rsid w:val="00A914F3"/>
    <w:rsid w:val="00A92FA5"/>
    <w:rsid w:val="00A92FED"/>
    <w:rsid w:val="00A93397"/>
    <w:rsid w:val="00A9346A"/>
    <w:rsid w:val="00A94393"/>
    <w:rsid w:val="00A94A23"/>
    <w:rsid w:val="00A94AA9"/>
    <w:rsid w:val="00A94CAC"/>
    <w:rsid w:val="00A94D15"/>
    <w:rsid w:val="00A94D8F"/>
    <w:rsid w:val="00A9582F"/>
    <w:rsid w:val="00A95C79"/>
    <w:rsid w:val="00A95F47"/>
    <w:rsid w:val="00A96426"/>
    <w:rsid w:val="00A965E2"/>
    <w:rsid w:val="00A97ACC"/>
    <w:rsid w:val="00A97F6B"/>
    <w:rsid w:val="00AA00F9"/>
    <w:rsid w:val="00AA03E9"/>
    <w:rsid w:val="00AA08DA"/>
    <w:rsid w:val="00AA1D08"/>
    <w:rsid w:val="00AA2655"/>
    <w:rsid w:val="00AA2810"/>
    <w:rsid w:val="00AA28A6"/>
    <w:rsid w:val="00AA2C20"/>
    <w:rsid w:val="00AA2C43"/>
    <w:rsid w:val="00AA35DD"/>
    <w:rsid w:val="00AA39E7"/>
    <w:rsid w:val="00AA3DDA"/>
    <w:rsid w:val="00AA5006"/>
    <w:rsid w:val="00AA53A0"/>
    <w:rsid w:val="00AA53F1"/>
    <w:rsid w:val="00AA57B8"/>
    <w:rsid w:val="00AA5AEB"/>
    <w:rsid w:val="00AA5C4A"/>
    <w:rsid w:val="00AA5C9C"/>
    <w:rsid w:val="00AA5ECA"/>
    <w:rsid w:val="00AA5F8C"/>
    <w:rsid w:val="00AA6342"/>
    <w:rsid w:val="00AA638D"/>
    <w:rsid w:val="00AA6486"/>
    <w:rsid w:val="00AA6590"/>
    <w:rsid w:val="00AA687F"/>
    <w:rsid w:val="00AA6B43"/>
    <w:rsid w:val="00AA6E5F"/>
    <w:rsid w:val="00AA75FA"/>
    <w:rsid w:val="00AA7B31"/>
    <w:rsid w:val="00AB056A"/>
    <w:rsid w:val="00AB0AE4"/>
    <w:rsid w:val="00AB0F7F"/>
    <w:rsid w:val="00AB14CA"/>
    <w:rsid w:val="00AB178C"/>
    <w:rsid w:val="00AB19B1"/>
    <w:rsid w:val="00AB24B8"/>
    <w:rsid w:val="00AB2680"/>
    <w:rsid w:val="00AB2934"/>
    <w:rsid w:val="00AB2F54"/>
    <w:rsid w:val="00AB31EF"/>
    <w:rsid w:val="00AB3AF2"/>
    <w:rsid w:val="00AB3CC7"/>
    <w:rsid w:val="00AB406D"/>
    <w:rsid w:val="00AB4604"/>
    <w:rsid w:val="00AB461B"/>
    <w:rsid w:val="00AB4809"/>
    <w:rsid w:val="00AB4950"/>
    <w:rsid w:val="00AB4F6C"/>
    <w:rsid w:val="00AB5851"/>
    <w:rsid w:val="00AB5904"/>
    <w:rsid w:val="00AB5B40"/>
    <w:rsid w:val="00AB5CB1"/>
    <w:rsid w:val="00AB6446"/>
    <w:rsid w:val="00AB6523"/>
    <w:rsid w:val="00AB7289"/>
    <w:rsid w:val="00AB7333"/>
    <w:rsid w:val="00AB7432"/>
    <w:rsid w:val="00AB762C"/>
    <w:rsid w:val="00AB76CA"/>
    <w:rsid w:val="00AB7D60"/>
    <w:rsid w:val="00AC04F9"/>
    <w:rsid w:val="00AC06D7"/>
    <w:rsid w:val="00AC083C"/>
    <w:rsid w:val="00AC0860"/>
    <w:rsid w:val="00AC0ABD"/>
    <w:rsid w:val="00AC0B81"/>
    <w:rsid w:val="00AC0F62"/>
    <w:rsid w:val="00AC151E"/>
    <w:rsid w:val="00AC1657"/>
    <w:rsid w:val="00AC2474"/>
    <w:rsid w:val="00AC27D2"/>
    <w:rsid w:val="00AC2BA0"/>
    <w:rsid w:val="00AC32D1"/>
    <w:rsid w:val="00AC36B8"/>
    <w:rsid w:val="00AC3857"/>
    <w:rsid w:val="00AC3F5D"/>
    <w:rsid w:val="00AC43E4"/>
    <w:rsid w:val="00AC484D"/>
    <w:rsid w:val="00AC54F8"/>
    <w:rsid w:val="00AC55D0"/>
    <w:rsid w:val="00AC5FA8"/>
    <w:rsid w:val="00AC6195"/>
    <w:rsid w:val="00AC658B"/>
    <w:rsid w:val="00AC6F0B"/>
    <w:rsid w:val="00AC71E3"/>
    <w:rsid w:val="00AC71E4"/>
    <w:rsid w:val="00AC7FEA"/>
    <w:rsid w:val="00AD017C"/>
    <w:rsid w:val="00AD0777"/>
    <w:rsid w:val="00AD0A78"/>
    <w:rsid w:val="00AD0CE5"/>
    <w:rsid w:val="00AD155A"/>
    <w:rsid w:val="00AD16C4"/>
    <w:rsid w:val="00AD2487"/>
    <w:rsid w:val="00AD28E2"/>
    <w:rsid w:val="00AD2BB4"/>
    <w:rsid w:val="00AD2C54"/>
    <w:rsid w:val="00AD2E2E"/>
    <w:rsid w:val="00AD3BED"/>
    <w:rsid w:val="00AD40DC"/>
    <w:rsid w:val="00AD4309"/>
    <w:rsid w:val="00AD45A4"/>
    <w:rsid w:val="00AD4D01"/>
    <w:rsid w:val="00AD50D8"/>
    <w:rsid w:val="00AD5B4E"/>
    <w:rsid w:val="00AD6109"/>
    <w:rsid w:val="00AD639D"/>
    <w:rsid w:val="00AD6FC0"/>
    <w:rsid w:val="00AD764B"/>
    <w:rsid w:val="00AD7FF8"/>
    <w:rsid w:val="00AE0CC7"/>
    <w:rsid w:val="00AE1014"/>
    <w:rsid w:val="00AE10C7"/>
    <w:rsid w:val="00AE11FD"/>
    <w:rsid w:val="00AE14F3"/>
    <w:rsid w:val="00AE200D"/>
    <w:rsid w:val="00AE209D"/>
    <w:rsid w:val="00AE244C"/>
    <w:rsid w:val="00AE24D8"/>
    <w:rsid w:val="00AE31BA"/>
    <w:rsid w:val="00AE33CF"/>
    <w:rsid w:val="00AE37F3"/>
    <w:rsid w:val="00AE3F23"/>
    <w:rsid w:val="00AE459D"/>
    <w:rsid w:val="00AE4A87"/>
    <w:rsid w:val="00AE4DF9"/>
    <w:rsid w:val="00AE5347"/>
    <w:rsid w:val="00AE5568"/>
    <w:rsid w:val="00AE57E7"/>
    <w:rsid w:val="00AE59DE"/>
    <w:rsid w:val="00AE5A82"/>
    <w:rsid w:val="00AE5ED0"/>
    <w:rsid w:val="00AE626A"/>
    <w:rsid w:val="00AE6323"/>
    <w:rsid w:val="00AE6534"/>
    <w:rsid w:val="00AE65CD"/>
    <w:rsid w:val="00AE6BC9"/>
    <w:rsid w:val="00AE6BE7"/>
    <w:rsid w:val="00AE70BA"/>
    <w:rsid w:val="00AE7337"/>
    <w:rsid w:val="00AE737D"/>
    <w:rsid w:val="00AE7707"/>
    <w:rsid w:val="00AE7832"/>
    <w:rsid w:val="00AE7E83"/>
    <w:rsid w:val="00AF028F"/>
    <w:rsid w:val="00AF02BB"/>
    <w:rsid w:val="00AF1029"/>
    <w:rsid w:val="00AF10E5"/>
    <w:rsid w:val="00AF1728"/>
    <w:rsid w:val="00AF1A30"/>
    <w:rsid w:val="00AF1AC9"/>
    <w:rsid w:val="00AF1E9A"/>
    <w:rsid w:val="00AF256A"/>
    <w:rsid w:val="00AF29B3"/>
    <w:rsid w:val="00AF2C11"/>
    <w:rsid w:val="00AF2C3E"/>
    <w:rsid w:val="00AF2CCB"/>
    <w:rsid w:val="00AF304C"/>
    <w:rsid w:val="00AF3564"/>
    <w:rsid w:val="00AF3EDF"/>
    <w:rsid w:val="00AF416C"/>
    <w:rsid w:val="00AF41BB"/>
    <w:rsid w:val="00AF42DC"/>
    <w:rsid w:val="00AF42EC"/>
    <w:rsid w:val="00AF456D"/>
    <w:rsid w:val="00AF4F8E"/>
    <w:rsid w:val="00AF5D1A"/>
    <w:rsid w:val="00AF6C1C"/>
    <w:rsid w:val="00AF703F"/>
    <w:rsid w:val="00AF74D7"/>
    <w:rsid w:val="00AF7BD8"/>
    <w:rsid w:val="00AF7C01"/>
    <w:rsid w:val="00B00A34"/>
    <w:rsid w:val="00B00D6D"/>
    <w:rsid w:val="00B01599"/>
    <w:rsid w:val="00B015BD"/>
    <w:rsid w:val="00B01F2E"/>
    <w:rsid w:val="00B02206"/>
    <w:rsid w:val="00B0230E"/>
    <w:rsid w:val="00B0232E"/>
    <w:rsid w:val="00B02C0D"/>
    <w:rsid w:val="00B02C67"/>
    <w:rsid w:val="00B02C6E"/>
    <w:rsid w:val="00B032BD"/>
    <w:rsid w:val="00B032D8"/>
    <w:rsid w:val="00B03D99"/>
    <w:rsid w:val="00B03F91"/>
    <w:rsid w:val="00B04230"/>
    <w:rsid w:val="00B04667"/>
    <w:rsid w:val="00B048F6"/>
    <w:rsid w:val="00B04934"/>
    <w:rsid w:val="00B04A60"/>
    <w:rsid w:val="00B04A77"/>
    <w:rsid w:val="00B04A9C"/>
    <w:rsid w:val="00B04F20"/>
    <w:rsid w:val="00B04F90"/>
    <w:rsid w:val="00B05664"/>
    <w:rsid w:val="00B05EAA"/>
    <w:rsid w:val="00B06139"/>
    <w:rsid w:val="00B06934"/>
    <w:rsid w:val="00B06A98"/>
    <w:rsid w:val="00B07004"/>
    <w:rsid w:val="00B07139"/>
    <w:rsid w:val="00B07512"/>
    <w:rsid w:val="00B07534"/>
    <w:rsid w:val="00B1045F"/>
    <w:rsid w:val="00B10C14"/>
    <w:rsid w:val="00B10CB0"/>
    <w:rsid w:val="00B10D59"/>
    <w:rsid w:val="00B10E72"/>
    <w:rsid w:val="00B11532"/>
    <w:rsid w:val="00B1190C"/>
    <w:rsid w:val="00B11C3B"/>
    <w:rsid w:val="00B11E67"/>
    <w:rsid w:val="00B120EF"/>
    <w:rsid w:val="00B12144"/>
    <w:rsid w:val="00B1216D"/>
    <w:rsid w:val="00B1240A"/>
    <w:rsid w:val="00B125B4"/>
    <w:rsid w:val="00B125F2"/>
    <w:rsid w:val="00B1278C"/>
    <w:rsid w:val="00B12A69"/>
    <w:rsid w:val="00B12EC2"/>
    <w:rsid w:val="00B12EFC"/>
    <w:rsid w:val="00B13280"/>
    <w:rsid w:val="00B135BC"/>
    <w:rsid w:val="00B137E6"/>
    <w:rsid w:val="00B13B24"/>
    <w:rsid w:val="00B13B66"/>
    <w:rsid w:val="00B13CE8"/>
    <w:rsid w:val="00B142A6"/>
    <w:rsid w:val="00B142F6"/>
    <w:rsid w:val="00B14320"/>
    <w:rsid w:val="00B14692"/>
    <w:rsid w:val="00B149C7"/>
    <w:rsid w:val="00B14F3E"/>
    <w:rsid w:val="00B15D2D"/>
    <w:rsid w:val="00B16056"/>
    <w:rsid w:val="00B1614C"/>
    <w:rsid w:val="00B1619D"/>
    <w:rsid w:val="00B16708"/>
    <w:rsid w:val="00B167FE"/>
    <w:rsid w:val="00B16B7A"/>
    <w:rsid w:val="00B1733C"/>
    <w:rsid w:val="00B17421"/>
    <w:rsid w:val="00B1787E"/>
    <w:rsid w:val="00B17C09"/>
    <w:rsid w:val="00B17DAF"/>
    <w:rsid w:val="00B2007D"/>
    <w:rsid w:val="00B20BC1"/>
    <w:rsid w:val="00B21503"/>
    <w:rsid w:val="00B21C83"/>
    <w:rsid w:val="00B21F23"/>
    <w:rsid w:val="00B22DE2"/>
    <w:rsid w:val="00B238CD"/>
    <w:rsid w:val="00B23A80"/>
    <w:rsid w:val="00B24206"/>
    <w:rsid w:val="00B24339"/>
    <w:rsid w:val="00B245B5"/>
    <w:rsid w:val="00B247A7"/>
    <w:rsid w:val="00B24BBF"/>
    <w:rsid w:val="00B24D63"/>
    <w:rsid w:val="00B25237"/>
    <w:rsid w:val="00B25DC1"/>
    <w:rsid w:val="00B25E6A"/>
    <w:rsid w:val="00B262BF"/>
    <w:rsid w:val="00B269ED"/>
    <w:rsid w:val="00B26A6B"/>
    <w:rsid w:val="00B26BE0"/>
    <w:rsid w:val="00B26E47"/>
    <w:rsid w:val="00B27188"/>
    <w:rsid w:val="00B276BF"/>
    <w:rsid w:val="00B27A33"/>
    <w:rsid w:val="00B27AD2"/>
    <w:rsid w:val="00B30286"/>
    <w:rsid w:val="00B31675"/>
    <w:rsid w:val="00B3187B"/>
    <w:rsid w:val="00B31BFA"/>
    <w:rsid w:val="00B32849"/>
    <w:rsid w:val="00B329C3"/>
    <w:rsid w:val="00B32B28"/>
    <w:rsid w:val="00B3338C"/>
    <w:rsid w:val="00B3360A"/>
    <w:rsid w:val="00B347F0"/>
    <w:rsid w:val="00B34846"/>
    <w:rsid w:val="00B3501F"/>
    <w:rsid w:val="00B35382"/>
    <w:rsid w:val="00B35518"/>
    <w:rsid w:val="00B355A1"/>
    <w:rsid w:val="00B357BB"/>
    <w:rsid w:val="00B357F4"/>
    <w:rsid w:val="00B35EF0"/>
    <w:rsid w:val="00B35F23"/>
    <w:rsid w:val="00B36580"/>
    <w:rsid w:val="00B3685C"/>
    <w:rsid w:val="00B36B1E"/>
    <w:rsid w:val="00B37A3B"/>
    <w:rsid w:val="00B37B69"/>
    <w:rsid w:val="00B4035F"/>
    <w:rsid w:val="00B404B7"/>
    <w:rsid w:val="00B4050C"/>
    <w:rsid w:val="00B40669"/>
    <w:rsid w:val="00B40E8A"/>
    <w:rsid w:val="00B4124F"/>
    <w:rsid w:val="00B41584"/>
    <w:rsid w:val="00B4172E"/>
    <w:rsid w:val="00B418C0"/>
    <w:rsid w:val="00B421FF"/>
    <w:rsid w:val="00B42E2F"/>
    <w:rsid w:val="00B42F3A"/>
    <w:rsid w:val="00B430C1"/>
    <w:rsid w:val="00B433B4"/>
    <w:rsid w:val="00B43813"/>
    <w:rsid w:val="00B4397F"/>
    <w:rsid w:val="00B44743"/>
    <w:rsid w:val="00B44DC8"/>
    <w:rsid w:val="00B44E8F"/>
    <w:rsid w:val="00B44E98"/>
    <w:rsid w:val="00B451C6"/>
    <w:rsid w:val="00B454FC"/>
    <w:rsid w:val="00B45D89"/>
    <w:rsid w:val="00B46202"/>
    <w:rsid w:val="00B464B3"/>
    <w:rsid w:val="00B468CD"/>
    <w:rsid w:val="00B46B75"/>
    <w:rsid w:val="00B46CF5"/>
    <w:rsid w:val="00B46DC5"/>
    <w:rsid w:val="00B475EC"/>
    <w:rsid w:val="00B47722"/>
    <w:rsid w:val="00B50BC1"/>
    <w:rsid w:val="00B50C9B"/>
    <w:rsid w:val="00B511DD"/>
    <w:rsid w:val="00B51C92"/>
    <w:rsid w:val="00B51F24"/>
    <w:rsid w:val="00B52B54"/>
    <w:rsid w:val="00B52C30"/>
    <w:rsid w:val="00B52FAC"/>
    <w:rsid w:val="00B53233"/>
    <w:rsid w:val="00B532C5"/>
    <w:rsid w:val="00B536A7"/>
    <w:rsid w:val="00B53852"/>
    <w:rsid w:val="00B53EC0"/>
    <w:rsid w:val="00B543CE"/>
    <w:rsid w:val="00B5452C"/>
    <w:rsid w:val="00B54BCC"/>
    <w:rsid w:val="00B552F6"/>
    <w:rsid w:val="00B555A4"/>
    <w:rsid w:val="00B557FD"/>
    <w:rsid w:val="00B55AE8"/>
    <w:rsid w:val="00B567F2"/>
    <w:rsid w:val="00B56A33"/>
    <w:rsid w:val="00B56C78"/>
    <w:rsid w:val="00B56C96"/>
    <w:rsid w:val="00B571D3"/>
    <w:rsid w:val="00B57223"/>
    <w:rsid w:val="00B57D30"/>
    <w:rsid w:val="00B60157"/>
    <w:rsid w:val="00B60231"/>
    <w:rsid w:val="00B603C5"/>
    <w:rsid w:val="00B60550"/>
    <w:rsid w:val="00B605E2"/>
    <w:rsid w:val="00B60FE3"/>
    <w:rsid w:val="00B610A7"/>
    <w:rsid w:val="00B611E6"/>
    <w:rsid w:val="00B61298"/>
    <w:rsid w:val="00B6155D"/>
    <w:rsid w:val="00B61774"/>
    <w:rsid w:val="00B61ACF"/>
    <w:rsid w:val="00B61B4F"/>
    <w:rsid w:val="00B622AB"/>
    <w:rsid w:val="00B62845"/>
    <w:rsid w:val="00B62A43"/>
    <w:rsid w:val="00B62C5B"/>
    <w:rsid w:val="00B62CB7"/>
    <w:rsid w:val="00B62CC2"/>
    <w:rsid w:val="00B63291"/>
    <w:rsid w:val="00B6368B"/>
    <w:rsid w:val="00B636E9"/>
    <w:rsid w:val="00B63F82"/>
    <w:rsid w:val="00B641DC"/>
    <w:rsid w:val="00B649CA"/>
    <w:rsid w:val="00B64C10"/>
    <w:rsid w:val="00B64DA8"/>
    <w:rsid w:val="00B64EF7"/>
    <w:rsid w:val="00B65053"/>
    <w:rsid w:val="00B651D9"/>
    <w:rsid w:val="00B666C4"/>
    <w:rsid w:val="00B669D1"/>
    <w:rsid w:val="00B66C49"/>
    <w:rsid w:val="00B66E95"/>
    <w:rsid w:val="00B672DE"/>
    <w:rsid w:val="00B67600"/>
    <w:rsid w:val="00B67B05"/>
    <w:rsid w:val="00B67B7F"/>
    <w:rsid w:val="00B67D06"/>
    <w:rsid w:val="00B7020F"/>
    <w:rsid w:val="00B702BE"/>
    <w:rsid w:val="00B70350"/>
    <w:rsid w:val="00B70AC9"/>
    <w:rsid w:val="00B70C98"/>
    <w:rsid w:val="00B70FA9"/>
    <w:rsid w:val="00B71502"/>
    <w:rsid w:val="00B71D20"/>
    <w:rsid w:val="00B71DCD"/>
    <w:rsid w:val="00B71F4E"/>
    <w:rsid w:val="00B7229C"/>
    <w:rsid w:val="00B72A80"/>
    <w:rsid w:val="00B72B26"/>
    <w:rsid w:val="00B73A1A"/>
    <w:rsid w:val="00B73ADB"/>
    <w:rsid w:val="00B73CFF"/>
    <w:rsid w:val="00B743D8"/>
    <w:rsid w:val="00B747F5"/>
    <w:rsid w:val="00B74864"/>
    <w:rsid w:val="00B74EB9"/>
    <w:rsid w:val="00B75AAE"/>
    <w:rsid w:val="00B75B74"/>
    <w:rsid w:val="00B75D38"/>
    <w:rsid w:val="00B75F1E"/>
    <w:rsid w:val="00B761D2"/>
    <w:rsid w:val="00B76527"/>
    <w:rsid w:val="00B769E9"/>
    <w:rsid w:val="00B778FF"/>
    <w:rsid w:val="00B77C32"/>
    <w:rsid w:val="00B77C5C"/>
    <w:rsid w:val="00B77E98"/>
    <w:rsid w:val="00B77EA4"/>
    <w:rsid w:val="00B801B6"/>
    <w:rsid w:val="00B808DF"/>
    <w:rsid w:val="00B8096B"/>
    <w:rsid w:val="00B810A5"/>
    <w:rsid w:val="00B81B00"/>
    <w:rsid w:val="00B81EE2"/>
    <w:rsid w:val="00B8213A"/>
    <w:rsid w:val="00B8213C"/>
    <w:rsid w:val="00B82195"/>
    <w:rsid w:val="00B8256D"/>
    <w:rsid w:val="00B82981"/>
    <w:rsid w:val="00B82DF3"/>
    <w:rsid w:val="00B83674"/>
    <w:rsid w:val="00B83B78"/>
    <w:rsid w:val="00B84513"/>
    <w:rsid w:val="00B845A3"/>
    <w:rsid w:val="00B84B26"/>
    <w:rsid w:val="00B852B9"/>
    <w:rsid w:val="00B85681"/>
    <w:rsid w:val="00B85C9B"/>
    <w:rsid w:val="00B85FF3"/>
    <w:rsid w:val="00B8640E"/>
    <w:rsid w:val="00B8648B"/>
    <w:rsid w:val="00B86550"/>
    <w:rsid w:val="00B86B7F"/>
    <w:rsid w:val="00B86C40"/>
    <w:rsid w:val="00B86ED9"/>
    <w:rsid w:val="00B8778B"/>
    <w:rsid w:val="00B8778F"/>
    <w:rsid w:val="00B90087"/>
    <w:rsid w:val="00B9009D"/>
    <w:rsid w:val="00B903D6"/>
    <w:rsid w:val="00B90492"/>
    <w:rsid w:val="00B9067E"/>
    <w:rsid w:val="00B90B8B"/>
    <w:rsid w:val="00B9158B"/>
    <w:rsid w:val="00B92022"/>
    <w:rsid w:val="00B9216F"/>
    <w:rsid w:val="00B92646"/>
    <w:rsid w:val="00B927D4"/>
    <w:rsid w:val="00B92BF0"/>
    <w:rsid w:val="00B9398E"/>
    <w:rsid w:val="00B93D1C"/>
    <w:rsid w:val="00B942A9"/>
    <w:rsid w:val="00B94632"/>
    <w:rsid w:val="00B94D18"/>
    <w:rsid w:val="00B95A75"/>
    <w:rsid w:val="00B95DD3"/>
    <w:rsid w:val="00B9602A"/>
    <w:rsid w:val="00B966CF"/>
    <w:rsid w:val="00B96DB0"/>
    <w:rsid w:val="00B97065"/>
    <w:rsid w:val="00B97607"/>
    <w:rsid w:val="00B97B1E"/>
    <w:rsid w:val="00B97CD4"/>
    <w:rsid w:val="00BA059C"/>
    <w:rsid w:val="00BA0C34"/>
    <w:rsid w:val="00BA152A"/>
    <w:rsid w:val="00BA157C"/>
    <w:rsid w:val="00BA1620"/>
    <w:rsid w:val="00BA1E38"/>
    <w:rsid w:val="00BA1FB7"/>
    <w:rsid w:val="00BA2491"/>
    <w:rsid w:val="00BA28CA"/>
    <w:rsid w:val="00BA30A9"/>
    <w:rsid w:val="00BA370E"/>
    <w:rsid w:val="00BA3A8F"/>
    <w:rsid w:val="00BA3C33"/>
    <w:rsid w:val="00BA4C02"/>
    <w:rsid w:val="00BA506C"/>
    <w:rsid w:val="00BA54B4"/>
    <w:rsid w:val="00BA5845"/>
    <w:rsid w:val="00BA69BD"/>
    <w:rsid w:val="00BA6BBB"/>
    <w:rsid w:val="00BA6E62"/>
    <w:rsid w:val="00BA7173"/>
    <w:rsid w:val="00BA7C78"/>
    <w:rsid w:val="00BA7D90"/>
    <w:rsid w:val="00BA7DEB"/>
    <w:rsid w:val="00BA7F6A"/>
    <w:rsid w:val="00BB01B9"/>
    <w:rsid w:val="00BB01ED"/>
    <w:rsid w:val="00BB05C6"/>
    <w:rsid w:val="00BB0C00"/>
    <w:rsid w:val="00BB0C3E"/>
    <w:rsid w:val="00BB0EC5"/>
    <w:rsid w:val="00BB16B3"/>
    <w:rsid w:val="00BB19F8"/>
    <w:rsid w:val="00BB1A7B"/>
    <w:rsid w:val="00BB1B0A"/>
    <w:rsid w:val="00BB1CF9"/>
    <w:rsid w:val="00BB1E21"/>
    <w:rsid w:val="00BB23EE"/>
    <w:rsid w:val="00BB25E0"/>
    <w:rsid w:val="00BB2719"/>
    <w:rsid w:val="00BB2BEA"/>
    <w:rsid w:val="00BB2D55"/>
    <w:rsid w:val="00BB3246"/>
    <w:rsid w:val="00BB32A0"/>
    <w:rsid w:val="00BB3561"/>
    <w:rsid w:val="00BB37C1"/>
    <w:rsid w:val="00BB3D69"/>
    <w:rsid w:val="00BB53A2"/>
    <w:rsid w:val="00BB6C21"/>
    <w:rsid w:val="00BB6C65"/>
    <w:rsid w:val="00BB7155"/>
    <w:rsid w:val="00BB7CE9"/>
    <w:rsid w:val="00BB7DEA"/>
    <w:rsid w:val="00BC0177"/>
    <w:rsid w:val="00BC0551"/>
    <w:rsid w:val="00BC06A3"/>
    <w:rsid w:val="00BC1540"/>
    <w:rsid w:val="00BC185F"/>
    <w:rsid w:val="00BC1CE0"/>
    <w:rsid w:val="00BC1DD5"/>
    <w:rsid w:val="00BC25D5"/>
    <w:rsid w:val="00BC2AF3"/>
    <w:rsid w:val="00BC2C37"/>
    <w:rsid w:val="00BC2F83"/>
    <w:rsid w:val="00BC31AC"/>
    <w:rsid w:val="00BC48EB"/>
    <w:rsid w:val="00BC5082"/>
    <w:rsid w:val="00BC515C"/>
    <w:rsid w:val="00BC57A9"/>
    <w:rsid w:val="00BC57AB"/>
    <w:rsid w:val="00BC5ACB"/>
    <w:rsid w:val="00BC5BC8"/>
    <w:rsid w:val="00BC612D"/>
    <w:rsid w:val="00BC628B"/>
    <w:rsid w:val="00BC62AA"/>
    <w:rsid w:val="00BC6619"/>
    <w:rsid w:val="00BC6983"/>
    <w:rsid w:val="00BC69CE"/>
    <w:rsid w:val="00BC6AB5"/>
    <w:rsid w:val="00BC6DD7"/>
    <w:rsid w:val="00BC6F41"/>
    <w:rsid w:val="00BC743E"/>
    <w:rsid w:val="00BC7ADF"/>
    <w:rsid w:val="00BD0078"/>
    <w:rsid w:val="00BD1837"/>
    <w:rsid w:val="00BD2A94"/>
    <w:rsid w:val="00BD33C5"/>
    <w:rsid w:val="00BD397E"/>
    <w:rsid w:val="00BD3A73"/>
    <w:rsid w:val="00BD3B25"/>
    <w:rsid w:val="00BD42B4"/>
    <w:rsid w:val="00BD43AC"/>
    <w:rsid w:val="00BD489A"/>
    <w:rsid w:val="00BD48C2"/>
    <w:rsid w:val="00BD490A"/>
    <w:rsid w:val="00BD4EEB"/>
    <w:rsid w:val="00BD599C"/>
    <w:rsid w:val="00BD59C1"/>
    <w:rsid w:val="00BD606B"/>
    <w:rsid w:val="00BD64A9"/>
    <w:rsid w:val="00BD6902"/>
    <w:rsid w:val="00BD6A15"/>
    <w:rsid w:val="00BD6EEF"/>
    <w:rsid w:val="00BD7200"/>
    <w:rsid w:val="00BD7A9C"/>
    <w:rsid w:val="00BE0038"/>
    <w:rsid w:val="00BE0121"/>
    <w:rsid w:val="00BE048B"/>
    <w:rsid w:val="00BE0E1F"/>
    <w:rsid w:val="00BE16A6"/>
    <w:rsid w:val="00BE17D9"/>
    <w:rsid w:val="00BE1A64"/>
    <w:rsid w:val="00BE1D05"/>
    <w:rsid w:val="00BE1F99"/>
    <w:rsid w:val="00BE276E"/>
    <w:rsid w:val="00BE2B8B"/>
    <w:rsid w:val="00BE2DC8"/>
    <w:rsid w:val="00BE312A"/>
    <w:rsid w:val="00BE32F3"/>
    <w:rsid w:val="00BE3EC7"/>
    <w:rsid w:val="00BE4531"/>
    <w:rsid w:val="00BE481C"/>
    <w:rsid w:val="00BE5161"/>
    <w:rsid w:val="00BE5676"/>
    <w:rsid w:val="00BE5B33"/>
    <w:rsid w:val="00BE6E38"/>
    <w:rsid w:val="00BE73E6"/>
    <w:rsid w:val="00BE79E2"/>
    <w:rsid w:val="00BF035E"/>
    <w:rsid w:val="00BF072B"/>
    <w:rsid w:val="00BF0B77"/>
    <w:rsid w:val="00BF1033"/>
    <w:rsid w:val="00BF120D"/>
    <w:rsid w:val="00BF1238"/>
    <w:rsid w:val="00BF1E4E"/>
    <w:rsid w:val="00BF224B"/>
    <w:rsid w:val="00BF2955"/>
    <w:rsid w:val="00BF2CD8"/>
    <w:rsid w:val="00BF2D3C"/>
    <w:rsid w:val="00BF2DB1"/>
    <w:rsid w:val="00BF3226"/>
    <w:rsid w:val="00BF356F"/>
    <w:rsid w:val="00BF3ECB"/>
    <w:rsid w:val="00BF44FE"/>
    <w:rsid w:val="00BF47DC"/>
    <w:rsid w:val="00BF4903"/>
    <w:rsid w:val="00BF4BA7"/>
    <w:rsid w:val="00BF5771"/>
    <w:rsid w:val="00BF5944"/>
    <w:rsid w:val="00BF5B20"/>
    <w:rsid w:val="00BF5C49"/>
    <w:rsid w:val="00BF6005"/>
    <w:rsid w:val="00BF6211"/>
    <w:rsid w:val="00BF679C"/>
    <w:rsid w:val="00BF6DC6"/>
    <w:rsid w:val="00BF7ECA"/>
    <w:rsid w:val="00BF7F26"/>
    <w:rsid w:val="00C0032A"/>
    <w:rsid w:val="00C00348"/>
    <w:rsid w:val="00C004C2"/>
    <w:rsid w:val="00C009AA"/>
    <w:rsid w:val="00C00C08"/>
    <w:rsid w:val="00C00FF9"/>
    <w:rsid w:val="00C01023"/>
    <w:rsid w:val="00C01371"/>
    <w:rsid w:val="00C01903"/>
    <w:rsid w:val="00C02234"/>
    <w:rsid w:val="00C02C6C"/>
    <w:rsid w:val="00C03098"/>
    <w:rsid w:val="00C033B4"/>
    <w:rsid w:val="00C035E9"/>
    <w:rsid w:val="00C03861"/>
    <w:rsid w:val="00C03FBA"/>
    <w:rsid w:val="00C045AB"/>
    <w:rsid w:val="00C05732"/>
    <w:rsid w:val="00C05787"/>
    <w:rsid w:val="00C05FC2"/>
    <w:rsid w:val="00C06464"/>
    <w:rsid w:val="00C06973"/>
    <w:rsid w:val="00C06F00"/>
    <w:rsid w:val="00C07C14"/>
    <w:rsid w:val="00C07F7F"/>
    <w:rsid w:val="00C101CC"/>
    <w:rsid w:val="00C1043A"/>
    <w:rsid w:val="00C109D3"/>
    <w:rsid w:val="00C10FBD"/>
    <w:rsid w:val="00C11D88"/>
    <w:rsid w:val="00C11F93"/>
    <w:rsid w:val="00C11FC8"/>
    <w:rsid w:val="00C12136"/>
    <w:rsid w:val="00C1216F"/>
    <w:rsid w:val="00C12359"/>
    <w:rsid w:val="00C12385"/>
    <w:rsid w:val="00C12446"/>
    <w:rsid w:val="00C124C5"/>
    <w:rsid w:val="00C1262C"/>
    <w:rsid w:val="00C12ACD"/>
    <w:rsid w:val="00C12D39"/>
    <w:rsid w:val="00C13AAB"/>
    <w:rsid w:val="00C140E6"/>
    <w:rsid w:val="00C148C3"/>
    <w:rsid w:val="00C14AA0"/>
    <w:rsid w:val="00C14DD9"/>
    <w:rsid w:val="00C1527E"/>
    <w:rsid w:val="00C1563C"/>
    <w:rsid w:val="00C15723"/>
    <w:rsid w:val="00C15E17"/>
    <w:rsid w:val="00C16412"/>
    <w:rsid w:val="00C165F0"/>
    <w:rsid w:val="00C1729C"/>
    <w:rsid w:val="00C17354"/>
    <w:rsid w:val="00C177E1"/>
    <w:rsid w:val="00C17B3D"/>
    <w:rsid w:val="00C20040"/>
    <w:rsid w:val="00C200B7"/>
    <w:rsid w:val="00C20185"/>
    <w:rsid w:val="00C202B1"/>
    <w:rsid w:val="00C20346"/>
    <w:rsid w:val="00C2076A"/>
    <w:rsid w:val="00C20A52"/>
    <w:rsid w:val="00C20C5E"/>
    <w:rsid w:val="00C20CF4"/>
    <w:rsid w:val="00C20DB7"/>
    <w:rsid w:val="00C20DBC"/>
    <w:rsid w:val="00C20F64"/>
    <w:rsid w:val="00C21065"/>
    <w:rsid w:val="00C213BF"/>
    <w:rsid w:val="00C21D63"/>
    <w:rsid w:val="00C22004"/>
    <w:rsid w:val="00C222B2"/>
    <w:rsid w:val="00C22514"/>
    <w:rsid w:val="00C23954"/>
    <w:rsid w:val="00C23AE9"/>
    <w:rsid w:val="00C2406A"/>
    <w:rsid w:val="00C240F8"/>
    <w:rsid w:val="00C2474F"/>
    <w:rsid w:val="00C247E7"/>
    <w:rsid w:val="00C25377"/>
    <w:rsid w:val="00C25817"/>
    <w:rsid w:val="00C271E9"/>
    <w:rsid w:val="00C273A6"/>
    <w:rsid w:val="00C27F86"/>
    <w:rsid w:val="00C30374"/>
    <w:rsid w:val="00C30A31"/>
    <w:rsid w:val="00C30D6D"/>
    <w:rsid w:val="00C30F06"/>
    <w:rsid w:val="00C30F29"/>
    <w:rsid w:val="00C311D6"/>
    <w:rsid w:val="00C31A29"/>
    <w:rsid w:val="00C31AC0"/>
    <w:rsid w:val="00C31B6A"/>
    <w:rsid w:val="00C32D89"/>
    <w:rsid w:val="00C32F99"/>
    <w:rsid w:val="00C33068"/>
    <w:rsid w:val="00C334F8"/>
    <w:rsid w:val="00C3375F"/>
    <w:rsid w:val="00C33D99"/>
    <w:rsid w:val="00C345D1"/>
    <w:rsid w:val="00C3487C"/>
    <w:rsid w:val="00C34B13"/>
    <w:rsid w:val="00C34C43"/>
    <w:rsid w:val="00C356C1"/>
    <w:rsid w:val="00C359C2"/>
    <w:rsid w:val="00C35CD9"/>
    <w:rsid w:val="00C3606D"/>
    <w:rsid w:val="00C36209"/>
    <w:rsid w:val="00C36292"/>
    <w:rsid w:val="00C36ECC"/>
    <w:rsid w:val="00C36F19"/>
    <w:rsid w:val="00C3700B"/>
    <w:rsid w:val="00C3722F"/>
    <w:rsid w:val="00C37A94"/>
    <w:rsid w:val="00C37AB8"/>
    <w:rsid w:val="00C37C84"/>
    <w:rsid w:val="00C37CE9"/>
    <w:rsid w:val="00C37D1D"/>
    <w:rsid w:val="00C400D6"/>
    <w:rsid w:val="00C406A7"/>
    <w:rsid w:val="00C40BBC"/>
    <w:rsid w:val="00C41609"/>
    <w:rsid w:val="00C41AD1"/>
    <w:rsid w:val="00C41C28"/>
    <w:rsid w:val="00C41F25"/>
    <w:rsid w:val="00C421BF"/>
    <w:rsid w:val="00C4281E"/>
    <w:rsid w:val="00C4331F"/>
    <w:rsid w:val="00C4385C"/>
    <w:rsid w:val="00C440DB"/>
    <w:rsid w:val="00C446A2"/>
    <w:rsid w:val="00C44752"/>
    <w:rsid w:val="00C44977"/>
    <w:rsid w:val="00C44FC1"/>
    <w:rsid w:val="00C45294"/>
    <w:rsid w:val="00C4540D"/>
    <w:rsid w:val="00C45728"/>
    <w:rsid w:val="00C45801"/>
    <w:rsid w:val="00C46497"/>
    <w:rsid w:val="00C46866"/>
    <w:rsid w:val="00C468A7"/>
    <w:rsid w:val="00C4698D"/>
    <w:rsid w:val="00C46D25"/>
    <w:rsid w:val="00C46F15"/>
    <w:rsid w:val="00C470A1"/>
    <w:rsid w:val="00C4734A"/>
    <w:rsid w:val="00C47F72"/>
    <w:rsid w:val="00C5006C"/>
    <w:rsid w:val="00C501EF"/>
    <w:rsid w:val="00C508F7"/>
    <w:rsid w:val="00C50D6B"/>
    <w:rsid w:val="00C51222"/>
    <w:rsid w:val="00C517E0"/>
    <w:rsid w:val="00C521FE"/>
    <w:rsid w:val="00C527B2"/>
    <w:rsid w:val="00C52A15"/>
    <w:rsid w:val="00C52B3D"/>
    <w:rsid w:val="00C52B6F"/>
    <w:rsid w:val="00C538D6"/>
    <w:rsid w:val="00C544DD"/>
    <w:rsid w:val="00C54C18"/>
    <w:rsid w:val="00C54CC1"/>
    <w:rsid w:val="00C553D0"/>
    <w:rsid w:val="00C55727"/>
    <w:rsid w:val="00C5586E"/>
    <w:rsid w:val="00C56569"/>
    <w:rsid w:val="00C56F9C"/>
    <w:rsid w:val="00C5772E"/>
    <w:rsid w:val="00C57E55"/>
    <w:rsid w:val="00C60BE5"/>
    <w:rsid w:val="00C60BFF"/>
    <w:rsid w:val="00C61074"/>
    <w:rsid w:val="00C610EE"/>
    <w:rsid w:val="00C61660"/>
    <w:rsid w:val="00C61B13"/>
    <w:rsid w:val="00C61CE5"/>
    <w:rsid w:val="00C62B52"/>
    <w:rsid w:val="00C6356C"/>
    <w:rsid w:val="00C6374D"/>
    <w:rsid w:val="00C63A9C"/>
    <w:rsid w:val="00C6434F"/>
    <w:rsid w:val="00C64816"/>
    <w:rsid w:val="00C65227"/>
    <w:rsid w:val="00C652FF"/>
    <w:rsid w:val="00C6609B"/>
    <w:rsid w:val="00C66177"/>
    <w:rsid w:val="00C66B6A"/>
    <w:rsid w:val="00C66DFB"/>
    <w:rsid w:val="00C66E6E"/>
    <w:rsid w:val="00C675A4"/>
    <w:rsid w:val="00C67972"/>
    <w:rsid w:val="00C70166"/>
    <w:rsid w:val="00C7033F"/>
    <w:rsid w:val="00C71212"/>
    <w:rsid w:val="00C71378"/>
    <w:rsid w:val="00C715B6"/>
    <w:rsid w:val="00C7225D"/>
    <w:rsid w:val="00C7281F"/>
    <w:rsid w:val="00C728C3"/>
    <w:rsid w:val="00C738F0"/>
    <w:rsid w:val="00C73D78"/>
    <w:rsid w:val="00C74F97"/>
    <w:rsid w:val="00C751DC"/>
    <w:rsid w:val="00C75554"/>
    <w:rsid w:val="00C758DB"/>
    <w:rsid w:val="00C75ABE"/>
    <w:rsid w:val="00C75E42"/>
    <w:rsid w:val="00C75F63"/>
    <w:rsid w:val="00C7602A"/>
    <w:rsid w:val="00C764B1"/>
    <w:rsid w:val="00C7653C"/>
    <w:rsid w:val="00C768D0"/>
    <w:rsid w:val="00C76A21"/>
    <w:rsid w:val="00C76B4B"/>
    <w:rsid w:val="00C76C5E"/>
    <w:rsid w:val="00C76CC0"/>
    <w:rsid w:val="00C76D47"/>
    <w:rsid w:val="00C771BE"/>
    <w:rsid w:val="00C778C3"/>
    <w:rsid w:val="00C77CF8"/>
    <w:rsid w:val="00C77E69"/>
    <w:rsid w:val="00C8062C"/>
    <w:rsid w:val="00C818A3"/>
    <w:rsid w:val="00C81BC7"/>
    <w:rsid w:val="00C82223"/>
    <w:rsid w:val="00C828DD"/>
    <w:rsid w:val="00C82C44"/>
    <w:rsid w:val="00C82CB9"/>
    <w:rsid w:val="00C830CD"/>
    <w:rsid w:val="00C83507"/>
    <w:rsid w:val="00C83732"/>
    <w:rsid w:val="00C83B18"/>
    <w:rsid w:val="00C83B45"/>
    <w:rsid w:val="00C83CE6"/>
    <w:rsid w:val="00C84103"/>
    <w:rsid w:val="00C8439F"/>
    <w:rsid w:val="00C844BA"/>
    <w:rsid w:val="00C849FC"/>
    <w:rsid w:val="00C84A15"/>
    <w:rsid w:val="00C85285"/>
    <w:rsid w:val="00C8549B"/>
    <w:rsid w:val="00C85915"/>
    <w:rsid w:val="00C863C5"/>
    <w:rsid w:val="00C863E6"/>
    <w:rsid w:val="00C869E9"/>
    <w:rsid w:val="00C87149"/>
    <w:rsid w:val="00C87764"/>
    <w:rsid w:val="00C8786E"/>
    <w:rsid w:val="00C87CCC"/>
    <w:rsid w:val="00C908EC"/>
    <w:rsid w:val="00C91228"/>
    <w:rsid w:val="00C91453"/>
    <w:rsid w:val="00C916DF"/>
    <w:rsid w:val="00C920D4"/>
    <w:rsid w:val="00C92FE4"/>
    <w:rsid w:val="00C93592"/>
    <w:rsid w:val="00C93B9D"/>
    <w:rsid w:val="00C93F71"/>
    <w:rsid w:val="00C950E2"/>
    <w:rsid w:val="00C958CD"/>
    <w:rsid w:val="00C95D3B"/>
    <w:rsid w:val="00C95DF9"/>
    <w:rsid w:val="00C96740"/>
    <w:rsid w:val="00C96C4C"/>
    <w:rsid w:val="00C96FD6"/>
    <w:rsid w:val="00C973A9"/>
    <w:rsid w:val="00C977CA"/>
    <w:rsid w:val="00C97A50"/>
    <w:rsid w:val="00C97F1B"/>
    <w:rsid w:val="00CA1717"/>
    <w:rsid w:val="00CA17E5"/>
    <w:rsid w:val="00CA19F1"/>
    <w:rsid w:val="00CA222D"/>
    <w:rsid w:val="00CA228D"/>
    <w:rsid w:val="00CA261E"/>
    <w:rsid w:val="00CA2F91"/>
    <w:rsid w:val="00CA30B8"/>
    <w:rsid w:val="00CA378B"/>
    <w:rsid w:val="00CA3936"/>
    <w:rsid w:val="00CA487A"/>
    <w:rsid w:val="00CA51FB"/>
    <w:rsid w:val="00CA5590"/>
    <w:rsid w:val="00CA5E19"/>
    <w:rsid w:val="00CA5EA9"/>
    <w:rsid w:val="00CA6850"/>
    <w:rsid w:val="00CA7190"/>
    <w:rsid w:val="00CA790A"/>
    <w:rsid w:val="00CA7B92"/>
    <w:rsid w:val="00CA7E82"/>
    <w:rsid w:val="00CA7F3D"/>
    <w:rsid w:val="00CB0503"/>
    <w:rsid w:val="00CB18B4"/>
    <w:rsid w:val="00CB1984"/>
    <w:rsid w:val="00CB1E17"/>
    <w:rsid w:val="00CB2317"/>
    <w:rsid w:val="00CB24CB"/>
    <w:rsid w:val="00CB2583"/>
    <w:rsid w:val="00CB282F"/>
    <w:rsid w:val="00CB28FE"/>
    <w:rsid w:val="00CB2CAC"/>
    <w:rsid w:val="00CB30A1"/>
    <w:rsid w:val="00CB36DF"/>
    <w:rsid w:val="00CB3E5E"/>
    <w:rsid w:val="00CB469F"/>
    <w:rsid w:val="00CB46F4"/>
    <w:rsid w:val="00CB5377"/>
    <w:rsid w:val="00CB5C73"/>
    <w:rsid w:val="00CB600F"/>
    <w:rsid w:val="00CB63E7"/>
    <w:rsid w:val="00CB67B2"/>
    <w:rsid w:val="00CB6CA4"/>
    <w:rsid w:val="00CB6CD5"/>
    <w:rsid w:val="00CB6F31"/>
    <w:rsid w:val="00CB72F5"/>
    <w:rsid w:val="00CB76EF"/>
    <w:rsid w:val="00CB7F07"/>
    <w:rsid w:val="00CB7FC1"/>
    <w:rsid w:val="00CC0489"/>
    <w:rsid w:val="00CC06D2"/>
    <w:rsid w:val="00CC0923"/>
    <w:rsid w:val="00CC0CDA"/>
    <w:rsid w:val="00CC1241"/>
    <w:rsid w:val="00CC150E"/>
    <w:rsid w:val="00CC16CB"/>
    <w:rsid w:val="00CC1980"/>
    <w:rsid w:val="00CC24A4"/>
    <w:rsid w:val="00CC24D8"/>
    <w:rsid w:val="00CC279B"/>
    <w:rsid w:val="00CC2ADE"/>
    <w:rsid w:val="00CC2CF6"/>
    <w:rsid w:val="00CC349A"/>
    <w:rsid w:val="00CC3C0C"/>
    <w:rsid w:val="00CC41E9"/>
    <w:rsid w:val="00CC49CB"/>
    <w:rsid w:val="00CC4B0F"/>
    <w:rsid w:val="00CC53BC"/>
    <w:rsid w:val="00CC5B91"/>
    <w:rsid w:val="00CC5DA4"/>
    <w:rsid w:val="00CC6437"/>
    <w:rsid w:val="00CC66B3"/>
    <w:rsid w:val="00CC677E"/>
    <w:rsid w:val="00CC6923"/>
    <w:rsid w:val="00CD00DC"/>
    <w:rsid w:val="00CD030E"/>
    <w:rsid w:val="00CD0FBD"/>
    <w:rsid w:val="00CD1120"/>
    <w:rsid w:val="00CD13F5"/>
    <w:rsid w:val="00CD15CF"/>
    <w:rsid w:val="00CD170E"/>
    <w:rsid w:val="00CD1B09"/>
    <w:rsid w:val="00CD22D1"/>
    <w:rsid w:val="00CD233D"/>
    <w:rsid w:val="00CD250B"/>
    <w:rsid w:val="00CD2B4C"/>
    <w:rsid w:val="00CD2E4E"/>
    <w:rsid w:val="00CD3254"/>
    <w:rsid w:val="00CD34CF"/>
    <w:rsid w:val="00CD352C"/>
    <w:rsid w:val="00CD355B"/>
    <w:rsid w:val="00CD38A5"/>
    <w:rsid w:val="00CD3F07"/>
    <w:rsid w:val="00CD3F31"/>
    <w:rsid w:val="00CD3FCF"/>
    <w:rsid w:val="00CD420F"/>
    <w:rsid w:val="00CD4ADC"/>
    <w:rsid w:val="00CD4D12"/>
    <w:rsid w:val="00CD53CC"/>
    <w:rsid w:val="00CD5596"/>
    <w:rsid w:val="00CD57CE"/>
    <w:rsid w:val="00CD5B5A"/>
    <w:rsid w:val="00CD5FB3"/>
    <w:rsid w:val="00CD697D"/>
    <w:rsid w:val="00CD6FF4"/>
    <w:rsid w:val="00CD77B4"/>
    <w:rsid w:val="00CD79D4"/>
    <w:rsid w:val="00CD7F74"/>
    <w:rsid w:val="00CE0027"/>
    <w:rsid w:val="00CE09AE"/>
    <w:rsid w:val="00CE09B6"/>
    <w:rsid w:val="00CE09D0"/>
    <w:rsid w:val="00CE12F6"/>
    <w:rsid w:val="00CE1688"/>
    <w:rsid w:val="00CE183E"/>
    <w:rsid w:val="00CE19AB"/>
    <w:rsid w:val="00CE2416"/>
    <w:rsid w:val="00CE2856"/>
    <w:rsid w:val="00CE28D2"/>
    <w:rsid w:val="00CE2A2C"/>
    <w:rsid w:val="00CE2AF6"/>
    <w:rsid w:val="00CE2CB6"/>
    <w:rsid w:val="00CE3010"/>
    <w:rsid w:val="00CE35B9"/>
    <w:rsid w:val="00CE36C0"/>
    <w:rsid w:val="00CE377D"/>
    <w:rsid w:val="00CE3EE9"/>
    <w:rsid w:val="00CE3F06"/>
    <w:rsid w:val="00CE3F54"/>
    <w:rsid w:val="00CE4104"/>
    <w:rsid w:val="00CE4302"/>
    <w:rsid w:val="00CE471C"/>
    <w:rsid w:val="00CE4FB1"/>
    <w:rsid w:val="00CE6528"/>
    <w:rsid w:val="00CE6933"/>
    <w:rsid w:val="00CE6CD6"/>
    <w:rsid w:val="00CE6F1F"/>
    <w:rsid w:val="00CE6FE5"/>
    <w:rsid w:val="00CE774F"/>
    <w:rsid w:val="00CE7851"/>
    <w:rsid w:val="00CE7AD0"/>
    <w:rsid w:val="00CE7C53"/>
    <w:rsid w:val="00CF01C8"/>
    <w:rsid w:val="00CF0C7F"/>
    <w:rsid w:val="00CF0EA5"/>
    <w:rsid w:val="00CF160A"/>
    <w:rsid w:val="00CF19E3"/>
    <w:rsid w:val="00CF1D0B"/>
    <w:rsid w:val="00CF1D68"/>
    <w:rsid w:val="00CF1EA7"/>
    <w:rsid w:val="00CF209A"/>
    <w:rsid w:val="00CF2C57"/>
    <w:rsid w:val="00CF2CA3"/>
    <w:rsid w:val="00CF2ECD"/>
    <w:rsid w:val="00CF33E9"/>
    <w:rsid w:val="00CF34BA"/>
    <w:rsid w:val="00CF3A29"/>
    <w:rsid w:val="00CF3D6F"/>
    <w:rsid w:val="00CF3DFA"/>
    <w:rsid w:val="00CF3FA2"/>
    <w:rsid w:val="00CF3FDD"/>
    <w:rsid w:val="00CF4160"/>
    <w:rsid w:val="00CF45D4"/>
    <w:rsid w:val="00CF4EEB"/>
    <w:rsid w:val="00CF53E8"/>
    <w:rsid w:val="00CF5741"/>
    <w:rsid w:val="00CF5ABA"/>
    <w:rsid w:val="00CF5BD8"/>
    <w:rsid w:val="00CF5E4D"/>
    <w:rsid w:val="00CF6441"/>
    <w:rsid w:val="00CF66A4"/>
    <w:rsid w:val="00CF681A"/>
    <w:rsid w:val="00CF69BC"/>
    <w:rsid w:val="00CF6BCA"/>
    <w:rsid w:val="00CF710E"/>
    <w:rsid w:val="00CF772E"/>
    <w:rsid w:val="00CF7DD5"/>
    <w:rsid w:val="00CF7E63"/>
    <w:rsid w:val="00D00319"/>
    <w:rsid w:val="00D00543"/>
    <w:rsid w:val="00D00A6D"/>
    <w:rsid w:val="00D01436"/>
    <w:rsid w:val="00D0152C"/>
    <w:rsid w:val="00D0162F"/>
    <w:rsid w:val="00D02459"/>
    <w:rsid w:val="00D0246F"/>
    <w:rsid w:val="00D02E10"/>
    <w:rsid w:val="00D02E51"/>
    <w:rsid w:val="00D032F1"/>
    <w:rsid w:val="00D03461"/>
    <w:rsid w:val="00D03AB6"/>
    <w:rsid w:val="00D04802"/>
    <w:rsid w:val="00D04ABD"/>
    <w:rsid w:val="00D04B36"/>
    <w:rsid w:val="00D04C00"/>
    <w:rsid w:val="00D0570D"/>
    <w:rsid w:val="00D061D2"/>
    <w:rsid w:val="00D0663F"/>
    <w:rsid w:val="00D067D9"/>
    <w:rsid w:val="00D06E30"/>
    <w:rsid w:val="00D06EEF"/>
    <w:rsid w:val="00D07114"/>
    <w:rsid w:val="00D07A34"/>
    <w:rsid w:val="00D07C6F"/>
    <w:rsid w:val="00D10D86"/>
    <w:rsid w:val="00D1166C"/>
    <w:rsid w:val="00D11EA7"/>
    <w:rsid w:val="00D1335D"/>
    <w:rsid w:val="00D13A15"/>
    <w:rsid w:val="00D13BD8"/>
    <w:rsid w:val="00D13DBB"/>
    <w:rsid w:val="00D14111"/>
    <w:rsid w:val="00D153BC"/>
    <w:rsid w:val="00D1563B"/>
    <w:rsid w:val="00D1615D"/>
    <w:rsid w:val="00D162F6"/>
    <w:rsid w:val="00D163DF"/>
    <w:rsid w:val="00D16647"/>
    <w:rsid w:val="00D16731"/>
    <w:rsid w:val="00D169AC"/>
    <w:rsid w:val="00D16B8E"/>
    <w:rsid w:val="00D16F25"/>
    <w:rsid w:val="00D170FC"/>
    <w:rsid w:val="00D17347"/>
    <w:rsid w:val="00D17888"/>
    <w:rsid w:val="00D179E2"/>
    <w:rsid w:val="00D179F3"/>
    <w:rsid w:val="00D2020A"/>
    <w:rsid w:val="00D204EE"/>
    <w:rsid w:val="00D20E5C"/>
    <w:rsid w:val="00D219C6"/>
    <w:rsid w:val="00D21AB9"/>
    <w:rsid w:val="00D21D8A"/>
    <w:rsid w:val="00D21FCB"/>
    <w:rsid w:val="00D226EE"/>
    <w:rsid w:val="00D2273C"/>
    <w:rsid w:val="00D22BD4"/>
    <w:rsid w:val="00D22DE8"/>
    <w:rsid w:val="00D22F3E"/>
    <w:rsid w:val="00D231F4"/>
    <w:rsid w:val="00D23C60"/>
    <w:rsid w:val="00D23CED"/>
    <w:rsid w:val="00D23D15"/>
    <w:rsid w:val="00D24901"/>
    <w:rsid w:val="00D2492C"/>
    <w:rsid w:val="00D2494C"/>
    <w:rsid w:val="00D24C56"/>
    <w:rsid w:val="00D24DEA"/>
    <w:rsid w:val="00D25AD7"/>
    <w:rsid w:val="00D25B24"/>
    <w:rsid w:val="00D25BD1"/>
    <w:rsid w:val="00D25C2D"/>
    <w:rsid w:val="00D25ED5"/>
    <w:rsid w:val="00D26455"/>
    <w:rsid w:val="00D26556"/>
    <w:rsid w:val="00D26771"/>
    <w:rsid w:val="00D26880"/>
    <w:rsid w:val="00D26B4E"/>
    <w:rsid w:val="00D26FBD"/>
    <w:rsid w:val="00D271DA"/>
    <w:rsid w:val="00D27F4C"/>
    <w:rsid w:val="00D30743"/>
    <w:rsid w:val="00D3088E"/>
    <w:rsid w:val="00D31916"/>
    <w:rsid w:val="00D319B9"/>
    <w:rsid w:val="00D31ADA"/>
    <w:rsid w:val="00D31BE6"/>
    <w:rsid w:val="00D31DFE"/>
    <w:rsid w:val="00D32186"/>
    <w:rsid w:val="00D32710"/>
    <w:rsid w:val="00D32A70"/>
    <w:rsid w:val="00D33063"/>
    <w:rsid w:val="00D336C3"/>
    <w:rsid w:val="00D3450E"/>
    <w:rsid w:val="00D34AF8"/>
    <w:rsid w:val="00D34BB9"/>
    <w:rsid w:val="00D3566C"/>
    <w:rsid w:val="00D35D1C"/>
    <w:rsid w:val="00D368D4"/>
    <w:rsid w:val="00D36C16"/>
    <w:rsid w:val="00D36EC8"/>
    <w:rsid w:val="00D37659"/>
    <w:rsid w:val="00D3786B"/>
    <w:rsid w:val="00D379E0"/>
    <w:rsid w:val="00D37A40"/>
    <w:rsid w:val="00D37FDF"/>
    <w:rsid w:val="00D37FE0"/>
    <w:rsid w:val="00D401B5"/>
    <w:rsid w:val="00D402BC"/>
    <w:rsid w:val="00D403E9"/>
    <w:rsid w:val="00D40496"/>
    <w:rsid w:val="00D40E65"/>
    <w:rsid w:val="00D415A4"/>
    <w:rsid w:val="00D4165F"/>
    <w:rsid w:val="00D418B4"/>
    <w:rsid w:val="00D41B36"/>
    <w:rsid w:val="00D420F0"/>
    <w:rsid w:val="00D42FF0"/>
    <w:rsid w:val="00D44001"/>
    <w:rsid w:val="00D4416D"/>
    <w:rsid w:val="00D442CC"/>
    <w:rsid w:val="00D447B2"/>
    <w:rsid w:val="00D44866"/>
    <w:rsid w:val="00D4492F"/>
    <w:rsid w:val="00D44978"/>
    <w:rsid w:val="00D44B10"/>
    <w:rsid w:val="00D458A4"/>
    <w:rsid w:val="00D45D2D"/>
    <w:rsid w:val="00D460A3"/>
    <w:rsid w:val="00D46FA6"/>
    <w:rsid w:val="00D47519"/>
    <w:rsid w:val="00D477E6"/>
    <w:rsid w:val="00D5014A"/>
    <w:rsid w:val="00D50406"/>
    <w:rsid w:val="00D508BE"/>
    <w:rsid w:val="00D509C5"/>
    <w:rsid w:val="00D51549"/>
    <w:rsid w:val="00D51560"/>
    <w:rsid w:val="00D5175E"/>
    <w:rsid w:val="00D5190D"/>
    <w:rsid w:val="00D51F8C"/>
    <w:rsid w:val="00D5241F"/>
    <w:rsid w:val="00D52B01"/>
    <w:rsid w:val="00D5328F"/>
    <w:rsid w:val="00D53AD4"/>
    <w:rsid w:val="00D53F81"/>
    <w:rsid w:val="00D54E67"/>
    <w:rsid w:val="00D55720"/>
    <w:rsid w:val="00D558C7"/>
    <w:rsid w:val="00D55965"/>
    <w:rsid w:val="00D5630E"/>
    <w:rsid w:val="00D56547"/>
    <w:rsid w:val="00D568AE"/>
    <w:rsid w:val="00D5692F"/>
    <w:rsid w:val="00D56B5E"/>
    <w:rsid w:val="00D56FD6"/>
    <w:rsid w:val="00D5738B"/>
    <w:rsid w:val="00D57513"/>
    <w:rsid w:val="00D5752E"/>
    <w:rsid w:val="00D57699"/>
    <w:rsid w:val="00D5797E"/>
    <w:rsid w:val="00D57B8F"/>
    <w:rsid w:val="00D57CE1"/>
    <w:rsid w:val="00D605B7"/>
    <w:rsid w:val="00D60FEF"/>
    <w:rsid w:val="00D611CC"/>
    <w:rsid w:val="00D61350"/>
    <w:rsid w:val="00D61852"/>
    <w:rsid w:val="00D61886"/>
    <w:rsid w:val="00D622DF"/>
    <w:rsid w:val="00D6235C"/>
    <w:rsid w:val="00D624D6"/>
    <w:rsid w:val="00D624D8"/>
    <w:rsid w:val="00D6334A"/>
    <w:rsid w:val="00D63438"/>
    <w:rsid w:val="00D634FC"/>
    <w:rsid w:val="00D63606"/>
    <w:rsid w:val="00D63DF9"/>
    <w:rsid w:val="00D63F91"/>
    <w:rsid w:val="00D651F8"/>
    <w:rsid w:val="00D65459"/>
    <w:rsid w:val="00D659A3"/>
    <w:rsid w:val="00D65D86"/>
    <w:rsid w:val="00D65F06"/>
    <w:rsid w:val="00D665F5"/>
    <w:rsid w:val="00D6698F"/>
    <w:rsid w:val="00D66F59"/>
    <w:rsid w:val="00D6700C"/>
    <w:rsid w:val="00D70225"/>
    <w:rsid w:val="00D706A6"/>
    <w:rsid w:val="00D70960"/>
    <w:rsid w:val="00D70F11"/>
    <w:rsid w:val="00D70F1B"/>
    <w:rsid w:val="00D70FBC"/>
    <w:rsid w:val="00D7106E"/>
    <w:rsid w:val="00D7200B"/>
    <w:rsid w:val="00D7223B"/>
    <w:rsid w:val="00D726EA"/>
    <w:rsid w:val="00D727B0"/>
    <w:rsid w:val="00D727FC"/>
    <w:rsid w:val="00D73113"/>
    <w:rsid w:val="00D73237"/>
    <w:rsid w:val="00D7357F"/>
    <w:rsid w:val="00D735A8"/>
    <w:rsid w:val="00D73BD7"/>
    <w:rsid w:val="00D73DF3"/>
    <w:rsid w:val="00D7479B"/>
    <w:rsid w:val="00D74F31"/>
    <w:rsid w:val="00D74FFF"/>
    <w:rsid w:val="00D75A1E"/>
    <w:rsid w:val="00D75A80"/>
    <w:rsid w:val="00D75B09"/>
    <w:rsid w:val="00D75D87"/>
    <w:rsid w:val="00D7644A"/>
    <w:rsid w:val="00D765DF"/>
    <w:rsid w:val="00D766FA"/>
    <w:rsid w:val="00D76AF5"/>
    <w:rsid w:val="00D76B44"/>
    <w:rsid w:val="00D7725B"/>
    <w:rsid w:val="00D77938"/>
    <w:rsid w:val="00D77BA2"/>
    <w:rsid w:val="00D81029"/>
    <w:rsid w:val="00D81041"/>
    <w:rsid w:val="00D8110D"/>
    <w:rsid w:val="00D81EAE"/>
    <w:rsid w:val="00D81EB6"/>
    <w:rsid w:val="00D8239C"/>
    <w:rsid w:val="00D82958"/>
    <w:rsid w:val="00D82C39"/>
    <w:rsid w:val="00D8328D"/>
    <w:rsid w:val="00D83469"/>
    <w:rsid w:val="00D83495"/>
    <w:rsid w:val="00D84146"/>
    <w:rsid w:val="00D8426C"/>
    <w:rsid w:val="00D84293"/>
    <w:rsid w:val="00D853AB"/>
    <w:rsid w:val="00D8592A"/>
    <w:rsid w:val="00D85A1B"/>
    <w:rsid w:val="00D86E3B"/>
    <w:rsid w:val="00D8757A"/>
    <w:rsid w:val="00D87FCA"/>
    <w:rsid w:val="00D9020C"/>
    <w:rsid w:val="00D9024C"/>
    <w:rsid w:val="00D90805"/>
    <w:rsid w:val="00D90F5B"/>
    <w:rsid w:val="00D91134"/>
    <w:rsid w:val="00D91331"/>
    <w:rsid w:val="00D91598"/>
    <w:rsid w:val="00D916EE"/>
    <w:rsid w:val="00D92576"/>
    <w:rsid w:val="00D9291A"/>
    <w:rsid w:val="00D92D82"/>
    <w:rsid w:val="00D93091"/>
    <w:rsid w:val="00D9326A"/>
    <w:rsid w:val="00D93919"/>
    <w:rsid w:val="00D93AB3"/>
    <w:rsid w:val="00D93EDF"/>
    <w:rsid w:val="00D94500"/>
    <w:rsid w:val="00D949EE"/>
    <w:rsid w:val="00D94B8D"/>
    <w:rsid w:val="00D94BFC"/>
    <w:rsid w:val="00D951F8"/>
    <w:rsid w:val="00D952AB"/>
    <w:rsid w:val="00D953EB"/>
    <w:rsid w:val="00D95A9D"/>
    <w:rsid w:val="00D95AD0"/>
    <w:rsid w:val="00D9653D"/>
    <w:rsid w:val="00D966D4"/>
    <w:rsid w:val="00D969D6"/>
    <w:rsid w:val="00D97C55"/>
    <w:rsid w:val="00DA0ABA"/>
    <w:rsid w:val="00DA14FA"/>
    <w:rsid w:val="00DA173F"/>
    <w:rsid w:val="00DA2BFE"/>
    <w:rsid w:val="00DA2DAF"/>
    <w:rsid w:val="00DA30B2"/>
    <w:rsid w:val="00DA3425"/>
    <w:rsid w:val="00DA3759"/>
    <w:rsid w:val="00DA37D3"/>
    <w:rsid w:val="00DA4156"/>
    <w:rsid w:val="00DA4994"/>
    <w:rsid w:val="00DA4CE3"/>
    <w:rsid w:val="00DA5311"/>
    <w:rsid w:val="00DA532A"/>
    <w:rsid w:val="00DA54A6"/>
    <w:rsid w:val="00DA573D"/>
    <w:rsid w:val="00DA5F4D"/>
    <w:rsid w:val="00DA6014"/>
    <w:rsid w:val="00DA6AFF"/>
    <w:rsid w:val="00DA703A"/>
    <w:rsid w:val="00DA7644"/>
    <w:rsid w:val="00DA7696"/>
    <w:rsid w:val="00DA78C8"/>
    <w:rsid w:val="00DB0529"/>
    <w:rsid w:val="00DB1926"/>
    <w:rsid w:val="00DB1E34"/>
    <w:rsid w:val="00DB1E64"/>
    <w:rsid w:val="00DB23D8"/>
    <w:rsid w:val="00DB26D6"/>
    <w:rsid w:val="00DB2BF9"/>
    <w:rsid w:val="00DB2D49"/>
    <w:rsid w:val="00DB310F"/>
    <w:rsid w:val="00DB33C1"/>
    <w:rsid w:val="00DB3A21"/>
    <w:rsid w:val="00DB3A6E"/>
    <w:rsid w:val="00DB3AEF"/>
    <w:rsid w:val="00DB3D2D"/>
    <w:rsid w:val="00DB3DDC"/>
    <w:rsid w:val="00DB3F32"/>
    <w:rsid w:val="00DB44B7"/>
    <w:rsid w:val="00DB4AB8"/>
    <w:rsid w:val="00DB4D70"/>
    <w:rsid w:val="00DB4DF0"/>
    <w:rsid w:val="00DB5738"/>
    <w:rsid w:val="00DB5BA5"/>
    <w:rsid w:val="00DB5C39"/>
    <w:rsid w:val="00DB5D4F"/>
    <w:rsid w:val="00DB6209"/>
    <w:rsid w:val="00DB6C0F"/>
    <w:rsid w:val="00DB7015"/>
    <w:rsid w:val="00DB7543"/>
    <w:rsid w:val="00DB79E7"/>
    <w:rsid w:val="00DB7BD2"/>
    <w:rsid w:val="00DB7E9A"/>
    <w:rsid w:val="00DC181D"/>
    <w:rsid w:val="00DC1CB8"/>
    <w:rsid w:val="00DC1DE2"/>
    <w:rsid w:val="00DC20B7"/>
    <w:rsid w:val="00DC26DF"/>
    <w:rsid w:val="00DC26E0"/>
    <w:rsid w:val="00DC27EB"/>
    <w:rsid w:val="00DC2D4F"/>
    <w:rsid w:val="00DC2E57"/>
    <w:rsid w:val="00DC304B"/>
    <w:rsid w:val="00DC3081"/>
    <w:rsid w:val="00DC37BE"/>
    <w:rsid w:val="00DC39BF"/>
    <w:rsid w:val="00DC48B9"/>
    <w:rsid w:val="00DC5A48"/>
    <w:rsid w:val="00DC5A6D"/>
    <w:rsid w:val="00DC5E23"/>
    <w:rsid w:val="00DC60D9"/>
    <w:rsid w:val="00DC616C"/>
    <w:rsid w:val="00DC62B1"/>
    <w:rsid w:val="00DC64B6"/>
    <w:rsid w:val="00DC68C6"/>
    <w:rsid w:val="00DC7147"/>
    <w:rsid w:val="00DC74FC"/>
    <w:rsid w:val="00DC76BC"/>
    <w:rsid w:val="00DC7732"/>
    <w:rsid w:val="00DC7C2E"/>
    <w:rsid w:val="00DD0088"/>
    <w:rsid w:val="00DD0119"/>
    <w:rsid w:val="00DD0516"/>
    <w:rsid w:val="00DD10AA"/>
    <w:rsid w:val="00DD10DA"/>
    <w:rsid w:val="00DD1141"/>
    <w:rsid w:val="00DD16DB"/>
    <w:rsid w:val="00DD16FA"/>
    <w:rsid w:val="00DD18AD"/>
    <w:rsid w:val="00DD1970"/>
    <w:rsid w:val="00DD1B6D"/>
    <w:rsid w:val="00DD1D40"/>
    <w:rsid w:val="00DD1F9E"/>
    <w:rsid w:val="00DD2580"/>
    <w:rsid w:val="00DD2639"/>
    <w:rsid w:val="00DD3E07"/>
    <w:rsid w:val="00DD4522"/>
    <w:rsid w:val="00DD49D1"/>
    <w:rsid w:val="00DD4C89"/>
    <w:rsid w:val="00DD5084"/>
    <w:rsid w:val="00DD54CB"/>
    <w:rsid w:val="00DD5B93"/>
    <w:rsid w:val="00DD5F03"/>
    <w:rsid w:val="00DD6315"/>
    <w:rsid w:val="00DD6830"/>
    <w:rsid w:val="00DD7927"/>
    <w:rsid w:val="00DE0B5B"/>
    <w:rsid w:val="00DE108A"/>
    <w:rsid w:val="00DE10D3"/>
    <w:rsid w:val="00DE157E"/>
    <w:rsid w:val="00DE1673"/>
    <w:rsid w:val="00DE17B9"/>
    <w:rsid w:val="00DE1894"/>
    <w:rsid w:val="00DE1939"/>
    <w:rsid w:val="00DE2D22"/>
    <w:rsid w:val="00DE2EC8"/>
    <w:rsid w:val="00DE2FEC"/>
    <w:rsid w:val="00DE3430"/>
    <w:rsid w:val="00DE4228"/>
    <w:rsid w:val="00DE43BF"/>
    <w:rsid w:val="00DE44F8"/>
    <w:rsid w:val="00DE4554"/>
    <w:rsid w:val="00DE49F4"/>
    <w:rsid w:val="00DE4F96"/>
    <w:rsid w:val="00DE5E8C"/>
    <w:rsid w:val="00DE5F00"/>
    <w:rsid w:val="00DE6656"/>
    <w:rsid w:val="00DE6A42"/>
    <w:rsid w:val="00DE7477"/>
    <w:rsid w:val="00DE7D6A"/>
    <w:rsid w:val="00DF010A"/>
    <w:rsid w:val="00DF07F4"/>
    <w:rsid w:val="00DF0E50"/>
    <w:rsid w:val="00DF1647"/>
    <w:rsid w:val="00DF186E"/>
    <w:rsid w:val="00DF1E9E"/>
    <w:rsid w:val="00DF2563"/>
    <w:rsid w:val="00DF3257"/>
    <w:rsid w:val="00DF3823"/>
    <w:rsid w:val="00DF409E"/>
    <w:rsid w:val="00DF426B"/>
    <w:rsid w:val="00DF44C9"/>
    <w:rsid w:val="00DF4696"/>
    <w:rsid w:val="00DF474A"/>
    <w:rsid w:val="00DF4CCB"/>
    <w:rsid w:val="00DF550B"/>
    <w:rsid w:val="00DF56D0"/>
    <w:rsid w:val="00DF5774"/>
    <w:rsid w:val="00DF58FB"/>
    <w:rsid w:val="00DF623A"/>
    <w:rsid w:val="00DF6800"/>
    <w:rsid w:val="00DF6C9E"/>
    <w:rsid w:val="00DF7418"/>
    <w:rsid w:val="00DF7C36"/>
    <w:rsid w:val="00DF7D75"/>
    <w:rsid w:val="00E00163"/>
    <w:rsid w:val="00E0037F"/>
    <w:rsid w:val="00E00633"/>
    <w:rsid w:val="00E0086E"/>
    <w:rsid w:val="00E008B7"/>
    <w:rsid w:val="00E00D59"/>
    <w:rsid w:val="00E00E25"/>
    <w:rsid w:val="00E01244"/>
    <w:rsid w:val="00E01307"/>
    <w:rsid w:val="00E016AA"/>
    <w:rsid w:val="00E01C5F"/>
    <w:rsid w:val="00E01C9E"/>
    <w:rsid w:val="00E026E4"/>
    <w:rsid w:val="00E03D79"/>
    <w:rsid w:val="00E04549"/>
    <w:rsid w:val="00E04668"/>
    <w:rsid w:val="00E047E7"/>
    <w:rsid w:val="00E04849"/>
    <w:rsid w:val="00E04B1E"/>
    <w:rsid w:val="00E04B9E"/>
    <w:rsid w:val="00E04BA0"/>
    <w:rsid w:val="00E05140"/>
    <w:rsid w:val="00E0531C"/>
    <w:rsid w:val="00E053E5"/>
    <w:rsid w:val="00E057C6"/>
    <w:rsid w:val="00E05DA2"/>
    <w:rsid w:val="00E0676F"/>
    <w:rsid w:val="00E06A67"/>
    <w:rsid w:val="00E06B26"/>
    <w:rsid w:val="00E06F1A"/>
    <w:rsid w:val="00E06F52"/>
    <w:rsid w:val="00E07039"/>
    <w:rsid w:val="00E07267"/>
    <w:rsid w:val="00E07356"/>
    <w:rsid w:val="00E07435"/>
    <w:rsid w:val="00E07522"/>
    <w:rsid w:val="00E07770"/>
    <w:rsid w:val="00E07A6A"/>
    <w:rsid w:val="00E07A99"/>
    <w:rsid w:val="00E106C4"/>
    <w:rsid w:val="00E10CD6"/>
    <w:rsid w:val="00E11456"/>
    <w:rsid w:val="00E124A4"/>
    <w:rsid w:val="00E12527"/>
    <w:rsid w:val="00E1280A"/>
    <w:rsid w:val="00E12821"/>
    <w:rsid w:val="00E12B8C"/>
    <w:rsid w:val="00E12FF0"/>
    <w:rsid w:val="00E13980"/>
    <w:rsid w:val="00E13AEA"/>
    <w:rsid w:val="00E13D2E"/>
    <w:rsid w:val="00E14926"/>
    <w:rsid w:val="00E1495F"/>
    <w:rsid w:val="00E14DD2"/>
    <w:rsid w:val="00E1539A"/>
    <w:rsid w:val="00E155C3"/>
    <w:rsid w:val="00E15BD6"/>
    <w:rsid w:val="00E15BEF"/>
    <w:rsid w:val="00E15D83"/>
    <w:rsid w:val="00E15DAD"/>
    <w:rsid w:val="00E1644B"/>
    <w:rsid w:val="00E16707"/>
    <w:rsid w:val="00E1693C"/>
    <w:rsid w:val="00E16952"/>
    <w:rsid w:val="00E1695C"/>
    <w:rsid w:val="00E16F3F"/>
    <w:rsid w:val="00E17193"/>
    <w:rsid w:val="00E177F0"/>
    <w:rsid w:val="00E17D1D"/>
    <w:rsid w:val="00E17DB1"/>
    <w:rsid w:val="00E2053C"/>
    <w:rsid w:val="00E20BB9"/>
    <w:rsid w:val="00E20BE7"/>
    <w:rsid w:val="00E2105B"/>
    <w:rsid w:val="00E21F73"/>
    <w:rsid w:val="00E21FEA"/>
    <w:rsid w:val="00E22188"/>
    <w:rsid w:val="00E228C3"/>
    <w:rsid w:val="00E229BA"/>
    <w:rsid w:val="00E229FA"/>
    <w:rsid w:val="00E22C29"/>
    <w:rsid w:val="00E22C89"/>
    <w:rsid w:val="00E22D51"/>
    <w:rsid w:val="00E22D60"/>
    <w:rsid w:val="00E2315F"/>
    <w:rsid w:val="00E23690"/>
    <w:rsid w:val="00E236C9"/>
    <w:rsid w:val="00E23735"/>
    <w:rsid w:val="00E23737"/>
    <w:rsid w:val="00E23AF3"/>
    <w:rsid w:val="00E23CAC"/>
    <w:rsid w:val="00E24004"/>
    <w:rsid w:val="00E244C9"/>
    <w:rsid w:val="00E245D1"/>
    <w:rsid w:val="00E2487A"/>
    <w:rsid w:val="00E249B5"/>
    <w:rsid w:val="00E24F2C"/>
    <w:rsid w:val="00E2533F"/>
    <w:rsid w:val="00E255A8"/>
    <w:rsid w:val="00E25A26"/>
    <w:rsid w:val="00E25C7F"/>
    <w:rsid w:val="00E26130"/>
    <w:rsid w:val="00E27106"/>
    <w:rsid w:val="00E27442"/>
    <w:rsid w:val="00E27849"/>
    <w:rsid w:val="00E279BF"/>
    <w:rsid w:val="00E27C4F"/>
    <w:rsid w:val="00E27E2C"/>
    <w:rsid w:val="00E3021E"/>
    <w:rsid w:val="00E30449"/>
    <w:rsid w:val="00E3095C"/>
    <w:rsid w:val="00E30DEF"/>
    <w:rsid w:val="00E32077"/>
    <w:rsid w:val="00E32304"/>
    <w:rsid w:val="00E323AD"/>
    <w:rsid w:val="00E3322E"/>
    <w:rsid w:val="00E33BCD"/>
    <w:rsid w:val="00E3426E"/>
    <w:rsid w:val="00E3453F"/>
    <w:rsid w:val="00E3488B"/>
    <w:rsid w:val="00E348CE"/>
    <w:rsid w:val="00E35020"/>
    <w:rsid w:val="00E35E90"/>
    <w:rsid w:val="00E4003C"/>
    <w:rsid w:val="00E4060D"/>
    <w:rsid w:val="00E40842"/>
    <w:rsid w:val="00E40E5D"/>
    <w:rsid w:val="00E4239D"/>
    <w:rsid w:val="00E42797"/>
    <w:rsid w:val="00E42FCA"/>
    <w:rsid w:val="00E433BA"/>
    <w:rsid w:val="00E435AC"/>
    <w:rsid w:val="00E43E0E"/>
    <w:rsid w:val="00E44053"/>
    <w:rsid w:val="00E4457D"/>
    <w:rsid w:val="00E44783"/>
    <w:rsid w:val="00E44AC3"/>
    <w:rsid w:val="00E44BA3"/>
    <w:rsid w:val="00E44D91"/>
    <w:rsid w:val="00E44F0C"/>
    <w:rsid w:val="00E4526D"/>
    <w:rsid w:val="00E45609"/>
    <w:rsid w:val="00E4586A"/>
    <w:rsid w:val="00E46031"/>
    <w:rsid w:val="00E46963"/>
    <w:rsid w:val="00E469F7"/>
    <w:rsid w:val="00E46D50"/>
    <w:rsid w:val="00E479C6"/>
    <w:rsid w:val="00E47B08"/>
    <w:rsid w:val="00E505C9"/>
    <w:rsid w:val="00E50799"/>
    <w:rsid w:val="00E50E2D"/>
    <w:rsid w:val="00E50E56"/>
    <w:rsid w:val="00E5102D"/>
    <w:rsid w:val="00E5195A"/>
    <w:rsid w:val="00E52259"/>
    <w:rsid w:val="00E5225E"/>
    <w:rsid w:val="00E52586"/>
    <w:rsid w:val="00E5269C"/>
    <w:rsid w:val="00E52C82"/>
    <w:rsid w:val="00E52E09"/>
    <w:rsid w:val="00E530B6"/>
    <w:rsid w:val="00E531FF"/>
    <w:rsid w:val="00E53B36"/>
    <w:rsid w:val="00E54127"/>
    <w:rsid w:val="00E54C1D"/>
    <w:rsid w:val="00E54D3F"/>
    <w:rsid w:val="00E55C54"/>
    <w:rsid w:val="00E55D83"/>
    <w:rsid w:val="00E5609C"/>
    <w:rsid w:val="00E56650"/>
    <w:rsid w:val="00E56C53"/>
    <w:rsid w:val="00E56CD4"/>
    <w:rsid w:val="00E5753A"/>
    <w:rsid w:val="00E57B63"/>
    <w:rsid w:val="00E57D0C"/>
    <w:rsid w:val="00E6024C"/>
    <w:rsid w:val="00E602C0"/>
    <w:rsid w:val="00E610C5"/>
    <w:rsid w:val="00E6161C"/>
    <w:rsid w:val="00E6179E"/>
    <w:rsid w:val="00E61B65"/>
    <w:rsid w:val="00E62009"/>
    <w:rsid w:val="00E621C0"/>
    <w:rsid w:val="00E626A8"/>
    <w:rsid w:val="00E62851"/>
    <w:rsid w:val="00E62B31"/>
    <w:rsid w:val="00E62DCB"/>
    <w:rsid w:val="00E62E79"/>
    <w:rsid w:val="00E633F6"/>
    <w:rsid w:val="00E63474"/>
    <w:rsid w:val="00E6397A"/>
    <w:rsid w:val="00E63A52"/>
    <w:rsid w:val="00E63CEC"/>
    <w:rsid w:val="00E640C4"/>
    <w:rsid w:val="00E64740"/>
    <w:rsid w:val="00E65959"/>
    <w:rsid w:val="00E65CA8"/>
    <w:rsid w:val="00E6669C"/>
    <w:rsid w:val="00E66765"/>
    <w:rsid w:val="00E6746A"/>
    <w:rsid w:val="00E677C6"/>
    <w:rsid w:val="00E67859"/>
    <w:rsid w:val="00E6795C"/>
    <w:rsid w:val="00E67AEF"/>
    <w:rsid w:val="00E67B7D"/>
    <w:rsid w:val="00E67BA4"/>
    <w:rsid w:val="00E7104D"/>
    <w:rsid w:val="00E71228"/>
    <w:rsid w:val="00E71531"/>
    <w:rsid w:val="00E71666"/>
    <w:rsid w:val="00E7170B"/>
    <w:rsid w:val="00E7194E"/>
    <w:rsid w:val="00E71D41"/>
    <w:rsid w:val="00E72900"/>
    <w:rsid w:val="00E72D00"/>
    <w:rsid w:val="00E732C3"/>
    <w:rsid w:val="00E732DF"/>
    <w:rsid w:val="00E73410"/>
    <w:rsid w:val="00E73FC6"/>
    <w:rsid w:val="00E74072"/>
    <w:rsid w:val="00E745A1"/>
    <w:rsid w:val="00E74800"/>
    <w:rsid w:val="00E74E91"/>
    <w:rsid w:val="00E74F9C"/>
    <w:rsid w:val="00E757CD"/>
    <w:rsid w:val="00E76427"/>
    <w:rsid w:val="00E7686F"/>
    <w:rsid w:val="00E769C8"/>
    <w:rsid w:val="00E76D0C"/>
    <w:rsid w:val="00E7702B"/>
    <w:rsid w:val="00E778EA"/>
    <w:rsid w:val="00E779AA"/>
    <w:rsid w:val="00E805BB"/>
    <w:rsid w:val="00E8064F"/>
    <w:rsid w:val="00E80687"/>
    <w:rsid w:val="00E80D7B"/>
    <w:rsid w:val="00E81190"/>
    <w:rsid w:val="00E81631"/>
    <w:rsid w:val="00E8211C"/>
    <w:rsid w:val="00E824A3"/>
    <w:rsid w:val="00E82B87"/>
    <w:rsid w:val="00E82D8B"/>
    <w:rsid w:val="00E82F87"/>
    <w:rsid w:val="00E83408"/>
    <w:rsid w:val="00E837C8"/>
    <w:rsid w:val="00E83F11"/>
    <w:rsid w:val="00E842DF"/>
    <w:rsid w:val="00E84341"/>
    <w:rsid w:val="00E8503E"/>
    <w:rsid w:val="00E85E9D"/>
    <w:rsid w:val="00E8613A"/>
    <w:rsid w:val="00E8613B"/>
    <w:rsid w:val="00E86D05"/>
    <w:rsid w:val="00E86D4B"/>
    <w:rsid w:val="00E86DFC"/>
    <w:rsid w:val="00E86EFA"/>
    <w:rsid w:val="00E86F45"/>
    <w:rsid w:val="00E87019"/>
    <w:rsid w:val="00E87BE5"/>
    <w:rsid w:val="00E87D66"/>
    <w:rsid w:val="00E9060F"/>
    <w:rsid w:val="00E9068D"/>
    <w:rsid w:val="00E90C1B"/>
    <w:rsid w:val="00E9102E"/>
    <w:rsid w:val="00E9259E"/>
    <w:rsid w:val="00E92D1B"/>
    <w:rsid w:val="00E92DBE"/>
    <w:rsid w:val="00E94067"/>
    <w:rsid w:val="00E942F5"/>
    <w:rsid w:val="00E94AC2"/>
    <w:rsid w:val="00E94EDA"/>
    <w:rsid w:val="00E95315"/>
    <w:rsid w:val="00E9558D"/>
    <w:rsid w:val="00E960F6"/>
    <w:rsid w:val="00E9687A"/>
    <w:rsid w:val="00E96A3A"/>
    <w:rsid w:val="00E971D5"/>
    <w:rsid w:val="00E97AED"/>
    <w:rsid w:val="00E97F1C"/>
    <w:rsid w:val="00EA0069"/>
    <w:rsid w:val="00EA043E"/>
    <w:rsid w:val="00EA07F0"/>
    <w:rsid w:val="00EA0E70"/>
    <w:rsid w:val="00EA0F8D"/>
    <w:rsid w:val="00EA103E"/>
    <w:rsid w:val="00EA12B8"/>
    <w:rsid w:val="00EA2BDE"/>
    <w:rsid w:val="00EA3044"/>
    <w:rsid w:val="00EA384D"/>
    <w:rsid w:val="00EA3A5B"/>
    <w:rsid w:val="00EA3A88"/>
    <w:rsid w:val="00EA3AC7"/>
    <w:rsid w:val="00EA4094"/>
    <w:rsid w:val="00EA422E"/>
    <w:rsid w:val="00EA490C"/>
    <w:rsid w:val="00EA4F33"/>
    <w:rsid w:val="00EA5067"/>
    <w:rsid w:val="00EA54C6"/>
    <w:rsid w:val="00EA5A69"/>
    <w:rsid w:val="00EA5B80"/>
    <w:rsid w:val="00EA6383"/>
    <w:rsid w:val="00EA66B9"/>
    <w:rsid w:val="00EA684D"/>
    <w:rsid w:val="00EA7067"/>
    <w:rsid w:val="00EA7429"/>
    <w:rsid w:val="00EA7BBD"/>
    <w:rsid w:val="00EA7E44"/>
    <w:rsid w:val="00EB00FB"/>
    <w:rsid w:val="00EB01C9"/>
    <w:rsid w:val="00EB19F8"/>
    <w:rsid w:val="00EB1A5A"/>
    <w:rsid w:val="00EB1E36"/>
    <w:rsid w:val="00EB1EE5"/>
    <w:rsid w:val="00EB2107"/>
    <w:rsid w:val="00EB286D"/>
    <w:rsid w:val="00EB2882"/>
    <w:rsid w:val="00EB2C99"/>
    <w:rsid w:val="00EB2FB9"/>
    <w:rsid w:val="00EB3542"/>
    <w:rsid w:val="00EB360E"/>
    <w:rsid w:val="00EB36F7"/>
    <w:rsid w:val="00EB54E5"/>
    <w:rsid w:val="00EB6320"/>
    <w:rsid w:val="00EB673E"/>
    <w:rsid w:val="00EB6D0D"/>
    <w:rsid w:val="00EB7436"/>
    <w:rsid w:val="00EC01B1"/>
    <w:rsid w:val="00EC0390"/>
    <w:rsid w:val="00EC0476"/>
    <w:rsid w:val="00EC04FF"/>
    <w:rsid w:val="00EC0970"/>
    <w:rsid w:val="00EC0A2D"/>
    <w:rsid w:val="00EC0BB4"/>
    <w:rsid w:val="00EC1289"/>
    <w:rsid w:val="00EC17EC"/>
    <w:rsid w:val="00EC1CCB"/>
    <w:rsid w:val="00EC26AB"/>
    <w:rsid w:val="00EC2C4D"/>
    <w:rsid w:val="00EC36E0"/>
    <w:rsid w:val="00EC371D"/>
    <w:rsid w:val="00EC398A"/>
    <w:rsid w:val="00EC3BAF"/>
    <w:rsid w:val="00EC422B"/>
    <w:rsid w:val="00EC432A"/>
    <w:rsid w:val="00EC46B0"/>
    <w:rsid w:val="00EC46E3"/>
    <w:rsid w:val="00EC494C"/>
    <w:rsid w:val="00EC4977"/>
    <w:rsid w:val="00EC4CD8"/>
    <w:rsid w:val="00EC57D3"/>
    <w:rsid w:val="00EC60B1"/>
    <w:rsid w:val="00EC6486"/>
    <w:rsid w:val="00EC66E6"/>
    <w:rsid w:val="00EC68DC"/>
    <w:rsid w:val="00EC6E0D"/>
    <w:rsid w:val="00EC6F28"/>
    <w:rsid w:val="00EC7581"/>
    <w:rsid w:val="00EC7905"/>
    <w:rsid w:val="00ED02EC"/>
    <w:rsid w:val="00ED0CC5"/>
    <w:rsid w:val="00ED0CEE"/>
    <w:rsid w:val="00ED0DED"/>
    <w:rsid w:val="00ED135A"/>
    <w:rsid w:val="00ED13F9"/>
    <w:rsid w:val="00ED14BD"/>
    <w:rsid w:val="00ED250F"/>
    <w:rsid w:val="00ED2728"/>
    <w:rsid w:val="00ED2A23"/>
    <w:rsid w:val="00ED2D95"/>
    <w:rsid w:val="00ED32E2"/>
    <w:rsid w:val="00ED3785"/>
    <w:rsid w:val="00ED380F"/>
    <w:rsid w:val="00ED3B77"/>
    <w:rsid w:val="00ED427B"/>
    <w:rsid w:val="00ED49EB"/>
    <w:rsid w:val="00ED4ED9"/>
    <w:rsid w:val="00ED5474"/>
    <w:rsid w:val="00ED566F"/>
    <w:rsid w:val="00ED5AF4"/>
    <w:rsid w:val="00ED5D01"/>
    <w:rsid w:val="00ED600D"/>
    <w:rsid w:val="00ED6280"/>
    <w:rsid w:val="00ED6337"/>
    <w:rsid w:val="00ED63F9"/>
    <w:rsid w:val="00ED655B"/>
    <w:rsid w:val="00ED7305"/>
    <w:rsid w:val="00ED786A"/>
    <w:rsid w:val="00ED7AA0"/>
    <w:rsid w:val="00ED7AF2"/>
    <w:rsid w:val="00ED7C32"/>
    <w:rsid w:val="00EE0896"/>
    <w:rsid w:val="00EE0F0D"/>
    <w:rsid w:val="00EE1573"/>
    <w:rsid w:val="00EE16ED"/>
    <w:rsid w:val="00EE188A"/>
    <w:rsid w:val="00EE1899"/>
    <w:rsid w:val="00EE1B4A"/>
    <w:rsid w:val="00EE1D63"/>
    <w:rsid w:val="00EE235F"/>
    <w:rsid w:val="00EE2524"/>
    <w:rsid w:val="00EE308E"/>
    <w:rsid w:val="00EE360A"/>
    <w:rsid w:val="00EE3F45"/>
    <w:rsid w:val="00EE40BF"/>
    <w:rsid w:val="00EE44A9"/>
    <w:rsid w:val="00EE453F"/>
    <w:rsid w:val="00EE457D"/>
    <w:rsid w:val="00EE5A6D"/>
    <w:rsid w:val="00EE6191"/>
    <w:rsid w:val="00EE756F"/>
    <w:rsid w:val="00EE7C97"/>
    <w:rsid w:val="00EE7D1B"/>
    <w:rsid w:val="00EF01C0"/>
    <w:rsid w:val="00EF0828"/>
    <w:rsid w:val="00EF0985"/>
    <w:rsid w:val="00EF098C"/>
    <w:rsid w:val="00EF10C1"/>
    <w:rsid w:val="00EF1A8F"/>
    <w:rsid w:val="00EF237A"/>
    <w:rsid w:val="00EF2561"/>
    <w:rsid w:val="00EF2CC7"/>
    <w:rsid w:val="00EF2F0D"/>
    <w:rsid w:val="00EF3E29"/>
    <w:rsid w:val="00EF4265"/>
    <w:rsid w:val="00EF42F7"/>
    <w:rsid w:val="00EF43A7"/>
    <w:rsid w:val="00EF4C6A"/>
    <w:rsid w:val="00EF4EC4"/>
    <w:rsid w:val="00EF51DC"/>
    <w:rsid w:val="00EF567D"/>
    <w:rsid w:val="00EF5778"/>
    <w:rsid w:val="00EF57C0"/>
    <w:rsid w:val="00EF5C82"/>
    <w:rsid w:val="00EF5CBB"/>
    <w:rsid w:val="00EF5DC8"/>
    <w:rsid w:val="00EF5EBE"/>
    <w:rsid w:val="00EF6231"/>
    <w:rsid w:val="00EF6B11"/>
    <w:rsid w:val="00EF6B8A"/>
    <w:rsid w:val="00EF6D55"/>
    <w:rsid w:val="00EF6E1E"/>
    <w:rsid w:val="00EF6E33"/>
    <w:rsid w:val="00EF6E56"/>
    <w:rsid w:val="00EF7399"/>
    <w:rsid w:val="00EF7573"/>
    <w:rsid w:val="00EF7B79"/>
    <w:rsid w:val="00EF7D3A"/>
    <w:rsid w:val="00EF7D5C"/>
    <w:rsid w:val="00F00430"/>
    <w:rsid w:val="00F00953"/>
    <w:rsid w:val="00F0102F"/>
    <w:rsid w:val="00F01775"/>
    <w:rsid w:val="00F01BC9"/>
    <w:rsid w:val="00F024C8"/>
    <w:rsid w:val="00F0252B"/>
    <w:rsid w:val="00F0265B"/>
    <w:rsid w:val="00F0291F"/>
    <w:rsid w:val="00F031DC"/>
    <w:rsid w:val="00F03399"/>
    <w:rsid w:val="00F035E9"/>
    <w:rsid w:val="00F038A9"/>
    <w:rsid w:val="00F03F78"/>
    <w:rsid w:val="00F0429C"/>
    <w:rsid w:val="00F04311"/>
    <w:rsid w:val="00F04537"/>
    <w:rsid w:val="00F04720"/>
    <w:rsid w:val="00F04A05"/>
    <w:rsid w:val="00F04DD2"/>
    <w:rsid w:val="00F04FAE"/>
    <w:rsid w:val="00F057B2"/>
    <w:rsid w:val="00F0595A"/>
    <w:rsid w:val="00F05EBF"/>
    <w:rsid w:val="00F0649B"/>
    <w:rsid w:val="00F06606"/>
    <w:rsid w:val="00F067C7"/>
    <w:rsid w:val="00F06B55"/>
    <w:rsid w:val="00F070DD"/>
    <w:rsid w:val="00F1012E"/>
    <w:rsid w:val="00F102D9"/>
    <w:rsid w:val="00F10A42"/>
    <w:rsid w:val="00F10AE6"/>
    <w:rsid w:val="00F11F37"/>
    <w:rsid w:val="00F122E7"/>
    <w:rsid w:val="00F126EB"/>
    <w:rsid w:val="00F1286C"/>
    <w:rsid w:val="00F129B1"/>
    <w:rsid w:val="00F129F2"/>
    <w:rsid w:val="00F12AD2"/>
    <w:rsid w:val="00F12C1B"/>
    <w:rsid w:val="00F12EDF"/>
    <w:rsid w:val="00F12F66"/>
    <w:rsid w:val="00F1436B"/>
    <w:rsid w:val="00F14642"/>
    <w:rsid w:val="00F14669"/>
    <w:rsid w:val="00F14B02"/>
    <w:rsid w:val="00F14B4A"/>
    <w:rsid w:val="00F153BE"/>
    <w:rsid w:val="00F15D95"/>
    <w:rsid w:val="00F15F25"/>
    <w:rsid w:val="00F15F39"/>
    <w:rsid w:val="00F15F89"/>
    <w:rsid w:val="00F163C1"/>
    <w:rsid w:val="00F1739E"/>
    <w:rsid w:val="00F17508"/>
    <w:rsid w:val="00F17753"/>
    <w:rsid w:val="00F17B21"/>
    <w:rsid w:val="00F20886"/>
    <w:rsid w:val="00F20DB0"/>
    <w:rsid w:val="00F21878"/>
    <w:rsid w:val="00F21A0E"/>
    <w:rsid w:val="00F21B78"/>
    <w:rsid w:val="00F2228E"/>
    <w:rsid w:val="00F22313"/>
    <w:rsid w:val="00F22BE4"/>
    <w:rsid w:val="00F22C17"/>
    <w:rsid w:val="00F22C1D"/>
    <w:rsid w:val="00F2346B"/>
    <w:rsid w:val="00F2363B"/>
    <w:rsid w:val="00F236AA"/>
    <w:rsid w:val="00F23927"/>
    <w:rsid w:val="00F23F2E"/>
    <w:rsid w:val="00F2421A"/>
    <w:rsid w:val="00F243F9"/>
    <w:rsid w:val="00F24A1C"/>
    <w:rsid w:val="00F24A61"/>
    <w:rsid w:val="00F24B98"/>
    <w:rsid w:val="00F24C1A"/>
    <w:rsid w:val="00F24E1B"/>
    <w:rsid w:val="00F26261"/>
    <w:rsid w:val="00F2658A"/>
    <w:rsid w:val="00F267C1"/>
    <w:rsid w:val="00F27192"/>
    <w:rsid w:val="00F27468"/>
    <w:rsid w:val="00F27516"/>
    <w:rsid w:val="00F277B9"/>
    <w:rsid w:val="00F279A3"/>
    <w:rsid w:val="00F27DF1"/>
    <w:rsid w:val="00F27EB6"/>
    <w:rsid w:val="00F30912"/>
    <w:rsid w:val="00F31460"/>
    <w:rsid w:val="00F3216B"/>
    <w:rsid w:val="00F32C3A"/>
    <w:rsid w:val="00F335A0"/>
    <w:rsid w:val="00F336B8"/>
    <w:rsid w:val="00F3371E"/>
    <w:rsid w:val="00F337DF"/>
    <w:rsid w:val="00F33945"/>
    <w:rsid w:val="00F34072"/>
    <w:rsid w:val="00F34327"/>
    <w:rsid w:val="00F344B8"/>
    <w:rsid w:val="00F34595"/>
    <w:rsid w:val="00F345D5"/>
    <w:rsid w:val="00F34CB7"/>
    <w:rsid w:val="00F34CBD"/>
    <w:rsid w:val="00F352F1"/>
    <w:rsid w:val="00F35499"/>
    <w:rsid w:val="00F35C90"/>
    <w:rsid w:val="00F35D61"/>
    <w:rsid w:val="00F361F8"/>
    <w:rsid w:val="00F36816"/>
    <w:rsid w:val="00F374CE"/>
    <w:rsid w:val="00F379E6"/>
    <w:rsid w:val="00F37A24"/>
    <w:rsid w:val="00F37C56"/>
    <w:rsid w:val="00F37CED"/>
    <w:rsid w:val="00F37D94"/>
    <w:rsid w:val="00F37F44"/>
    <w:rsid w:val="00F40173"/>
    <w:rsid w:val="00F40378"/>
    <w:rsid w:val="00F4069D"/>
    <w:rsid w:val="00F408FE"/>
    <w:rsid w:val="00F40E17"/>
    <w:rsid w:val="00F41C3C"/>
    <w:rsid w:val="00F41EA6"/>
    <w:rsid w:val="00F41FF8"/>
    <w:rsid w:val="00F42026"/>
    <w:rsid w:val="00F423C5"/>
    <w:rsid w:val="00F4279F"/>
    <w:rsid w:val="00F427D5"/>
    <w:rsid w:val="00F42A62"/>
    <w:rsid w:val="00F43474"/>
    <w:rsid w:val="00F43998"/>
    <w:rsid w:val="00F44274"/>
    <w:rsid w:val="00F448BF"/>
    <w:rsid w:val="00F44CB2"/>
    <w:rsid w:val="00F44EC2"/>
    <w:rsid w:val="00F44F13"/>
    <w:rsid w:val="00F4523F"/>
    <w:rsid w:val="00F456DC"/>
    <w:rsid w:val="00F469AD"/>
    <w:rsid w:val="00F46FAD"/>
    <w:rsid w:val="00F47368"/>
    <w:rsid w:val="00F476D9"/>
    <w:rsid w:val="00F479F5"/>
    <w:rsid w:val="00F47A20"/>
    <w:rsid w:val="00F47A7A"/>
    <w:rsid w:val="00F47C3F"/>
    <w:rsid w:val="00F5005B"/>
    <w:rsid w:val="00F504DA"/>
    <w:rsid w:val="00F5071F"/>
    <w:rsid w:val="00F514E7"/>
    <w:rsid w:val="00F51C44"/>
    <w:rsid w:val="00F52A8D"/>
    <w:rsid w:val="00F52BD1"/>
    <w:rsid w:val="00F52CC4"/>
    <w:rsid w:val="00F53159"/>
    <w:rsid w:val="00F534E3"/>
    <w:rsid w:val="00F5379D"/>
    <w:rsid w:val="00F54321"/>
    <w:rsid w:val="00F54424"/>
    <w:rsid w:val="00F54490"/>
    <w:rsid w:val="00F54903"/>
    <w:rsid w:val="00F54D66"/>
    <w:rsid w:val="00F550B5"/>
    <w:rsid w:val="00F55161"/>
    <w:rsid w:val="00F554E3"/>
    <w:rsid w:val="00F55A5C"/>
    <w:rsid w:val="00F55DB7"/>
    <w:rsid w:val="00F56125"/>
    <w:rsid w:val="00F56AA5"/>
    <w:rsid w:val="00F56CEA"/>
    <w:rsid w:val="00F56DD0"/>
    <w:rsid w:val="00F570F4"/>
    <w:rsid w:val="00F57130"/>
    <w:rsid w:val="00F57242"/>
    <w:rsid w:val="00F57371"/>
    <w:rsid w:val="00F57A36"/>
    <w:rsid w:val="00F57B12"/>
    <w:rsid w:val="00F60111"/>
    <w:rsid w:val="00F608E3"/>
    <w:rsid w:val="00F6112A"/>
    <w:rsid w:val="00F61AB0"/>
    <w:rsid w:val="00F61ACE"/>
    <w:rsid w:val="00F61E8C"/>
    <w:rsid w:val="00F628ED"/>
    <w:rsid w:val="00F629FF"/>
    <w:rsid w:val="00F633DB"/>
    <w:rsid w:val="00F63796"/>
    <w:rsid w:val="00F6392B"/>
    <w:rsid w:val="00F63B4E"/>
    <w:rsid w:val="00F63B5F"/>
    <w:rsid w:val="00F63EB9"/>
    <w:rsid w:val="00F63ED3"/>
    <w:rsid w:val="00F63F03"/>
    <w:rsid w:val="00F6414B"/>
    <w:rsid w:val="00F64D84"/>
    <w:rsid w:val="00F64FE6"/>
    <w:rsid w:val="00F650C3"/>
    <w:rsid w:val="00F65DE2"/>
    <w:rsid w:val="00F66C9E"/>
    <w:rsid w:val="00F67138"/>
    <w:rsid w:val="00F67465"/>
    <w:rsid w:val="00F67A65"/>
    <w:rsid w:val="00F67B89"/>
    <w:rsid w:val="00F7007D"/>
    <w:rsid w:val="00F701B3"/>
    <w:rsid w:val="00F701C7"/>
    <w:rsid w:val="00F707F0"/>
    <w:rsid w:val="00F7097E"/>
    <w:rsid w:val="00F71405"/>
    <w:rsid w:val="00F7181A"/>
    <w:rsid w:val="00F7195A"/>
    <w:rsid w:val="00F71B6A"/>
    <w:rsid w:val="00F71E6E"/>
    <w:rsid w:val="00F71F32"/>
    <w:rsid w:val="00F72707"/>
    <w:rsid w:val="00F72943"/>
    <w:rsid w:val="00F72E9E"/>
    <w:rsid w:val="00F735DD"/>
    <w:rsid w:val="00F73BD9"/>
    <w:rsid w:val="00F73DF3"/>
    <w:rsid w:val="00F740EB"/>
    <w:rsid w:val="00F743FF"/>
    <w:rsid w:val="00F7442A"/>
    <w:rsid w:val="00F74C14"/>
    <w:rsid w:val="00F756CF"/>
    <w:rsid w:val="00F759B7"/>
    <w:rsid w:val="00F76124"/>
    <w:rsid w:val="00F7629C"/>
    <w:rsid w:val="00F76464"/>
    <w:rsid w:val="00F76509"/>
    <w:rsid w:val="00F769B0"/>
    <w:rsid w:val="00F76CB3"/>
    <w:rsid w:val="00F76D82"/>
    <w:rsid w:val="00F76DD6"/>
    <w:rsid w:val="00F76FFD"/>
    <w:rsid w:val="00F774E3"/>
    <w:rsid w:val="00F779BD"/>
    <w:rsid w:val="00F77CA3"/>
    <w:rsid w:val="00F77DC1"/>
    <w:rsid w:val="00F80575"/>
    <w:rsid w:val="00F80AFD"/>
    <w:rsid w:val="00F8124B"/>
    <w:rsid w:val="00F8148F"/>
    <w:rsid w:val="00F821F4"/>
    <w:rsid w:val="00F825CD"/>
    <w:rsid w:val="00F8262B"/>
    <w:rsid w:val="00F82986"/>
    <w:rsid w:val="00F82F62"/>
    <w:rsid w:val="00F830D4"/>
    <w:rsid w:val="00F84458"/>
    <w:rsid w:val="00F8471B"/>
    <w:rsid w:val="00F8477A"/>
    <w:rsid w:val="00F855DD"/>
    <w:rsid w:val="00F855FF"/>
    <w:rsid w:val="00F85613"/>
    <w:rsid w:val="00F85860"/>
    <w:rsid w:val="00F8599E"/>
    <w:rsid w:val="00F85FDA"/>
    <w:rsid w:val="00F8606A"/>
    <w:rsid w:val="00F86725"/>
    <w:rsid w:val="00F86757"/>
    <w:rsid w:val="00F86AE7"/>
    <w:rsid w:val="00F86F77"/>
    <w:rsid w:val="00F873C5"/>
    <w:rsid w:val="00F87AF5"/>
    <w:rsid w:val="00F900BE"/>
    <w:rsid w:val="00F900FC"/>
    <w:rsid w:val="00F905B3"/>
    <w:rsid w:val="00F90727"/>
    <w:rsid w:val="00F9086B"/>
    <w:rsid w:val="00F91570"/>
    <w:rsid w:val="00F91FE5"/>
    <w:rsid w:val="00F92BA7"/>
    <w:rsid w:val="00F92DDF"/>
    <w:rsid w:val="00F9309E"/>
    <w:rsid w:val="00F9366C"/>
    <w:rsid w:val="00F93979"/>
    <w:rsid w:val="00F93ACE"/>
    <w:rsid w:val="00F94026"/>
    <w:rsid w:val="00F9478A"/>
    <w:rsid w:val="00F95504"/>
    <w:rsid w:val="00F9569D"/>
    <w:rsid w:val="00F95FD0"/>
    <w:rsid w:val="00F966FB"/>
    <w:rsid w:val="00F96E91"/>
    <w:rsid w:val="00F9704A"/>
    <w:rsid w:val="00F9711A"/>
    <w:rsid w:val="00F979F2"/>
    <w:rsid w:val="00FA029F"/>
    <w:rsid w:val="00FA09C7"/>
    <w:rsid w:val="00FA0A50"/>
    <w:rsid w:val="00FA152A"/>
    <w:rsid w:val="00FA1ACB"/>
    <w:rsid w:val="00FA200D"/>
    <w:rsid w:val="00FA2268"/>
    <w:rsid w:val="00FA24ED"/>
    <w:rsid w:val="00FA30A0"/>
    <w:rsid w:val="00FA3219"/>
    <w:rsid w:val="00FA3777"/>
    <w:rsid w:val="00FA38F7"/>
    <w:rsid w:val="00FA3E3D"/>
    <w:rsid w:val="00FA40A2"/>
    <w:rsid w:val="00FA4A5B"/>
    <w:rsid w:val="00FA505D"/>
    <w:rsid w:val="00FA5575"/>
    <w:rsid w:val="00FA5663"/>
    <w:rsid w:val="00FA57A6"/>
    <w:rsid w:val="00FA58FB"/>
    <w:rsid w:val="00FA6393"/>
    <w:rsid w:val="00FA696D"/>
    <w:rsid w:val="00FA6D26"/>
    <w:rsid w:val="00FA7A5F"/>
    <w:rsid w:val="00FA7DB5"/>
    <w:rsid w:val="00FB008E"/>
    <w:rsid w:val="00FB00E2"/>
    <w:rsid w:val="00FB0841"/>
    <w:rsid w:val="00FB08A8"/>
    <w:rsid w:val="00FB0938"/>
    <w:rsid w:val="00FB0E2F"/>
    <w:rsid w:val="00FB105C"/>
    <w:rsid w:val="00FB186D"/>
    <w:rsid w:val="00FB19BC"/>
    <w:rsid w:val="00FB1D6B"/>
    <w:rsid w:val="00FB244D"/>
    <w:rsid w:val="00FB3015"/>
    <w:rsid w:val="00FB44B5"/>
    <w:rsid w:val="00FB452A"/>
    <w:rsid w:val="00FB48CD"/>
    <w:rsid w:val="00FB4B4A"/>
    <w:rsid w:val="00FB4DB6"/>
    <w:rsid w:val="00FB51FB"/>
    <w:rsid w:val="00FB533D"/>
    <w:rsid w:val="00FB5519"/>
    <w:rsid w:val="00FB559E"/>
    <w:rsid w:val="00FB5C1C"/>
    <w:rsid w:val="00FB618B"/>
    <w:rsid w:val="00FB6BE5"/>
    <w:rsid w:val="00FB7049"/>
    <w:rsid w:val="00FB7682"/>
    <w:rsid w:val="00FB7DBB"/>
    <w:rsid w:val="00FC0467"/>
    <w:rsid w:val="00FC0A8A"/>
    <w:rsid w:val="00FC143F"/>
    <w:rsid w:val="00FC2B70"/>
    <w:rsid w:val="00FC2CB0"/>
    <w:rsid w:val="00FC2E67"/>
    <w:rsid w:val="00FC3028"/>
    <w:rsid w:val="00FC3823"/>
    <w:rsid w:val="00FC3C53"/>
    <w:rsid w:val="00FC3E4F"/>
    <w:rsid w:val="00FC42B9"/>
    <w:rsid w:val="00FC47CF"/>
    <w:rsid w:val="00FC48E4"/>
    <w:rsid w:val="00FC4A3A"/>
    <w:rsid w:val="00FC561F"/>
    <w:rsid w:val="00FC6709"/>
    <w:rsid w:val="00FC7F90"/>
    <w:rsid w:val="00FD02DA"/>
    <w:rsid w:val="00FD0F7D"/>
    <w:rsid w:val="00FD0FD9"/>
    <w:rsid w:val="00FD104D"/>
    <w:rsid w:val="00FD1417"/>
    <w:rsid w:val="00FD219F"/>
    <w:rsid w:val="00FD3221"/>
    <w:rsid w:val="00FD3EB4"/>
    <w:rsid w:val="00FD4473"/>
    <w:rsid w:val="00FD472A"/>
    <w:rsid w:val="00FD48BA"/>
    <w:rsid w:val="00FD5569"/>
    <w:rsid w:val="00FD5EDD"/>
    <w:rsid w:val="00FD5FEE"/>
    <w:rsid w:val="00FD61A8"/>
    <w:rsid w:val="00FD6579"/>
    <w:rsid w:val="00FD6585"/>
    <w:rsid w:val="00FD6A20"/>
    <w:rsid w:val="00FD74B5"/>
    <w:rsid w:val="00FD7716"/>
    <w:rsid w:val="00FD7D46"/>
    <w:rsid w:val="00FD7DEF"/>
    <w:rsid w:val="00FE00CE"/>
    <w:rsid w:val="00FE0AE0"/>
    <w:rsid w:val="00FE0D82"/>
    <w:rsid w:val="00FE0EB5"/>
    <w:rsid w:val="00FE154E"/>
    <w:rsid w:val="00FE1A07"/>
    <w:rsid w:val="00FE2F5B"/>
    <w:rsid w:val="00FE308C"/>
    <w:rsid w:val="00FE3503"/>
    <w:rsid w:val="00FE3774"/>
    <w:rsid w:val="00FE384C"/>
    <w:rsid w:val="00FE3AAF"/>
    <w:rsid w:val="00FE4303"/>
    <w:rsid w:val="00FE4773"/>
    <w:rsid w:val="00FE4B06"/>
    <w:rsid w:val="00FE4FFD"/>
    <w:rsid w:val="00FE527E"/>
    <w:rsid w:val="00FE58A1"/>
    <w:rsid w:val="00FE5B9C"/>
    <w:rsid w:val="00FE6CC6"/>
    <w:rsid w:val="00FE7E2B"/>
    <w:rsid w:val="00FE7F52"/>
    <w:rsid w:val="00FF07B2"/>
    <w:rsid w:val="00FF0D4D"/>
    <w:rsid w:val="00FF0DA5"/>
    <w:rsid w:val="00FF13C9"/>
    <w:rsid w:val="00FF294D"/>
    <w:rsid w:val="00FF2AE1"/>
    <w:rsid w:val="00FF2DF5"/>
    <w:rsid w:val="00FF321C"/>
    <w:rsid w:val="00FF3637"/>
    <w:rsid w:val="00FF363B"/>
    <w:rsid w:val="00FF3836"/>
    <w:rsid w:val="00FF4072"/>
    <w:rsid w:val="00FF4305"/>
    <w:rsid w:val="00FF4895"/>
    <w:rsid w:val="00FF5708"/>
    <w:rsid w:val="00FF60D4"/>
    <w:rsid w:val="00FF613B"/>
    <w:rsid w:val="00FF6A09"/>
    <w:rsid w:val="00FF76E7"/>
    <w:rsid w:val="00FF77A8"/>
    <w:rsid w:val="042CB791"/>
    <w:rsid w:val="110EF8BF"/>
    <w:rsid w:val="11F4DA53"/>
    <w:rsid w:val="11FDC3DC"/>
    <w:rsid w:val="229EDFB0"/>
    <w:rsid w:val="2410E49C"/>
    <w:rsid w:val="2468160B"/>
    <w:rsid w:val="2775246A"/>
    <w:rsid w:val="2D68DF63"/>
    <w:rsid w:val="300C00B9"/>
    <w:rsid w:val="398B9D61"/>
    <w:rsid w:val="3EDEAD46"/>
    <w:rsid w:val="43F5CB1B"/>
    <w:rsid w:val="469DB724"/>
    <w:rsid w:val="4EAAC025"/>
    <w:rsid w:val="5591E40B"/>
    <w:rsid w:val="61A05C8D"/>
    <w:rsid w:val="63E003BB"/>
    <w:rsid w:val="755DC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B8EE1"/>
  <w15:chartTrackingRefBased/>
  <w15:docId w15:val="{98582A1B-94E1-4435-AF53-DECC247D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976"/>
  </w:style>
  <w:style w:type="paragraph" w:styleId="Heading1">
    <w:name w:val="heading 1"/>
    <w:basedOn w:val="Normal"/>
    <w:next w:val="Normal"/>
    <w:link w:val="Heading1Char"/>
    <w:uiPriority w:val="9"/>
    <w:qFormat/>
    <w:rsid w:val="003E5C0A"/>
    <w:pPr>
      <w:pageBreakBefore/>
      <w:pBdr>
        <w:bottom w:val="thinThickSmallGap" w:sz="12" w:space="1" w:color="2861A9" w:themeColor="accent2" w:themeShade="BF"/>
      </w:pBdr>
      <w:spacing w:after="120"/>
      <w:jc w:val="center"/>
      <w:outlineLvl w:val="0"/>
    </w:pPr>
    <w:rPr>
      <w:b/>
      <w:caps/>
      <w:color w:val="1B4171" w:themeColor="accent2" w:themeShade="80"/>
      <w:spacing w:val="20"/>
      <w:sz w:val="28"/>
      <w:szCs w:val="28"/>
    </w:rPr>
  </w:style>
  <w:style w:type="paragraph" w:styleId="Heading2">
    <w:name w:val="heading 2"/>
    <w:basedOn w:val="Normal"/>
    <w:next w:val="Normal"/>
    <w:link w:val="Heading2Char"/>
    <w:autoRedefine/>
    <w:uiPriority w:val="9"/>
    <w:unhideWhenUsed/>
    <w:qFormat/>
    <w:rsid w:val="00E01C9E"/>
    <w:pPr>
      <w:numPr>
        <w:ilvl w:val="1"/>
        <w:numId w:val="15"/>
      </w:numPr>
      <w:pBdr>
        <w:bottom w:val="single" w:sz="4" w:space="1" w:color="1A4070" w:themeColor="accent2" w:themeShade="7F"/>
      </w:pBdr>
      <w:spacing w:before="120" w:after="120" w:line="240" w:lineRule="auto"/>
      <w:jc w:val="center"/>
      <w:outlineLvl w:val="1"/>
    </w:pPr>
    <w:rPr>
      <w:rFonts w:asciiTheme="minorHAnsi" w:hAnsiTheme="minorHAnsi"/>
      <w:b/>
      <w:caps/>
      <w:color w:val="1B4171" w:themeColor="accent2" w:themeShade="80"/>
      <w:spacing w:val="15"/>
      <w:sz w:val="24"/>
      <w:szCs w:val="24"/>
    </w:rPr>
  </w:style>
  <w:style w:type="paragraph" w:styleId="Heading3">
    <w:name w:val="heading 3"/>
    <w:basedOn w:val="Normal"/>
    <w:next w:val="Normal"/>
    <w:link w:val="Heading3Char"/>
    <w:uiPriority w:val="9"/>
    <w:unhideWhenUsed/>
    <w:qFormat/>
    <w:rsid w:val="000174D1"/>
    <w:pPr>
      <w:pBdr>
        <w:top w:val="dotted" w:sz="4" w:space="1" w:color="1A4070" w:themeColor="accent2" w:themeShade="7F"/>
        <w:bottom w:val="dotted" w:sz="4" w:space="1" w:color="1A4070" w:themeColor="accent2" w:themeShade="7F"/>
      </w:pBdr>
      <w:spacing w:before="300"/>
      <w:jc w:val="center"/>
      <w:outlineLvl w:val="2"/>
    </w:pPr>
    <w:rPr>
      <w:caps/>
      <w:color w:val="1A4070" w:themeColor="accent2" w:themeShade="7F"/>
      <w:sz w:val="24"/>
      <w:szCs w:val="24"/>
    </w:rPr>
  </w:style>
  <w:style w:type="paragraph" w:styleId="Heading4">
    <w:name w:val="heading 4"/>
    <w:basedOn w:val="Normal"/>
    <w:next w:val="Normal"/>
    <w:link w:val="Heading4Char"/>
    <w:uiPriority w:val="9"/>
    <w:unhideWhenUsed/>
    <w:qFormat/>
    <w:rsid w:val="000174D1"/>
    <w:pPr>
      <w:pBdr>
        <w:bottom w:val="dotted" w:sz="4" w:space="1" w:color="2861A9" w:themeColor="accent2" w:themeShade="BF"/>
      </w:pBdr>
      <w:spacing w:after="120"/>
      <w:jc w:val="center"/>
      <w:outlineLvl w:val="3"/>
    </w:pPr>
    <w:rPr>
      <w:caps/>
      <w:color w:val="1A4070" w:themeColor="accent2" w:themeShade="7F"/>
      <w:spacing w:val="10"/>
    </w:rPr>
  </w:style>
  <w:style w:type="paragraph" w:styleId="Heading5">
    <w:name w:val="heading 5"/>
    <w:basedOn w:val="Normal"/>
    <w:next w:val="Normal"/>
    <w:link w:val="Heading5Char"/>
    <w:uiPriority w:val="9"/>
    <w:semiHidden/>
    <w:unhideWhenUsed/>
    <w:qFormat/>
    <w:rsid w:val="000174D1"/>
    <w:pPr>
      <w:spacing w:before="320" w:after="120"/>
      <w:jc w:val="center"/>
      <w:outlineLvl w:val="4"/>
    </w:pPr>
    <w:rPr>
      <w:caps/>
      <w:color w:val="1A4070" w:themeColor="accent2" w:themeShade="7F"/>
      <w:spacing w:val="10"/>
    </w:rPr>
  </w:style>
  <w:style w:type="paragraph" w:styleId="Heading6">
    <w:name w:val="heading 6"/>
    <w:basedOn w:val="Normal"/>
    <w:next w:val="Normal"/>
    <w:link w:val="Heading6Char"/>
    <w:uiPriority w:val="9"/>
    <w:semiHidden/>
    <w:unhideWhenUsed/>
    <w:qFormat/>
    <w:rsid w:val="000174D1"/>
    <w:pPr>
      <w:spacing w:after="120"/>
      <w:jc w:val="center"/>
      <w:outlineLvl w:val="5"/>
    </w:pPr>
    <w:rPr>
      <w:caps/>
      <w:color w:val="2861A9" w:themeColor="accent2" w:themeShade="BF"/>
      <w:spacing w:val="10"/>
    </w:rPr>
  </w:style>
  <w:style w:type="paragraph" w:styleId="Heading7">
    <w:name w:val="heading 7"/>
    <w:basedOn w:val="Normal"/>
    <w:next w:val="Normal"/>
    <w:link w:val="Heading7Char"/>
    <w:uiPriority w:val="9"/>
    <w:semiHidden/>
    <w:unhideWhenUsed/>
    <w:qFormat/>
    <w:rsid w:val="000174D1"/>
    <w:pPr>
      <w:spacing w:after="120"/>
      <w:jc w:val="center"/>
      <w:outlineLvl w:val="6"/>
    </w:pPr>
    <w:rPr>
      <w:i/>
      <w:iCs/>
      <w:caps/>
      <w:color w:val="2861A9" w:themeColor="accent2" w:themeShade="BF"/>
      <w:spacing w:val="10"/>
    </w:rPr>
  </w:style>
  <w:style w:type="paragraph" w:styleId="Heading8">
    <w:name w:val="heading 8"/>
    <w:basedOn w:val="Normal"/>
    <w:next w:val="Normal"/>
    <w:link w:val="Heading8Char"/>
    <w:uiPriority w:val="9"/>
    <w:semiHidden/>
    <w:unhideWhenUsed/>
    <w:qFormat/>
    <w:rsid w:val="000174D1"/>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174D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C0A"/>
    <w:rPr>
      <w:b/>
      <w:caps/>
      <w:color w:val="1B4171" w:themeColor="accent2" w:themeShade="80"/>
      <w:spacing w:val="20"/>
      <w:sz w:val="28"/>
      <w:szCs w:val="28"/>
    </w:rPr>
  </w:style>
  <w:style w:type="character" w:customStyle="1" w:styleId="Heading2Char">
    <w:name w:val="Heading 2 Char"/>
    <w:basedOn w:val="DefaultParagraphFont"/>
    <w:link w:val="Heading2"/>
    <w:uiPriority w:val="9"/>
    <w:rsid w:val="00E01C9E"/>
    <w:rPr>
      <w:rFonts w:asciiTheme="minorHAnsi" w:hAnsiTheme="minorHAnsi"/>
      <w:b/>
      <w:caps/>
      <w:color w:val="1B4171" w:themeColor="accent2" w:themeShade="80"/>
      <w:spacing w:val="15"/>
      <w:sz w:val="24"/>
      <w:szCs w:val="24"/>
    </w:rPr>
  </w:style>
  <w:style w:type="character" w:customStyle="1" w:styleId="Heading3Char">
    <w:name w:val="Heading 3 Char"/>
    <w:basedOn w:val="DefaultParagraphFont"/>
    <w:link w:val="Heading3"/>
    <w:uiPriority w:val="9"/>
    <w:rsid w:val="000174D1"/>
    <w:rPr>
      <w:caps/>
      <w:color w:val="1A4070" w:themeColor="accent2" w:themeShade="7F"/>
      <w:sz w:val="24"/>
      <w:szCs w:val="24"/>
    </w:rPr>
  </w:style>
  <w:style w:type="character" w:customStyle="1" w:styleId="Heading4Char">
    <w:name w:val="Heading 4 Char"/>
    <w:basedOn w:val="DefaultParagraphFont"/>
    <w:link w:val="Heading4"/>
    <w:uiPriority w:val="9"/>
    <w:rsid w:val="000174D1"/>
    <w:rPr>
      <w:caps/>
      <w:color w:val="1A4070" w:themeColor="accent2" w:themeShade="7F"/>
      <w:spacing w:val="10"/>
    </w:rPr>
  </w:style>
  <w:style w:type="character" w:customStyle="1" w:styleId="Heading5Char">
    <w:name w:val="Heading 5 Char"/>
    <w:basedOn w:val="DefaultParagraphFont"/>
    <w:link w:val="Heading5"/>
    <w:uiPriority w:val="9"/>
    <w:semiHidden/>
    <w:rsid w:val="000174D1"/>
    <w:rPr>
      <w:caps/>
      <w:color w:val="1A4070" w:themeColor="accent2" w:themeShade="7F"/>
      <w:spacing w:val="10"/>
    </w:rPr>
  </w:style>
  <w:style w:type="character" w:customStyle="1" w:styleId="Heading6Char">
    <w:name w:val="Heading 6 Char"/>
    <w:basedOn w:val="DefaultParagraphFont"/>
    <w:link w:val="Heading6"/>
    <w:uiPriority w:val="9"/>
    <w:semiHidden/>
    <w:rsid w:val="000174D1"/>
    <w:rPr>
      <w:caps/>
      <w:color w:val="2861A9" w:themeColor="accent2" w:themeShade="BF"/>
      <w:spacing w:val="10"/>
    </w:rPr>
  </w:style>
  <w:style w:type="character" w:customStyle="1" w:styleId="Heading7Char">
    <w:name w:val="Heading 7 Char"/>
    <w:basedOn w:val="DefaultParagraphFont"/>
    <w:link w:val="Heading7"/>
    <w:uiPriority w:val="9"/>
    <w:semiHidden/>
    <w:rsid w:val="000174D1"/>
    <w:rPr>
      <w:i/>
      <w:iCs/>
      <w:caps/>
      <w:color w:val="2861A9" w:themeColor="accent2" w:themeShade="BF"/>
      <w:spacing w:val="10"/>
    </w:rPr>
  </w:style>
  <w:style w:type="character" w:customStyle="1" w:styleId="Heading8Char">
    <w:name w:val="Heading 8 Char"/>
    <w:basedOn w:val="DefaultParagraphFont"/>
    <w:link w:val="Heading8"/>
    <w:uiPriority w:val="9"/>
    <w:semiHidden/>
    <w:rsid w:val="000174D1"/>
    <w:rPr>
      <w:caps/>
      <w:spacing w:val="10"/>
      <w:sz w:val="20"/>
      <w:szCs w:val="20"/>
    </w:rPr>
  </w:style>
  <w:style w:type="character" w:customStyle="1" w:styleId="Heading9Char">
    <w:name w:val="Heading 9 Char"/>
    <w:basedOn w:val="DefaultParagraphFont"/>
    <w:link w:val="Heading9"/>
    <w:uiPriority w:val="9"/>
    <w:semiHidden/>
    <w:rsid w:val="000174D1"/>
    <w:rPr>
      <w:i/>
      <w:iCs/>
      <w:caps/>
      <w:spacing w:val="10"/>
      <w:sz w:val="20"/>
      <w:szCs w:val="20"/>
    </w:rPr>
  </w:style>
  <w:style w:type="paragraph" w:styleId="Caption">
    <w:name w:val="caption"/>
    <w:basedOn w:val="Normal"/>
    <w:next w:val="Normal"/>
    <w:link w:val="CaptionChar"/>
    <w:uiPriority w:val="99"/>
    <w:unhideWhenUsed/>
    <w:qFormat/>
    <w:rsid w:val="000174D1"/>
    <w:rPr>
      <w:caps/>
      <w:spacing w:val="10"/>
      <w:sz w:val="18"/>
      <w:szCs w:val="18"/>
    </w:rPr>
  </w:style>
  <w:style w:type="paragraph" w:styleId="Title">
    <w:name w:val="Title"/>
    <w:basedOn w:val="Normal"/>
    <w:next w:val="Normal"/>
    <w:link w:val="TitleChar"/>
    <w:uiPriority w:val="10"/>
    <w:qFormat/>
    <w:rsid w:val="000174D1"/>
    <w:pPr>
      <w:pBdr>
        <w:top w:val="dotted" w:sz="2" w:space="1" w:color="1B4171" w:themeColor="accent2" w:themeShade="80"/>
        <w:bottom w:val="dotted" w:sz="2" w:space="6" w:color="1B4171" w:themeColor="accent2" w:themeShade="80"/>
      </w:pBdr>
      <w:spacing w:before="500" w:after="300" w:line="240" w:lineRule="auto"/>
      <w:jc w:val="center"/>
    </w:pPr>
    <w:rPr>
      <w:caps/>
      <w:color w:val="1B4171" w:themeColor="accent2" w:themeShade="80"/>
      <w:spacing w:val="50"/>
      <w:sz w:val="44"/>
      <w:szCs w:val="44"/>
    </w:rPr>
  </w:style>
  <w:style w:type="character" w:customStyle="1" w:styleId="TitleChar">
    <w:name w:val="Title Char"/>
    <w:basedOn w:val="DefaultParagraphFont"/>
    <w:link w:val="Title"/>
    <w:uiPriority w:val="10"/>
    <w:rsid w:val="000174D1"/>
    <w:rPr>
      <w:caps/>
      <w:color w:val="1B4171" w:themeColor="accent2" w:themeShade="80"/>
      <w:spacing w:val="50"/>
      <w:sz w:val="44"/>
      <w:szCs w:val="44"/>
    </w:rPr>
  </w:style>
  <w:style w:type="paragraph" w:styleId="Subtitle">
    <w:name w:val="Subtitle"/>
    <w:basedOn w:val="Normal"/>
    <w:next w:val="Normal"/>
    <w:link w:val="SubtitleChar"/>
    <w:uiPriority w:val="11"/>
    <w:qFormat/>
    <w:rsid w:val="000174D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174D1"/>
    <w:rPr>
      <w:caps/>
      <w:spacing w:val="20"/>
      <w:sz w:val="18"/>
      <w:szCs w:val="18"/>
    </w:rPr>
  </w:style>
  <w:style w:type="character" w:styleId="Strong">
    <w:name w:val="Strong"/>
    <w:uiPriority w:val="22"/>
    <w:qFormat/>
    <w:rsid w:val="000174D1"/>
    <w:rPr>
      <w:b/>
      <w:bCs/>
      <w:color w:val="2861A9" w:themeColor="accent2" w:themeShade="BF"/>
      <w:spacing w:val="5"/>
    </w:rPr>
  </w:style>
  <w:style w:type="character" w:styleId="Emphasis">
    <w:name w:val="Emphasis"/>
    <w:qFormat/>
    <w:rsid w:val="000174D1"/>
    <w:rPr>
      <w:caps/>
      <w:spacing w:val="5"/>
      <w:sz w:val="20"/>
      <w:szCs w:val="20"/>
    </w:rPr>
  </w:style>
  <w:style w:type="paragraph" w:styleId="NoSpacing">
    <w:name w:val="No Spacing"/>
    <w:basedOn w:val="Normal"/>
    <w:link w:val="NoSpacingChar"/>
    <w:uiPriority w:val="1"/>
    <w:qFormat/>
    <w:rsid w:val="000174D1"/>
    <w:pPr>
      <w:spacing w:after="0" w:line="240" w:lineRule="auto"/>
    </w:pPr>
  </w:style>
  <w:style w:type="character" w:customStyle="1" w:styleId="NoSpacingChar">
    <w:name w:val="No Spacing Char"/>
    <w:basedOn w:val="DefaultParagraphFont"/>
    <w:link w:val="NoSpacing"/>
    <w:uiPriority w:val="1"/>
    <w:rsid w:val="000174D1"/>
  </w:style>
  <w:style w:type="paragraph" w:styleId="ListParagraph">
    <w:name w:val="List Paragraph"/>
    <w:basedOn w:val="Normal"/>
    <w:uiPriority w:val="34"/>
    <w:qFormat/>
    <w:rsid w:val="000174D1"/>
    <w:pPr>
      <w:ind w:left="720"/>
      <w:contextualSpacing/>
    </w:pPr>
  </w:style>
  <w:style w:type="paragraph" w:styleId="Quote">
    <w:name w:val="Quote"/>
    <w:basedOn w:val="Normal"/>
    <w:next w:val="Normal"/>
    <w:link w:val="QuoteChar"/>
    <w:uiPriority w:val="29"/>
    <w:qFormat/>
    <w:rsid w:val="000174D1"/>
    <w:rPr>
      <w:i/>
      <w:iCs/>
    </w:rPr>
  </w:style>
  <w:style w:type="character" w:customStyle="1" w:styleId="QuoteChar">
    <w:name w:val="Quote Char"/>
    <w:basedOn w:val="DefaultParagraphFont"/>
    <w:link w:val="Quote"/>
    <w:uiPriority w:val="29"/>
    <w:rsid w:val="000174D1"/>
    <w:rPr>
      <w:i/>
      <w:iCs/>
    </w:rPr>
  </w:style>
  <w:style w:type="paragraph" w:styleId="IntenseQuote">
    <w:name w:val="Intense Quote"/>
    <w:basedOn w:val="Normal"/>
    <w:next w:val="Normal"/>
    <w:link w:val="IntenseQuoteChar"/>
    <w:uiPriority w:val="30"/>
    <w:qFormat/>
    <w:rsid w:val="000174D1"/>
    <w:pPr>
      <w:pBdr>
        <w:top w:val="dotted" w:sz="2" w:space="10" w:color="1B4171" w:themeColor="accent2" w:themeShade="80"/>
        <w:bottom w:val="dotted" w:sz="2" w:space="4" w:color="1B4171" w:themeColor="accent2" w:themeShade="80"/>
      </w:pBdr>
      <w:spacing w:before="160" w:line="300" w:lineRule="auto"/>
      <w:ind w:left="1440" w:right="1440"/>
    </w:pPr>
    <w:rPr>
      <w:caps/>
      <w:color w:val="1A4070" w:themeColor="accent2" w:themeShade="7F"/>
      <w:spacing w:val="5"/>
      <w:sz w:val="20"/>
      <w:szCs w:val="20"/>
    </w:rPr>
  </w:style>
  <w:style w:type="character" w:customStyle="1" w:styleId="IntenseQuoteChar">
    <w:name w:val="Intense Quote Char"/>
    <w:basedOn w:val="DefaultParagraphFont"/>
    <w:link w:val="IntenseQuote"/>
    <w:uiPriority w:val="30"/>
    <w:rsid w:val="000174D1"/>
    <w:rPr>
      <w:caps/>
      <w:color w:val="1A4070" w:themeColor="accent2" w:themeShade="7F"/>
      <w:spacing w:val="5"/>
      <w:sz w:val="20"/>
      <w:szCs w:val="20"/>
    </w:rPr>
  </w:style>
  <w:style w:type="character" w:styleId="SubtleEmphasis">
    <w:name w:val="Subtle Emphasis"/>
    <w:uiPriority w:val="19"/>
    <w:qFormat/>
    <w:rsid w:val="000174D1"/>
    <w:rPr>
      <w:i/>
      <w:iCs/>
    </w:rPr>
  </w:style>
  <w:style w:type="character" w:styleId="IntenseEmphasis">
    <w:name w:val="Intense Emphasis"/>
    <w:uiPriority w:val="21"/>
    <w:qFormat/>
    <w:rsid w:val="000174D1"/>
    <w:rPr>
      <w:i/>
      <w:iCs/>
      <w:caps/>
      <w:spacing w:val="10"/>
      <w:sz w:val="20"/>
      <w:szCs w:val="20"/>
    </w:rPr>
  </w:style>
  <w:style w:type="character" w:styleId="SubtleReference">
    <w:name w:val="Subtle Reference"/>
    <w:basedOn w:val="DefaultParagraphFont"/>
    <w:uiPriority w:val="31"/>
    <w:qFormat/>
    <w:rsid w:val="000174D1"/>
    <w:rPr>
      <w:rFonts w:asciiTheme="minorHAnsi" w:eastAsiaTheme="minorEastAsia" w:hAnsiTheme="minorHAnsi" w:cstheme="minorBidi"/>
      <w:i/>
      <w:iCs/>
      <w:color w:val="1A4070" w:themeColor="accent2" w:themeShade="7F"/>
    </w:rPr>
  </w:style>
  <w:style w:type="character" w:styleId="IntenseReference">
    <w:name w:val="Intense Reference"/>
    <w:uiPriority w:val="32"/>
    <w:qFormat/>
    <w:rsid w:val="000174D1"/>
    <w:rPr>
      <w:rFonts w:asciiTheme="minorHAnsi" w:eastAsiaTheme="minorEastAsia" w:hAnsiTheme="minorHAnsi" w:cstheme="minorBidi"/>
      <w:b/>
      <w:bCs/>
      <w:i/>
      <w:iCs/>
      <w:color w:val="1A4070" w:themeColor="accent2" w:themeShade="7F"/>
    </w:rPr>
  </w:style>
  <w:style w:type="character" w:styleId="BookTitle">
    <w:name w:val="Book Title"/>
    <w:uiPriority w:val="33"/>
    <w:qFormat/>
    <w:rsid w:val="000174D1"/>
    <w:rPr>
      <w:caps/>
      <w:color w:val="1A4070" w:themeColor="accent2" w:themeShade="7F"/>
      <w:spacing w:val="5"/>
      <w:u w:color="1A4070" w:themeColor="accent2" w:themeShade="7F"/>
    </w:rPr>
  </w:style>
  <w:style w:type="paragraph" w:styleId="TOCHeading">
    <w:name w:val="TOC Heading"/>
    <w:basedOn w:val="Heading1"/>
    <w:next w:val="Normal"/>
    <w:uiPriority w:val="39"/>
    <w:unhideWhenUsed/>
    <w:qFormat/>
    <w:rsid w:val="000174D1"/>
    <w:pPr>
      <w:outlineLvl w:val="9"/>
    </w:pPr>
    <w:rPr>
      <w:lang w:bidi="en-US"/>
    </w:rPr>
  </w:style>
  <w:style w:type="character" w:styleId="FootnoteReference">
    <w:name w:val="footnote reference"/>
    <w:uiPriority w:val="99"/>
    <w:semiHidden/>
    <w:rsid w:val="003E5C0A"/>
    <w:rPr>
      <w:vertAlign w:val="superscript"/>
    </w:rPr>
  </w:style>
  <w:style w:type="paragraph" w:styleId="FootnoteText">
    <w:name w:val="footnote text"/>
    <w:aliases w:val="F1"/>
    <w:basedOn w:val="Normal"/>
    <w:link w:val="FootnoteTextChar"/>
    <w:uiPriority w:val="99"/>
    <w:unhideWhenUsed/>
    <w:rsid w:val="003E5C0A"/>
    <w:pPr>
      <w:spacing w:after="0" w:line="240" w:lineRule="auto"/>
    </w:pPr>
    <w:rPr>
      <w:rFonts w:ascii="Arial" w:eastAsia="Calibri" w:hAnsi="Arial" w:cs="Times New Roman"/>
      <w:sz w:val="20"/>
      <w:szCs w:val="20"/>
    </w:rPr>
  </w:style>
  <w:style w:type="character" w:customStyle="1" w:styleId="FootnoteTextChar">
    <w:name w:val="Footnote Text Char"/>
    <w:aliases w:val="F1 Char"/>
    <w:basedOn w:val="DefaultParagraphFont"/>
    <w:link w:val="FootnoteText"/>
    <w:uiPriority w:val="99"/>
    <w:rsid w:val="003E5C0A"/>
    <w:rPr>
      <w:rFonts w:ascii="Arial" w:eastAsia="Calibri" w:hAnsi="Arial" w:cs="Times New Roman"/>
      <w:sz w:val="20"/>
      <w:szCs w:val="20"/>
    </w:rPr>
  </w:style>
  <w:style w:type="table" w:styleId="MediumGrid1-Accent2">
    <w:name w:val="Medium Grid 1 Accent 2"/>
    <w:basedOn w:val="TableNormal"/>
    <w:uiPriority w:val="67"/>
    <w:rsid w:val="003E5C0A"/>
    <w:pPr>
      <w:spacing w:after="0" w:line="240" w:lineRule="auto"/>
    </w:pPr>
    <w:tblPr>
      <w:tblStyleRowBandSize w:val="1"/>
      <w:tblStyleColBandSize w:val="1"/>
      <w:tblBorders>
        <w:top w:val="single" w:sz="8" w:space="0" w:color="73A2DE" w:themeColor="accent2" w:themeTint="BF"/>
        <w:left w:val="single" w:sz="8" w:space="0" w:color="73A2DE" w:themeColor="accent2" w:themeTint="BF"/>
        <w:bottom w:val="single" w:sz="8" w:space="0" w:color="73A2DE" w:themeColor="accent2" w:themeTint="BF"/>
        <w:right w:val="single" w:sz="8" w:space="0" w:color="73A2DE" w:themeColor="accent2" w:themeTint="BF"/>
        <w:insideH w:val="single" w:sz="8" w:space="0" w:color="73A2DE" w:themeColor="accent2" w:themeTint="BF"/>
        <w:insideV w:val="single" w:sz="8" w:space="0" w:color="73A2DE" w:themeColor="accent2" w:themeTint="BF"/>
      </w:tblBorders>
    </w:tblPr>
    <w:tcPr>
      <w:shd w:val="clear" w:color="auto" w:fill="D0E0F4" w:themeFill="accent2" w:themeFillTint="3F"/>
    </w:tcPr>
    <w:tblStylePr w:type="firstRow">
      <w:rPr>
        <w:b/>
        <w:bCs/>
      </w:rPr>
    </w:tblStylePr>
    <w:tblStylePr w:type="lastRow">
      <w:rPr>
        <w:b/>
        <w:bCs/>
      </w:rPr>
      <w:tblPr/>
      <w:tcPr>
        <w:tcBorders>
          <w:top w:val="single" w:sz="18" w:space="0" w:color="73A2DE" w:themeColor="accent2" w:themeTint="BF"/>
        </w:tcBorders>
      </w:tcPr>
    </w:tblStylePr>
    <w:tblStylePr w:type="firstCol">
      <w:rPr>
        <w:b/>
        <w:bCs/>
      </w:rPr>
    </w:tblStylePr>
    <w:tblStylePr w:type="lastCol">
      <w:rPr>
        <w:b/>
        <w:bCs/>
      </w:rPr>
    </w:tblStylePr>
    <w:tblStylePr w:type="band1Vert">
      <w:tblPr/>
      <w:tcPr>
        <w:shd w:val="clear" w:color="auto" w:fill="A2C1E9" w:themeFill="accent2" w:themeFillTint="7F"/>
      </w:tcPr>
    </w:tblStylePr>
    <w:tblStylePr w:type="band1Horz">
      <w:tblPr/>
      <w:tcPr>
        <w:shd w:val="clear" w:color="auto" w:fill="A2C1E9" w:themeFill="accent2" w:themeFillTint="7F"/>
      </w:tcPr>
    </w:tblStylePr>
  </w:style>
  <w:style w:type="character" w:styleId="Hyperlink">
    <w:name w:val="Hyperlink"/>
    <w:uiPriority w:val="99"/>
    <w:unhideWhenUsed/>
    <w:rsid w:val="003E5C0A"/>
    <w:rPr>
      <w:color w:val="0000FF"/>
      <w:u w:val="single"/>
    </w:rPr>
  </w:style>
  <w:style w:type="character" w:customStyle="1" w:styleId="CaptionChar">
    <w:name w:val="Caption Char"/>
    <w:link w:val="Caption"/>
    <w:uiPriority w:val="99"/>
    <w:locked/>
    <w:rsid w:val="003E5C0A"/>
    <w:rPr>
      <w:caps/>
      <w:spacing w:val="10"/>
      <w:sz w:val="18"/>
      <w:szCs w:val="18"/>
    </w:rPr>
  </w:style>
  <w:style w:type="table" w:styleId="ColorfulList-Accent2">
    <w:name w:val="Colorful List Accent 2"/>
    <w:basedOn w:val="TableNormal"/>
    <w:uiPriority w:val="72"/>
    <w:rsid w:val="003E5C0A"/>
    <w:pPr>
      <w:spacing w:after="0" w:line="240" w:lineRule="auto"/>
    </w:pPr>
    <w:rPr>
      <w:color w:val="000000" w:themeColor="text1"/>
    </w:rPr>
    <w:tblPr>
      <w:tblStyleRowBandSize w:val="1"/>
      <w:tblStyleColBandSize w:val="1"/>
    </w:tblPr>
    <w:tcPr>
      <w:shd w:val="clear" w:color="auto" w:fill="ECF2FA" w:themeFill="accent2" w:themeFillTint="19"/>
    </w:tcPr>
    <w:tblStylePr w:type="firstRow">
      <w:rPr>
        <w:b/>
        <w:bCs/>
        <w:color w:val="FFFFFF" w:themeColor="background1"/>
      </w:rPr>
      <w:tblPr/>
      <w:tcPr>
        <w:tcBorders>
          <w:bottom w:val="single" w:sz="12" w:space="0" w:color="FFFFFF" w:themeColor="background1"/>
        </w:tcBorders>
        <w:shd w:val="clear" w:color="auto" w:fill="2B68B5" w:themeFill="accent2" w:themeFillShade="CC"/>
      </w:tcPr>
    </w:tblStylePr>
    <w:tblStylePr w:type="lastRow">
      <w:rPr>
        <w:b/>
        <w:bCs/>
        <w:color w:val="2B68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0F4" w:themeFill="accent2" w:themeFillTint="3F"/>
      </w:tcPr>
    </w:tblStylePr>
    <w:tblStylePr w:type="band1Horz">
      <w:tblPr/>
      <w:tcPr>
        <w:shd w:val="clear" w:color="auto" w:fill="D9E6F6" w:themeFill="accent2" w:themeFillTint="33"/>
      </w:tcPr>
    </w:tblStylePr>
  </w:style>
  <w:style w:type="paragraph" w:customStyle="1" w:styleId="StyleNew1">
    <w:name w:val="Style New 1"/>
    <w:basedOn w:val="Heading3"/>
    <w:link w:val="StyleNew1Char"/>
    <w:qFormat/>
    <w:rsid w:val="004B6EA0"/>
    <w:pPr>
      <w:spacing w:before="120" w:after="120" w:line="240" w:lineRule="auto"/>
    </w:pPr>
    <w:rPr>
      <w:b/>
    </w:rPr>
  </w:style>
  <w:style w:type="table" w:customStyle="1" w:styleId="MediumGrid1-Accent21">
    <w:name w:val="Medium Grid 1 - Accent 21"/>
    <w:basedOn w:val="TableNormal"/>
    <w:next w:val="MediumGrid1-Accent2"/>
    <w:uiPriority w:val="67"/>
    <w:rsid w:val="004B6EA0"/>
    <w:pPr>
      <w:spacing w:after="0" w:line="240" w:lineRule="auto"/>
    </w:pPr>
    <w:rPr>
      <w:rFonts w:ascii="Cambria" w:eastAsia="Times New Roman" w:hAnsi="Cambria"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character" w:customStyle="1" w:styleId="StyleNew1Char">
    <w:name w:val="Style New 1 Char"/>
    <w:basedOn w:val="Heading3Char"/>
    <w:link w:val="StyleNew1"/>
    <w:rsid w:val="004B6EA0"/>
    <w:rPr>
      <w:b/>
      <w:caps/>
      <w:color w:val="1A4070" w:themeColor="accent2" w:themeShade="7F"/>
      <w:sz w:val="24"/>
      <w:szCs w:val="24"/>
    </w:rPr>
  </w:style>
  <w:style w:type="table" w:customStyle="1" w:styleId="ColorfulList-Accent21">
    <w:name w:val="Colorful List - Accent 21"/>
    <w:basedOn w:val="TableNormal"/>
    <w:next w:val="ColorfulList-Accent2"/>
    <w:uiPriority w:val="72"/>
    <w:rsid w:val="004B6EA0"/>
    <w:pPr>
      <w:spacing w:after="0" w:line="240" w:lineRule="auto"/>
    </w:pPr>
    <w:rPr>
      <w:rFonts w:ascii="Cambria" w:eastAsia="Times New Roman" w:hAnsi="Cambria" w:cs="Times New Roman"/>
      <w:color w:val="000000"/>
    </w:rPr>
    <w:tblPr>
      <w:tblStyleRowBandSize w:val="1"/>
      <w:tblStyleColBandSize w:val="1"/>
    </w:tblPr>
    <w:tcPr>
      <w:shd w:val="clear" w:color="auto" w:fill="ECF2FA"/>
    </w:tcPr>
    <w:tblStylePr w:type="firstRow">
      <w:rPr>
        <w:b/>
        <w:bCs/>
        <w:color w:val="FFFFFF"/>
      </w:rPr>
      <w:tblPr/>
      <w:tcPr>
        <w:tcBorders>
          <w:bottom w:val="single" w:sz="12" w:space="0" w:color="FFFFFF"/>
        </w:tcBorders>
        <w:shd w:val="clear" w:color="auto" w:fill="2B68B5"/>
      </w:tcPr>
    </w:tblStylePr>
    <w:tblStylePr w:type="lastRow">
      <w:rPr>
        <w:b/>
        <w:bCs/>
        <w:color w:val="2B68B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0F4"/>
      </w:tcPr>
    </w:tblStylePr>
    <w:tblStylePr w:type="band1Horz">
      <w:tblPr/>
      <w:tcPr>
        <w:shd w:val="clear" w:color="auto" w:fill="D9E6F6"/>
      </w:tcPr>
    </w:tblStylePr>
  </w:style>
  <w:style w:type="paragraph" w:customStyle="1" w:styleId="Bullet">
    <w:name w:val="Bullet"/>
    <w:basedOn w:val="Normal"/>
    <w:link w:val="BulletChar"/>
    <w:qFormat/>
    <w:rsid w:val="004B6EA0"/>
    <w:pPr>
      <w:numPr>
        <w:numId w:val="8"/>
      </w:numPr>
      <w:tabs>
        <w:tab w:val="left" w:pos="4914"/>
      </w:tabs>
      <w:spacing w:before="80" w:after="40" w:line="240" w:lineRule="auto"/>
      <w:ind w:left="360"/>
    </w:pPr>
    <w:rPr>
      <w:rFonts w:ascii="Arial" w:eastAsia="Times New Roman" w:hAnsi="Arial" w:cs="Times New Roman"/>
      <w:sz w:val="20"/>
      <w:szCs w:val="20"/>
    </w:rPr>
  </w:style>
  <w:style w:type="character" w:customStyle="1" w:styleId="BulletChar">
    <w:name w:val="Bullet Char"/>
    <w:link w:val="Bullet"/>
    <w:rsid w:val="004B6EA0"/>
    <w:rPr>
      <w:rFonts w:ascii="Arial" w:eastAsia="Times New Roman" w:hAnsi="Arial" w:cs="Times New Roman"/>
      <w:sz w:val="20"/>
      <w:szCs w:val="20"/>
    </w:rPr>
  </w:style>
  <w:style w:type="table" w:styleId="TableGrid">
    <w:name w:val="Table Grid"/>
    <w:basedOn w:val="TableNormal"/>
    <w:uiPriority w:val="59"/>
    <w:rsid w:val="004B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6EA0"/>
    <w:pPr>
      <w:tabs>
        <w:tab w:val="center" w:pos="4680"/>
        <w:tab w:val="right" w:pos="9360"/>
      </w:tabs>
      <w:spacing w:after="0" w:line="240" w:lineRule="auto"/>
    </w:pPr>
    <w:rPr>
      <w:rFonts w:ascii="Calibri" w:hAnsi="Calibri"/>
    </w:rPr>
  </w:style>
  <w:style w:type="character" w:customStyle="1" w:styleId="HeaderChar">
    <w:name w:val="Header Char"/>
    <w:basedOn w:val="DefaultParagraphFont"/>
    <w:link w:val="Header"/>
    <w:rsid w:val="004B6EA0"/>
    <w:rPr>
      <w:rFonts w:ascii="Calibri" w:hAnsi="Calibri"/>
    </w:rPr>
  </w:style>
  <w:style w:type="paragraph" w:styleId="Footer">
    <w:name w:val="footer"/>
    <w:basedOn w:val="Normal"/>
    <w:link w:val="FooterChar"/>
    <w:uiPriority w:val="99"/>
    <w:unhideWhenUsed/>
    <w:rsid w:val="004B6EA0"/>
    <w:pPr>
      <w:tabs>
        <w:tab w:val="center" w:pos="4680"/>
        <w:tab w:val="right" w:pos="9360"/>
      </w:tabs>
      <w:spacing w:after="0" w:line="240" w:lineRule="auto"/>
    </w:pPr>
    <w:rPr>
      <w:rFonts w:ascii="Calibri" w:hAnsi="Calibri"/>
    </w:rPr>
  </w:style>
  <w:style w:type="character" w:customStyle="1" w:styleId="FooterChar">
    <w:name w:val="Footer Char"/>
    <w:basedOn w:val="DefaultParagraphFont"/>
    <w:link w:val="Footer"/>
    <w:uiPriority w:val="99"/>
    <w:rsid w:val="004B6EA0"/>
    <w:rPr>
      <w:rFonts w:ascii="Calibri" w:hAnsi="Calibri"/>
    </w:rPr>
  </w:style>
  <w:style w:type="paragraph" w:customStyle="1" w:styleId="Default">
    <w:name w:val="Default"/>
    <w:rsid w:val="004B6EA0"/>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4B6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EA0"/>
    <w:rPr>
      <w:rFonts w:ascii="Tahoma" w:hAnsi="Tahoma" w:cs="Tahoma"/>
      <w:sz w:val="16"/>
      <w:szCs w:val="16"/>
    </w:rPr>
  </w:style>
  <w:style w:type="paragraph" w:customStyle="1" w:styleId="Title1">
    <w:name w:val="Title1"/>
    <w:basedOn w:val="Normal"/>
    <w:next w:val="Normal"/>
    <w:uiPriority w:val="9"/>
    <w:qFormat/>
    <w:rsid w:val="004B6EA0"/>
    <w:pPr>
      <w:keepNext/>
      <w:spacing w:after="60" w:line="240" w:lineRule="auto"/>
      <w:jc w:val="center"/>
      <w:outlineLvl w:val="7"/>
    </w:pPr>
    <w:rPr>
      <w:rFonts w:ascii="Arial Bold" w:eastAsia="Times New Roman" w:hAnsi="Arial Bold" w:cs="Times New Roman"/>
      <w:b/>
      <w:sz w:val="20"/>
      <w:szCs w:val="24"/>
      <w:shd w:val="clear" w:color="0000FF" w:fill="auto"/>
    </w:rPr>
  </w:style>
  <w:style w:type="character" w:styleId="CommentReference">
    <w:name w:val="annotation reference"/>
    <w:basedOn w:val="DefaultParagraphFont"/>
    <w:uiPriority w:val="99"/>
    <w:semiHidden/>
    <w:unhideWhenUsed/>
    <w:rsid w:val="004B6EA0"/>
    <w:rPr>
      <w:sz w:val="16"/>
      <w:szCs w:val="16"/>
    </w:rPr>
  </w:style>
  <w:style w:type="paragraph" w:styleId="CommentText">
    <w:name w:val="annotation text"/>
    <w:basedOn w:val="Normal"/>
    <w:link w:val="CommentTextChar"/>
    <w:uiPriority w:val="99"/>
    <w:unhideWhenUsed/>
    <w:rsid w:val="004B6EA0"/>
    <w:pPr>
      <w:spacing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4B6EA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B6EA0"/>
    <w:rPr>
      <w:b/>
      <w:bCs/>
    </w:rPr>
  </w:style>
  <w:style w:type="character" w:customStyle="1" w:styleId="CommentSubjectChar">
    <w:name w:val="Comment Subject Char"/>
    <w:basedOn w:val="CommentTextChar"/>
    <w:link w:val="CommentSubject"/>
    <w:uiPriority w:val="99"/>
    <w:semiHidden/>
    <w:rsid w:val="004B6EA0"/>
    <w:rPr>
      <w:rFonts w:ascii="Calibri" w:hAnsi="Calibri"/>
      <w:b/>
      <w:bCs/>
      <w:sz w:val="20"/>
      <w:szCs w:val="20"/>
    </w:rPr>
  </w:style>
  <w:style w:type="table" w:styleId="MediumGrid3-Accent1">
    <w:name w:val="Medium Grid 3 Accent 1"/>
    <w:basedOn w:val="TableNormal"/>
    <w:uiPriority w:val="69"/>
    <w:rsid w:val="004B6E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C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1B6F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1B6F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1B6F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1B6F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DAF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DAFE" w:themeFill="accent1" w:themeFillTint="7F"/>
      </w:tcPr>
    </w:tblStylePr>
  </w:style>
  <w:style w:type="table" w:styleId="ColorfulShading-Accent1">
    <w:name w:val="Colorful Shading Accent 1"/>
    <w:basedOn w:val="TableNormal"/>
    <w:uiPriority w:val="71"/>
    <w:rsid w:val="004B6EA0"/>
    <w:pPr>
      <w:spacing w:after="0" w:line="240" w:lineRule="auto"/>
    </w:pPr>
    <w:rPr>
      <w:color w:val="000000" w:themeColor="text1"/>
    </w:rPr>
    <w:tblPr>
      <w:tblStyleRowBandSize w:val="1"/>
      <w:tblStyleColBandSize w:val="1"/>
      <w:tblBorders>
        <w:top w:val="single" w:sz="24" w:space="0" w:color="4584D3" w:themeColor="accent2"/>
        <w:left w:val="single" w:sz="4" w:space="0" w:color="31B6FD" w:themeColor="accent1"/>
        <w:bottom w:val="single" w:sz="4" w:space="0" w:color="31B6FD" w:themeColor="accent1"/>
        <w:right w:val="single" w:sz="4" w:space="0" w:color="31B6FD" w:themeColor="accent1"/>
        <w:insideH w:val="single" w:sz="4" w:space="0" w:color="FFFFFF" w:themeColor="background1"/>
        <w:insideV w:val="single" w:sz="4" w:space="0" w:color="FFFFFF" w:themeColor="background1"/>
      </w:tblBorders>
    </w:tblPr>
    <w:tcPr>
      <w:shd w:val="clear" w:color="auto" w:fill="EAF7FE" w:themeFill="accent1" w:themeFillTint="19"/>
    </w:tcPr>
    <w:tblStylePr w:type="firstRow">
      <w:rPr>
        <w:b/>
        <w:bCs/>
      </w:rPr>
      <w:tblPr/>
      <w:tcPr>
        <w:tcBorders>
          <w:top w:val="nil"/>
          <w:left w:val="nil"/>
          <w:bottom w:val="single" w:sz="24" w:space="0" w:color="4584D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75B3" w:themeFill="accent1" w:themeFillShade="99"/>
      </w:tcPr>
    </w:tblStylePr>
    <w:tblStylePr w:type="firstCol">
      <w:rPr>
        <w:color w:val="FFFFFF" w:themeColor="background1"/>
      </w:rPr>
      <w:tblPr/>
      <w:tcPr>
        <w:tcBorders>
          <w:top w:val="nil"/>
          <w:left w:val="nil"/>
          <w:bottom w:val="nil"/>
          <w:right w:val="nil"/>
          <w:insideH w:val="single" w:sz="4" w:space="0" w:color="0175B3" w:themeColor="accent1" w:themeShade="99"/>
          <w:insideV w:val="nil"/>
        </w:tcBorders>
        <w:shd w:val="clear" w:color="auto" w:fill="0175B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75B3" w:themeFill="accent1" w:themeFillShade="99"/>
      </w:tcPr>
    </w:tblStylePr>
    <w:tblStylePr w:type="band1Vert">
      <w:tblPr/>
      <w:tcPr>
        <w:shd w:val="clear" w:color="auto" w:fill="ACE1FE" w:themeFill="accent1" w:themeFillTint="66"/>
      </w:tcPr>
    </w:tblStylePr>
    <w:tblStylePr w:type="band1Horz">
      <w:tblPr/>
      <w:tcPr>
        <w:shd w:val="clear" w:color="auto" w:fill="98DAFE" w:themeFill="accent1" w:themeFillTint="7F"/>
      </w:tcPr>
    </w:tblStylePr>
    <w:tblStylePr w:type="neCell">
      <w:rPr>
        <w:color w:val="000000" w:themeColor="text1"/>
      </w:rPr>
    </w:tblStylePr>
    <w:tblStylePr w:type="nwCell">
      <w:rPr>
        <w:color w:val="000000" w:themeColor="text1"/>
      </w:rPr>
    </w:tblStylePr>
  </w:style>
  <w:style w:type="table" w:styleId="MediumGrid3-Accent2">
    <w:name w:val="Medium Grid 3 Accent 2"/>
    <w:basedOn w:val="TableNormal"/>
    <w:uiPriority w:val="69"/>
    <w:rsid w:val="004B6E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0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584D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584D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584D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584D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C1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C1E9" w:themeFill="accent2" w:themeFillTint="7F"/>
      </w:tcPr>
    </w:tblStylePr>
  </w:style>
  <w:style w:type="paragraph" w:customStyle="1" w:styleId="Footnote">
    <w:name w:val="Footnote"/>
    <w:uiPriority w:val="99"/>
    <w:rsid w:val="004B6EA0"/>
    <w:pPr>
      <w:spacing w:after="0" w:line="240" w:lineRule="auto"/>
    </w:pPr>
    <w:rPr>
      <w:rFonts w:ascii="Calibri" w:eastAsia="Calibri" w:hAnsi="Calibri" w:cs="Arial"/>
      <w:bCs/>
      <w:color w:val="000000"/>
      <w:sz w:val="18"/>
    </w:rPr>
  </w:style>
  <w:style w:type="paragraph" w:styleId="NormalWeb">
    <w:name w:val="Normal (Web)"/>
    <w:basedOn w:val="Normal"/>
    <w:uiPriority w:val="99"/>
    <w:unhideWhenUsed/>
    <w:rsid w:val="004B6E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uiPriority w:val="99"/>
    <w:rsid w:val="004B6EA0"/>
    <w:rPr>
      <w:rFonts w:cs="Times New Roman"/>
    </w:rPr>
  </w:style>
  <w:style w:type="character" w:customStyle="1" w:styleId="printonly">
    <w:name w:val="printonly"/>
    <w:uiPriority w:val="99"/>
    <w:rsid w:val="004B6EA0"/>
    <w:rPr>
      <w:rFonts w:cs="Times New Roman"/>
    </w:rPr>
  </w:style>
  <w:style w:type="paragraph" w:customStyle="1" w:styleId="center">
    <w:name w:val="center"/>
    <w:basedOn w:val="Normal"/>
    <w:rsid w:val="004B6EA0"/>
    <w:pPr>
      <w:spacing w:before="100" w:beforeAutospacing="1" w:after="100" w:afterAutospacing="1" w:line="240" w:lineRule="auto"/>
      <w:ind w:left="-29" w:firstLine="58"/>
      <w:jc w:val="center"/>
    </w:pPr>
    <w:rPr>
      <w:rFonts w:ascii="Arial" w:eastAsia="Times New Roman" w:hAnsi="Arial" w:cs="Arial"/>
      <w:bCs/>
      <w:sz w:val="24"/>
      <w:szCs w:val="24"/>
    </w:rPr>
  </w:style>
  <w:style w:type="paragraph" w:styleId="TOC1">
    <w:name w:val="toc 1"/>
    <w:basedOn w:val="Normal"/>
    <w:next w:val="Normal"/>
    <w:autoRedefine/>
    <w:uiPriority w:val="39"/>
    <w:unhideWhenUsed/>
    <w:rsid w:val="00205329"/>
    <w:pPr>
      <w:tabs>
        <w:tab w:val="right" w:leader="dot" w:pos="9883"/>
      </w:tabs>
      <w:spacing w:after="100"/>
    </w:pPr>
    <w:rPr>
      <w:rFonts w:ascii="Calibri" w:hAnsi="Calibri"/>
    </w:rPr>
  </w:style>
  <w:style w:type="table" w:customStyle="1" w:styleId="MediumGrid1-Accent211">
    <w:name w:val="Medium Grid 1 - Accent 211"/>
    <w:basedOn w:val="TableNormal"/>
    <w:next w:val="MediumGrid1-Accent2"/>
    <w:uiPriority w:val="67"/>
    <w:rsid w:val="004B6EA0"/>
    <w:pPr>
      <w:spacing w:after="0" w:line="240" w:lineRule="auto"/>
    </w:pPr>
    <w:rPr>
      <w:rFonts w:ascii="Cambria" w:eastAsia="Times New Roman" w:hAnsi="Cambria"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paragraph" w:styleId="Revision">
    <w:name w:val="Revision"/>
    <w:hidden/>
    <w:uiPriority w:val="99"/>
    <w:semiHidden/>
    <w:rsid w:val="004B6EA0"/>
    <w:pPr>
      <w:spacing w:after="0" w:line="240" w:lineRule="auto"/>
    </w:pPr>
  </w:style>
  <w:style w:type="paragraph" w:customStyle="1" w:styleId="Heading11">
    <w:name w:val="Heading 11"/>
    <w:basedOn w:val="Normal"/>
    <w:next w:val="Normal"/>
    <w:autoRedefine/>
    <w:uiPriority w:val="9"/>
    <w:qFormat/>
    <w:rsid w:val="004B6EA0"/>
    <w:pPr>
      <w:pageBreakBefore/>
      <w:pBdr>
        <w:bottom w:val="thinThickSmallGap" w:sz="12" w:space="1" w:color="2861A9"/>
      </w:pBdr>
      <w:spacing w:after="120"/>
      <w:jc w:val="center"/>
      <w:outlineLvl w:val="0"/>
    </w:pPr>
    <w:rPr>
      <w:rFonts w:asciiTheme="minorHAnsi" w:eastAsia="Times New Roman" w:hAnsiTheme="minorHAnsi" w:cs="Times New Roman"/>
      <w:b/>
      <w:caps/>
      <w:color w:val="1B4171"/>
      <w:spacing w:val="20"/>
      <w:sz w:val="28"/>
      <w:szCs w:val="28"/>
    </w:rPr>
  </w:style>
  <w:style w:type="paragraph" w:customStyle="1" w:styleId="Heading21">
    <w:name w:val="Heading 21"/>
    <w:basedOn w:val="Normal"/>
    <w:next w:val="Normal"/>
    <w:autoRedefine/>
    <w:uiPriority w:val="9"/>
    <w:unhideWhenUsed/>
    <w:qFormat/>
    <w:rsid w:val="004B6EA0"/>
    <w:pPr>
      <w:pBdr>
        <w:bottom w:val="single" w:sz="4" w:space="1" w:color="1A4070"/>
      </w:pBdr>
      <w:spacing w:before="120" w:after="120"/>
      <w:jc w:val="center"/>
      <w:outlineLvl w:val="1"/>
    </w:pPr>
    <w:rPr>
      <w:rFonts w:asciiTheme="minorHAnsi" w:eastAsia="Times New Roman" w:hAnsiTheme="minorHAnsi" w:cs="Calibri"/>
      <w:b/>
      <w:caps/>
      <w:color w:val="1B4171"/>
      <w:spacing w:val="15"/>
      <w:sz w:val="24"/>
      <w:szCs w:val="24"/>
    </w:rPr>
  </w:style>
  <w:style w:type="paragraph" w:customStyle="1" w:styleId="Heading31">
    <w:name w:val="Heading 31"/>
    <w:basedOn w:val="Normal"/>
    <w:next w:val="Normal"/>
    <w:autoRedefine/>
    <w:uiPriority w:val="9"/>
    <w:unhideWhenUsed/>
    <w:qFormat/>
    <w:rsid w:val="004B6EA0"/>
    <w:pPr>
      <w:pBdr>
        <w:top w:val="dotted" w:sz="4" w:space="1" w:color="1A4070"/>
        <w:bottom w:val="dotted" w:sz="4" w:space="1" w:color="1A4070"/>
      </w:pBdr>
      <w:spacing w:before="80" w:after="80"/>
      <w:jc w:val="center"/>
      <w:outlineLvl w:val="2"/>
    </w:pPr>
    <w:rPr>
      <w:rFonts w:asciiTheme="minorHAnsi" w:eastAsia="Times New Roman" w:hAnsiTheme="minorHAnsi" w:cs="Times New Roman"/>
      <w:b/>
      <w:caps/>
      <w:color w:val="1A4070"/>
      <w:sz w:val="24"/>
      <w:szCs w:val="24"/>
    </w:rPr>
  </w:style>
  <w:style w:type="paragraph" w:customStyle="1" w:styleId="Heading41">
    <w:name w:val="Heading 41"/>
    <w:basedOn w:val="Normal"/>
    <w:next w:val="Normal"/>
    <w:uiPriority w:val="9"/>
    <w:unhideWhenUsed/>
    <w:qFormat/>
    <w:rsid w:val="004B6EA0"/>
    <w:pPr>
      <w:pBdr>
        <w:bottom w:val="dotted" w:sz="4" w:space="1" w:color="2861A9"/>
      </w:pBdr>
      <w:spacing w:after="120"/>
      <w:jc w:val="center"/>
      <w:outlineLvl w:val="3"/>
    </w:pPr>
    <w:rPr>
      <w:rFonts w:ascii="Cambria" w:eastAsia="Times New Roman" w:hAnsi="Cambria" w:cs="Times New Roman"/>
      <w:caps/>
      <w:color w:val="1A4070"/>
      <w:spacing w:val="10"/>
    </w:rPr>
  </w:style>
  <w:style w:type="paragraph" w:customStyle="1" w:styleId="Heading51">
    <w:name w:val="Heading 51"/>
    <w:basedOn w:val="Normal"/>
    <w:next w:val="Normal"/>
    <w:uiPriority w:val="9"/>
    <w:semiHidden/>
    <w:unhideWhenUsed/>
    <w:qFormat/>
    <w:rsid w:val="004B6EA0"/>
    <w:pPr>
      <w:spacing w:before="320" w:after="120"/>
      <w:jc w:val="center"/>
      <w:outlineLvl w:val="4"/>
    </w:pPr>
    <w:rPr>
      <w:rFonts w:ascii="Cambria" w:eastAsia="Times New Roman" w:hAnsi="Cambria" w:cs="Times New Roman"/>
      <w:caps/>
      <w:color w:val="1A4070"/>
      <w:spacing w:val="10"/>
    </w:rPr>
  </w:style>
  <w:style w:type="paragraph" w:customStyle="1" w:styleId="Heading61">
    <w:name w:val="Heading 61"/>
    <w:basedOn w:val="Normal"/>
    <w:next w:val="Normal"/>
    <w:uiPriority w:val="9"/>
    <w:semiHidden/>
    <w:unhideWhenUsed/>
    <w:qFormat/>
    <w:rsid w:val="004B6EA0"/>
    <w:pPr>
      <w:spacing w:after="120"/>
      <w:jc w:val="center"/>
      <w:outlineLvl w:val="5"/>
    </w:pPr>
    <w:rPr>
      <w:rFonts w:ascii="Cambria" w:eastAsia="Times New Roman" w:hAnsi="Cambria" w:cs="Times New Roman"/>
      <w:caps/>
      <w:color w:val="2861A9"/>
      <w:spacing w:val="10"/>
    </w:rPr>
  </w:style>
  <w:style w:type="paragraph" w:customStyle="1" w:styleId="Heading71">
    <w:name w:val="Heading 71"/>
    <w:basedOn w:val="Normal"/>
    <w:next w:val="Normal"/>
    <w:uiPriority w:val="9"/>
    <w:semiHidden/>
    <w:unhideWhenUsed/>
    <w:qFormat/>
    <w:rsid w:val="004B6EA0"/>
    <w:pPr>
      <w:spacing w:after="120"/>
      <w:jc w:val="center"/>
      <w:outlineLvl w:val="6"/>
    </w:pPr>
    <w:rPr>
      <w:rFonts w:ascii="Cambria" w:eastAsia="Times New Roman" w:hAnsi="Cambria" w:cs="Times New Roman"/>
      <w:i/>
      <w:iCs/>
      <w:caps/>
      <w:color w:val="2861A9"/>
      <w:spacing w:val="10"/>
    </w:rPr>
  </w:style>
  <w:style w:type="paragraph" w:customStyle="1" w:styleId="Heading81">
    <w:name w:val="Heading 81"/>
    <w:basedOn w:val="Normal"/>
    <w:next w:val="Normal"/>
    <w:uiPriority w:val="9"/>
    <w:semiHidden/>
    <w:unhideWhenUsed/>
    <w:qFormat/>
    <w:rsid w:val="004B6EA0"/>
    <w:pPr>
      <w:spacing w:after="120"/>
      <w:jc w:val="center"/>
      <w:outlineLvl w:val="7"/>
    </w:pPr>
    <w:rPr>
      <w:rFonts w:ascii="Cambria" w:eastAsia="Times New Roman" w:hAnsi="Cambria" w:cs="Times New Roman"/>
      <w:caps/>
      <w:spacing w:val="10"/>
      <w:sz w:val="20"/>
      <w:szCs w:val="20"/>
    </w:rPr>
  </w:style>
  <w:style w:type="paragraph" w:customStyle="1" w:styleId="Heading91">
    <w:name w:val="Heading 91"/>
    <w:basedOn w:val="Normal"/>
    <w:next w:val="Normal"/>
    <w:uiPriority w:val="9"/>
    <w:semiHidden/>
    <w:unhideWhenUsed/>
    <w:qFormat/>
    <w:rsid w:val="004B6EA0"/>
    <w:pPr>
      <w:spacing w:after="120"/>
      <w:jc w:val="center"/>
      <w:outlineLvl w:val="8"/>
    </w:pPr>
    <w:rPr>
      <w:rFonts w:ascii="Cambria" w:eastAsia="Times New Roman" w:hAnsi="Cambria" w:cs="Times New Roman"/>
      <w:i/>
      <w:iCs/>
      <w:caps/>
      <w:spacing w:val="10"/>
      <w:sz w:val="20"/>
      <w:szCs w:val="20"/>
    </w:rPr>
  </w:style>
  <w:style w:type="numbering" w:customStyle="1" w:styleId="NoList1">
    <w:name w:val="No List1"/>
    <w:next w:val="NoList"/>
    <w:uiPriority w:val="99"/>
    <w:semiHidden/>
    <w:unhideWhenUsed/>
    <w:rsid w:val="004B6EA0"/>
  </w:style>
  <w:style w:type="paragraph" w:customStyle="1" w:styleId="Caption1">
    <w:name w:val="Caption1"/>
    <w:basedOn w:val="Normal"/>
    <w:next w:val="Normal"/>
    <w:uiPriority w:val="99"/>
    <w:unhideWhenUsed/>
    <w:qFormat/>
    <w:rsid w:val="004B6EA0"/>
    <w:rPr>
      <w:rFonts w:ascii="Cambria" w:eastAsia="Times New Roman" w:hAnsi="Cambria" w:cs="Times New Roman"/>
      <w:caps/>
      <w:spacing w:val="10"/>
      <w:sz w:val="18"/>
      <w:szCs w:val="18"/>
    </w:rPr>
  </w:style>
  <w:style w:type="paragraph" w:customStyle="1" w:styleId="Subtitle1">
    <w:name w:val="Subtitle1"/>
    <w:basedOn w:val="Normal"/>
    <w:next w:val="Normal"/>
    <w:uiPriority w:val="11"/>
    <w:qFormat/>
    <w:rsid w:val="004B6EA0"/>
    <w:pPr>
      <w:spacing w:after="560" w:line="240" w:lineRule="auto"/>
      <w:jc w:val="center"/>
    </w:pPr>
    <w:rPr>
      <w:rFonts w:ascii="Cambria" w:eastAsia="Times New Roman" w:hAnsi="Cambria" w:cs="Times New Roman"/>
      <w:caps/>
      <w:spacing w:val="20"/>
      <w:sz w:val="18"/>
      <w:szCs w:val="18"/>
    </w:rPr>
  </w:style>
  <w:style w:type="character" w:customStyle="1" w:styleId="Strong1">
    <w:name w:val="Strong1"/>
    <w:uiPriority w:val="22"/>
    <w:qFormat/>
    <w:rsid w:val="004B6EA0"/>
    <w:rPr>
      <w:b/>
      <w:bCs/>
      <w:color w:val="2861A9"/>
      <w:spacing w:val="5"/>
    </w:rPr>
  </w:style>
  <w:style w:type="paragraph" w:customStyle="1" w:styleId="NoSpacing1">
    <w:name w:val="No Spacing1"/>
    <w:basedOn w:val="Normal"/>
    <w:next w:val="NoSpacing"/>
    <w:uiPriority w:val="1"/>
    <w:qFormat/>
    <w:rsid w:val="004B6EA0"/>
    <w:pPr>
      <w:spacing w:after="0" w:line="240" w:lineRule="auto"/>
    </w:pPr>
    <w:rPr>
      <w:rFonts w:ascii="Cambria" w:eastAsia="Times New Roman" w:hAnsi="Cambria" w:cs="Times New Roman"/>
    </w:rPr>
  </w:style>
  <w:style w:type="paragraph" w:customStyle="1" w:styleId="ListParagraph1">
    <w:name w:val="List Paragraph1"/>
    <w:basedOn w:val="Normal"/>
    <w:next w:val="ListParagraph"/>
    <w:uiPriority w:val="34"/>
    <w:qFormat/>
    <w:rsid w:val="004B6EA0"/>
    <w:pPr>
      <w:ind w:left="720"/>
      <w:contextualSpacing/>
    </w:pPr>
    <w:rPr>
      <w:rFonts w:ascii="Cambria" w:eastAsia="Times New Roman" w:hAnsi="Cambria" w:cs="Times New Roman"/>
    </w:rPr>
  </w:style>
  <w:style w:type="paragraph" w:customStyle="1" w:styleId="Quote1">
    <w:name w:val="Quote1"/>
    <w:basedOn w:val="Normal"/>
    <w:next w:val="Normal"/>
    <w:uiPriority w:val="29"/>
    <w:qFormat/>
    <w:rsid w:val="004B6EA0"/>
    <w:rPr>
      <w:rFonts w:ascii="Cambria" w:eastAsia="Times New Roman" w:hAnsi="Cambria" w:cs="Times New Roman"/>
      <w:i/>
      <w:iCs/>
    </w:rPr>
  </w:style>
  <w:style w:type="paragraph" w:customStyle="1" w:styleId="IntenseQuote1">
    <w:name w:val="Intense Quote1"/>
    <w:basedOn w:val="Normal"/>
    <w:next w:val="Normal"/>
    <w:uiPriority w:val="30"/>
    <w:qFormat/>
    <w:rsid w:val="004B6EA0"/>
    <w:pPr>
      <w:pBdr>
        <w:top w:val="dotted" w:sz="2" w:space="10" w:color="1B4171"/>
        <w:bottom w:val="dotted" w:sz="2" w:space="4" w:color="1B4171"/>
      </w:pBdr>
      <w:spacing w:before="160" w:line="300" w:lineRule="auto"/>
      <w:ind w:left="1440" w:right="1440"/>
    </w:pPr>
    <w:rPr>
      <w:rFonts w:ascii="Cambria" w:eastAsia="Times New Roman" w:hAnsi="Cambria" w:cs="Times New Roman"/>
      <w:caps/>
      <w:color w:val="1A4070"/>
      <w:spacing w:val="5"/>
      <w:sz w:val="20"/>
      <w:szCs w:val="20"/>
    </w:rPr>
  </w:style>
  <w:style w:type="character" w:customStyle="1" w:styleId="SubtleReference1">
    <w:name w:val="Subtle Reference1"/>
    <w:basedOn w:val="DefaultParagraphFont"/>
    <w:uiPriority w:val="31"/>
    <w:qFormat/>
    <w:rsid w:val="004B6EA0"/>
    <w:rPr>
      <w:rFonts w:ascii="Calibri" w:eastAsia="Times New Roman" w:hAnsi="Calibri" w:cs="Times New Roman"/>
      <w:i/>
      <w:iCs/>
      <w:color w:val="1A4070"/>
    </w:rPr>
  </w:style>
  <w:style w:type="character" w:customStyle="1" w:styleId="IntenseReference1">
    <w:name w:val="Intense Reference1"/>
    <w:uiPriority w:val="32"/>
    <w:qFormat/>
    <w:rsid w:val="004B6EA0"/>
    <w:rPr>
      <w:rFonts w:ascii="Calibri" w:eastAsia="Times New Roman" w:hAnsi="Calibri" w:cs="Times New Roman"/>
      <w:b/>
      <w:bCs/>
      <w:i/>
      <w:iCs/>
      <w:color w:val="1A4070"/>
    </w:rPr>
  </w:style>
  <w:style w:type="character" w:customStyle="1" w:styleId="BookTitle1">
    <w:name w:val="Book Title1"/>
    <w:uiPriority w:val="33"/>
    <w:qFormat/>
    <w:rsid w:val="004B6EA0"/>
    <w:rPr>
      <w:caps/>
      <w:color w:val="1A4070"/>
      <w:spacing w:val="5"/>
      <w:u w:color="1A4070"/>
    </w:rPr>
  </w:style>
  <w:style w:type="paragraph" w:customStyle="1" w:styleId="TOCHeading1">
    <w:name w:val="TOC Heading1"/>
    <w:basedOn w:val="Heading1"/>
    <w:next w:val="Normal"/>
    <w:uiPriority w:val="39"/>
    <w:semiHidden/>
    <w:unhideWhenUsed/>
    <w:qFormat/>
    <w:rsid w:val="004B6EA0"/>
    <w:pPr>
      <w:keepNext/>
      <w:keepLines/>
      <w:pageBreakBefore w:val="0"/>
      <w:pBdr>
        <w:bottom w:val="none" w:sz="0" w:space="0" w:color="auto"/>
      </w:pBdr>
      <w:spacing w:before="480" w:after="0" w:line="276" w:lineRule="auto"/>
      <w:jc w:val="left"/>
    </w:pPr>
    <w:rPr>
      <w:rFonts w:ascii="Calibri" w:eastAsiaTheme="minorHAnsi" w:hAnsi="Calibri" w:cstheme="minorBidi"/>
      <w:color w:val="1B4171"/>
    </w:rPr>
  </w:style>
  <w:style w:type="table" w:customStyle="1" w:styleId="TableGrid1">
    <w:name w:val="Table Grid1"/>
    <w:basedOn w:val="TableNormal"/>
    <w:next w:val="TableGrid"/>
    <w:uiPriority w:val="59"/>
    <w:rsid w:val="004B6EA0"/>
    <w:pPr>
      <w:spacing w:after="0" w:line="240" w:lineRule="auto"/>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nhideWhenUsed/>
    <w:rsid w:val="004B6EA0"/>
    <w:pPr>
      <w:tabs>
        <w:tab w:val="center" w:pos="4680"/>
        <w:tab w:val="right" w:pos="9360"/>
      </w:tabs>
      <w:spacing w:after="0" w:line="240" w:lineRule="auto"/>
    </w:pPr>
    <w:rPr>
      <w:rFonts w:asciiTheme="minorHAnsi" w:eastAsiaTheme="minorHAnsi" w:hAnsiTheme="minorHAnsi" w:cstheme="minorBidi"/>
    </w:rPr>
  </w:style>
  <w:style w:type="paragraph" w:customStyle="1" w:styleId="Footer1">
    <w:name w:val="Footer1"/>
    <w:basedOn w:val="Normal"/>
    <w:next w:val="Footer"/>
    <w:uiPriority w:val="99"/>
    <w:unhideWhenUsed/>
    <w:rsid w:val="004B6EA0"/>
    <w:pPr>
      <w:tabs>
        <w:tab w:val="center" w:pos="4680"/>
        <w:tab w:val="right" w:pos="9360"/>
      </w:tabs>
      <w:spacing w:after="0" w:line="240" w:lineRule="auto"/>
    </w:pPr>
    <w:rPr>
      <w:rFonts w:asciiTheme="minorHAnsi" w:eastAsiaTheme="minorHAnsi" w:hAnsiTheme="minorHAnsi" w:cstheme="minorBidi"/>
    </w:rPr>
  </w:style>
  <w:style w:type="paragraph" w:customStyle="1" w:styleId="BalloonText1">
    <w:name w:val="Balloon Text1"/>
    <w:basedOn w:val="Normal"/>
    <w:next w:val="BalloonText"/>
    <w:uiPriority w:val="99"/>
    <w:semiHidden/>
    <w:unhideWhenUsed/>
    <w:rsid w:val="004B6EA0"/>
    <w:pPr>
      <w:spacing w:after="0" w:line="240" w:lineRule="auto"/>
    </w:pPr>
    <w:rPr>
      <w:rFonts w:ascii="Tahoma" w:eastAsiaTheme="minorHAnsi" w:hAnsi="Tahoma" w:cs="Tahoma"/>
      <w:sz w:val="16"/>
      <w:szCs w:val="16"/>
    </w:rPr>
  </w:style>
  <w:style w:type="paragraph" w:customStyle="1" w:styleId="CommentText1">
    <w:name w:val="Comment Text1"/>
    <w:basedOn w:val="Normal"/>
    <w:next w:val="CommentText"/>
    <w:uiPriority w:val="99"/>
    <w:unhideWhenUsed/>
    <w:rsid w:val="004B6EA0"/>
    <w:pPr>
      <w:spacing w:line="240" w:lineRule="auto"/>
    </w:pPr>
    <w:rPr>
      <w:rFonts w:asciiTheme="minorHAnsi" w:eastAsiaTheme="minorHAnsi" w:hAnsiTheme="minorHAnsi" w:cstheme="minorBidi"/>
      <w:sz w:val="20"/>
      <w:szCs w:val="20"/>
    </w:rPr>
  </w:style>
  <w:style w:type="paragraph" w:customStyle="1" w:styleId="CommentSubject1">
    <w:name w:val="Comment Subject1"/>
    <w:basedOn w:val="CommentText"/>
    <w:next w:val="CommentText"/>
    <w:uiPriority w:val="99"/>
    <w:semiHidden/>
    <w:unhideWhenUsed/>
    <w:rsid w:val="004B6EA0"/>
    <w:rPr>
      <w:rFonts w:ascii="Cambria" w:eastAsia="Times New Roman" w:hAnsi="Cambria" w:cs="Times New Roman"/>
      <w:b/>
      <w:bCs/>
    </w:rPr>
  </w:style>
  <w:style w:type="table" w:customStyle="1" w:styleId="MediumGrid3-Accent11">
    <w:name w:val="Medium Grid 3 - Accent 11"/>
    <w:basedOn w:val="TableNormal"/>
    <w:next w:val="MediumGrid3-Accent1"/>
    <w:uiPriority w:val="69"/>
    <w:rsid w:val="004B6EA0"/>
    <w:pPr>
      <w:spacing w:after="0" w:line="240" w:lineRule="auto"/>
    </w:pPr>
    <w:rPr>
      <w:rFonts w:ascii="Cambria" w:eastAsia="Times New Roman"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EC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31B6F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31B6F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31B6F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31B6F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8DA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8DAFE"/>
      </w:tcPr>
    </w:tblStylePr>
  </w:style>
  <w:style w:type="table" w:customStyle="1" w:styleId="ColorfulShading-Accent11">
    <w:name w:val="Colorful Shading - Accent 11"/>
    <w:basedOn w:val="TableNormal"/>
    <w:next w:val="ColorfulShading-Accent1"/>
    <w:uiPriority w:val="71"/>
    <w:rsid w:val="004B6EA0"/>
    <w:pPr>
      <w:spacing w:after="0" w:line="240" w:lineRule="auto"/>
    </w:pPr>
    <w:rPr>
      <w:rFonts w:ascii="Cambria" w:eastAsia="Times New Roman" w:hAnsi="Cambria" w:cs="Times New Roman"/>
      <w:color w:val="000000"/>
    </w:rPr>
    <w:tblPr>
      <w:tblStyleRowBandSize w:val="1"/>
      <w:tblStyleColBandSize w:val="1"/>
      <w:tblBorders>
        <w:top w:val="single" w:sz="24" w:space="0" w:color="4584D3"/>
        <w:left w:val="single" w:sz="4" w:space="0" w:color="31B6FD"/>
        <w:bottom w:val="single" w:sz="4" w:space="0" w:color="31B6FD"/>
        <w:right w:val="single" w:sz="4" w:space="0" w:color="31B6FD"/>
        <w:insideH w:val="single" w:sz="4" w:space="0" w:color="FFFFFF"/>
        <w:insideV w:val="single" w:sz="4" w:space="0" w:color="FFFFFF"/>
      </w:tblBorders>
    </w:tblPr>
    <w:tcPr>
      <w:shd w:val="clear" w:color="auto" w:fill="EAF7FE"/>
    </w:tcPr>
    <w:tblStylePr w:type="firstRow">
      <w:rPr>
        <w:b/>
        <w:bCs/>
      </w:rPr>
      <w:tblPr/>
      <w:tcPr>
        <w:tcBorders>
          <w:top w:val="nil"/>
          <w:left w:val="nil"/>
          <w:bottom w:val="single" w:sz="24" w:space="0" w:color="4584D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175B3"/>
      </w:tcPr>
    </w:tblStylePr>
    <w:tblStylePr w:type="firstCol">
      <w:rPr>
        <w:color w:val="FFFFFF"/>
      </w:rPr>
      <w:tblPr/>
      <w:tcPr>
        <w:tcBorders>
          <w:top w:val="nil"/>
          <w:left w:val="nil"/>
          <w:bottom w:val="nil"/>
          <w:right w:val="nil"/>
          <w:insideH w:val="single" w:sz="4" w:space="0" w:color="0175B3"/>
          <w:insideV w:val="nil"/>
        </w:tcBorders>
        <w:shd w:val="clear" w:color="auto" w:fill="0175B3"/>
      </w:tcPr>
    </w:tblStylePr>
    <w:tblStylePr w:type="lastCol">
      <w:rPr>
        <w:color w:val="FFFFFF"/>
      </w:rPr>
      <w:tblPr/>
      <w:tcPr>
        <w:tcBorders>
          <w:top w:val="nil"/>
          <w:left w:val="nil"/>
          <w:bottom w:val="nil"/>
          <w:right w:val="nil"/>
          <w:insideH w:val="nil"/>
          <w:insideV w:val="nil"/>
        </w:tcBorders>
        <w:shd w:val="clear" w:color="auto" w:fill="0175B3"/>
      </w:tcPr>
    </w:tblStylePr>
    <w:tblStylePr w:type="band1Vert">
      <w:tblPr/>
      <w:tcPr>
        <w:shd w:val="clear" w:color="auto" w:fill="ACE1FE"/>
      </w:tcPr>
    </w:tblStylePr>
    <w:tblStylePr w:type="band1Horz">
      <w:tblPr/>
      <w:tcPr>
        <w:shd w:val="clear" w:color="auto" w:fill="98DAFE"/>
      </w:tcPr>
    </w:tblStylePr>
    <w:tblStylePr w:type="neCell">
      <w:rPr>
        <w:color w:val="000000"/>
      </w:rPr>
    </w:tblStylePr>
    <w:tblStylePr w:type="nwCell">
      <w:rPr>
        <w:color w:val="000000"/>
      </w:rPr>
    </w:tblStylePr>
  </w:style>
  <w:style w:type="table" w:customStyle="1" w:styleId="MediumGrid3-Accent21">
    <w:name w:val="Medium Grid 3 - Accent 21"/>
    <w:basedOn w:val="TableNormal"/>
    <w:next w:val="MediumGrid3-Accent2"/>
    <w:uiPriority w:val="69"/>
    <w:rsid w:val="004B6EA0"/>
    <w:pPr>
      <w:spacing w:after="0" w:line="240" w:lineRule="auto"/>
    </w:pPr>
    <w:rPr>
      <w:rFonts w:ascii="Cambria" w:eastAsia="Times New Roman"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E0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584D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584D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584D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584D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2C1E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2C1E9"/>
      </w:tcPr>
    </w:tblStylePr>
  </w:style>
  <w:style w:type="paragraph" w:customStyle="1" w:styleId="TOC11">
    <w:name w:val="TOC 11"/>
    <w:basedOn w:val="Normal"/>
    <w:next w:val="Normal"/>
    <w:autoRedefine/>
    <w:uiPriority w:val="39"/>
    <w:unhideWhenUsed/>
    <w:rsid w:val="004B6EA0"/>
    <w:pPr>
      <w:spacing w:after="100"/>
    </w:pPr>
    <w:rPr>
      <w:rFonts w:ascii="Cambria" w:eastAsia="Times New Roman" w:hAnsi="Cambria" w:cs="Times New Roman"/>
    </w:rPr>
  </w:style>
  <w:style w:type="table" w:customStyle="1" w:styleId="ColorfulList-Accent211">
    <w:name w:val="Colorful List - Accent 211"/>
    <w:basedOn w:val="TableNormal"/>
    <w:next w:val="ColorfulList-Accent2"/>
    <w:uiPriority w:val="72"/>
    <w:rsid w:val="004B6EA0"/>
    <w:pPr>
      <w:spacing w:after="0" w:line="240" w:lineRule="auto"/>
    </w:pPr>
    <w:rPr>
      <w:rFonts w:ascii="Cambria" w:eastAsia="Times New Roman" w:hAnsi="Cambria" w:cs="Times New Roman"/>
      <w:color w:val="000000"/>
    </w:rPr>
    <w:tblPr>
      <w:tblStyleRowBandSize w:val="1"/>
      <w:tblStyleColBandSize w:val="1"/>
    </w:tblPr>
    <w:tcPr>
      <w:shd w:val="clear" w:color="auto" w:fill="ECF2FA"/>
    </w:tcPr>
    <w:tblStylePr w:type="firstRow">
      <w:rPr>
        <w:b/>
        <w:bCs/>
        <w:color w:val="FFFFFF"/>
      </w:rPr>
      <w:tblPr/>
      <w:tcPr>
        <w:tcBorders>
          <w:bottom w:val="single" w:sz="12" w:space="0" w:color="FFFFFF"/>
        </w:tcBorders>
        <w:shd w:val="clear" w:color="auto" w:fill="2B68B5"/>
      </w:tcPr>
    </w:tblStylePr>
    <w:tblStylePr w:type="lastRow">
      <w:rPr>
        <w:b/>
        <w:bCs/>
        <w:color w:val="2B68B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0F4"/>
      </w:tcPr>
    </w:tblStylePr>
    <w:tblStylePr w:type="band1Horz">
      <w:tblPr/>
      <w:tcPr>
        <w:shd w:val="clear" w:color="auto" w:fill="D9E6F6"/>
      </w:tcPr>
    </w:tblStylePr>
  </w:style>
  <w:style w:type="paragraph" w:customStyle="1" w:styleId="Revision1">
    <w:name w:val="Revision1"/>
    <w:next w:val="Revision"/>
    <w:hidden/>
    <w:uiPriority w:val="99"/>
    <w:semiHidden/>
    <w:rsid w:val="004B6EA0"/>
    <w:pPr>
      <w:spacing w:after="0" w:line="240" w:lineRule="auto"/>
    </w:pPr>
    <w:rPr>
      <w:rFonts w:ascii="Cambria" w:eastAsia="Times New Roman" w:hAnsi="Cambria" w:cs="Times New Roman"/>
    </w:rPr>
  </w:style>
  <w:style w:type="character" w:customStyle="1" w:styleId="Heading1Char1">
    <w:name w:val="Heading 1 Char1"/>
    <w:basedOn w:val="DefaultParagraphFont"/>
    <w:uiPriority w:val="9"/>
    <w:rsid w:val="004B6EA0"/>
    <w:rPr>
      <w:rFonts w:asciiTheme="majorHAnsi" w:eastAsiaTheme="majorEastAsia" w:hAnsiTheme="majorHAnsi" w:cstheme="majorBidi"/>
      <w:b/>
      <w:bCs/>
      <w:color w:val="0292DF" w:themeColor="accent1" w:themeShade="BF"/>
      <w:sz w:val="28"/>
      <w:szCs w:val="28"/>
    </w:rPr>
  </w:style>
  <w:style w:type="character" w:customStyle="1" w:styleId="Heading2Char1">
    <w:name w:val="Heading 2 Char1"/>
    <w:basedOn w:val="DefaultParagraphFont"/>
    <w:uiPriority w:val="9"/>
    <w:semiHidden/>
    <w:rsid w:val="004B6EA0"/>
    <w:rPr>
      <w:rFonts w:asciiTheme="majorHAnsi" w:eastAsiaTheme="majorEastAsia" w:hAnsiTheme="majorHAnsi" w:cstheme="majorBidi"/>
      <w:b/>
      <w:bCs/>
      <w:color w:val="31B6FD" w:themeColor="accent1"/>
      <w:sz w:val="26"/>
      <w:szCs w:val="26"/>
    </w:rPr>
  </w:style>
  <w:style w:type="character" w:customStyle="1" w:styleId="Heading3Char1">
    <w:name w:val="Heading 3 Char1"/>
    <w:basedOn w:val="DefaultParagraphFont"/>
    <w:uiPriority w:val="9"/>
    <w:semiHidden/>
    <w:rsid w:val="004B6EA0"/>
    <w:rPr>
      <w:rFonts w:asciiTheme="majorHAnsi" w:eastAsiaTheme="majorEastAsia" w:hAnsiTheme="majorHAnsi" w:cstheme="majorBidi"/>
      <w:b/>
      <w:bCs/>
      <w:color w:val="31B6FD" w:themeColor="accent1"/>
    </w:rPr>
  </w:style>
  <w:style w:type="character" w:customStyle="1" w:styleId="Heading4Char1">
    <w:name w:val="Heading 4 Char1"/>
    <w:basedOn w:val="DefaultParagraphFont"/>
    <w:uiPriority w:val="9"/>
    <w:semiHidden/>
    <w:rsid w:val="004B6EA0"/>
    <w:rPr>
      <w:rFonts w:asciiTheme="majorHAnsi" w:eastAsiaTheme="majorEastAsia" w:hAnsiTheme="majorHAnsi" w:cstheme="majorBidi"/>
      <w:b/>
      <w:bCs/>
      <w:i/>
      <w:iCs/>
      <w:color w:val="31B6FD" w:themeColor="accent1"/>
    </w:rPr>
  </w:style>
  <w:style w:type="character" w:customStyle="1" w:styleId="Heading5Char1">
    <w:name w:val="Heading 5 Char1"/>
    <w:basedOn w:val="DefaultParagraphFont"/>
    <w:uiPriority w:val="9"/>
    <w:semiHidden/>
    <w:rsid w:val="004B6EA0"/>
    <w:rPr>
      <w:rFonts w:asciiTheme="majorHAnsi" w:eastAsiaTheme="majorEastAsia" w:hAnsiTheme="majorHAnsi" w:cstheme="majorBidi"/>
      <w:color w:val="016194" w:themeColor="accent1" w:themeShade="7F"/>
    </w:rPr>
  </w:style>
  <w:style w:type="character" w:customStyle="1" w:styleId="Heading6Char1">
    <w:name w:val="Heading 6 Char1"/>
    <w:basedOn w:val="DefaultParagraphFont"/>
    <w:uiPriority w:val="9"/>
    <w:semiHidden/>
    <w:rsid w:val="004B6EA0"/>
    <w:rPr>
      <w:rFonts w:asciiTheme="majorHAnsi" w:eastAsiaTheme="majorEastAsia" w:hAnsiTheme="majorHAnsi" w:cstheme="majorBidi"/>
      <w:i/>
      <w:iCs/>
      <w:color w:val="016194" w:themeColor="accent1" w:themeShade="7F"/>
    </w:rPr>
  </w:style>
  <w:style w:type="character" w:customStyle="1" w:styleId="Heading7Char1">
    <w:name w:val="Heading 7 Char1"/>
    <w:basedOn w:val="DefaultParagraphFont"/>
    <w:uiPriority w:val="9"/>
    <w:semiHidden/>
    <w:rsid w:val="004B6EA0"/>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4B6EA0"/>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4B6EA0"/>
    <w:rPr>
      <w:rFonts w:asciiTheme="majorHAnsi" w:eastAsiaTheme="majorEastAsia" w:hAnsiTheme="majorHAnsi" w:cstheme="majorBidi"/>
      <w:i/>
      <w:iCs/>
      <w:color w:val="404040" w:themeColor="text1" w:themeTint="BF"/>
      <w:sz w:val="20"/>
      <w:szCs w:val="20"/>
    </w:rPr>
  </w:style>
  <w:style w:type="character" w:customStyle="1" w:styleId="TitleChar1">
    <w:name w:val="Title Char1"/>
    <w:basedOn w:val="DefaultParagraphFont"/>
    <w:uiPriority w:val="10"/>
    <w:rsid w:val="004B6EA0"/>
    <w:rPr>
      <w:rFonts w:asciiTheme="majorHAnsi" w:eastAsiaTheme="majorEastAsia" w:hAnsiTheme="majorHAnsi" w:cstheme="majorBidi"/>
      <w:color w:val="052E65" w:themeColor="text2" w:themeShade="BF"/>
      <w:spacing w:val="5"/>
      <w:kern w:val="28"/>
      <w:sz w:val="52"/>
      <w:szCs w:val="52"/>
    </w:rPr>
  </w:style>
  <w:style w:type="character" w:customStyle="1" w:styleId="SubtitleChar1">
    <w:name w:val="Subtitle Char1"/>
    <w:basedOn w:val="DefaultParagraphFont"/>
    <w:uiPriority w:val="11"/>
    <w:rsid w:val="004B6EA0"/>
    <w:rPr>
      <w:rFonts w:asciiTheme="majorHAnsi" w:eastAsiaTheme="majorEastAsia" w:hAnsiTheme="majorHAnsi" w:cstheme="majorBidi"/>
      <w:i/>
      <w:iCs/>
      <w:color w:val="31B6FD" w:themeColor="accent1"/>
      <w:spacing w:val="15"/>
      <w:sz w:val="24"/>
      <w:szCs w:val="24"/>
    </w:rPr>
  </w:style>
  <w:style w:type="character" w:customStyle="1" w:styleId="QuoteChar1">
    <w:name w:val="Quote Char1"/>
    <w:basedOn w:val="DefaultParagraphFont"/>
    <w:uiPriority w:val="29"/>
    <w:rsid w:val="004B6EA0"/>
    <w:rPr>
      <w:i/>
      <w:iCs/>
      <w:color w:val="000000" w:themeColor="text1"/>
    </w:rPr>
  </w:style>
  <w:style w:type="character" w:customStyle="1" w:styleId="IntenseQuoteChar1">
    <w:name w:val="Intense Quote Char1"/>
    <w:basedOn w:val="DefaultParagraphFont"/>
    <w:uiPriority w:val="30"/>
    <w:rsid w:val="004B6EA0"/>
    <w:rPr>
      <w:b/>
      <w:bCs/>
      <w:i/>
      <w:iCs/>
      <w:color w:val="31B6FD" w:themeColor="accent1"/>
    </w:rPr>
  </w:style>
  <w:style w:type="character" w:customStyle="1" w:styleId="HeaderChar1">
    <w:name w:val="Header Char1"/>
    <w:basedOn w:val="DefaultParagraphFont"/>
    <w:uiPriority w:val="99"/>
    <w:semiHidden/>
    <w:rsid w:val="004B6EA0"/>
  </w:style>
  <w:style w:type="character" w:customStyle="1" w:styleId="FooterChar1">
    <w:name w:val="Footer Char1"/>
    <w:basedOn w:val="DefaultParagraphFont"/>
    <w:uiPriority w:val="99"/>
    <w:semiHidden/>
    <w:rsid w:val="004B6EA0"/>
  </w:style>
  <w:style w:type="character" w:customStyle="1" w:styleId="BalloonTextChar1">
    <w:name w:val="Balloon Text Char1"/>
    <w:basedOn w:val="DefaultParagraphFont"/>
    <w:uiPriority w:val="99"/>
    <w:semiHidden/>
    <w:rsid w:val="004B6EA0"/>
    <w:rPr>
      <w:rFonts w:ascii="Tahoma" w:hAnsi="Tahoma" w:cs="Tahoma"/>
      <w:sz w:val="16"/>
      <w:szCs w:val="16"/>
    </w:rPr>
  </w:style>
  <w:style w:type="character" w:customStyle="1" w:styleId="CommentTextChar1">
    <w:name w:val="Comment Text Char1"/>
    <w:basedOn w:val="DefaultParagraphFont"/>
    <w:uiPriority w:val="99"/>
    <w:semiHidden/>
    <w:rsid w:val="004B6EA0"/>
    <w:rPr>
      <w:sz w:val="20"/>
      <w:szCs w:val="20"/>
    </w:rPr>
  </w:style>
  <w:style w:type="character" w:customStyle="1" w:styleId="CommentSubjectChar1">
    <w:name w:val="Comment Subject Char1"/>
    <w:basedOn w:val="CommentTextChar1"/>
    <w:uiPriority w:val="99"/>
    <w:semiHidden/>
    <w:rsid w:val="004B6EA0"/>
    <w:rPr>
      <w:b/>
      <w:bCs/>
      <w:sz w:val="20"/>
      <w:szCs w:val="20"/>
    </w:rPr>
  </w:style>
  <w:style w:type="table" w:styleId="MediumGrid1-Accent1">
    <w:name w:val="Medium Grid 1 Accent 1"/>
    <w:basedOn w:val="TableNormal"/>
    <w:uiPriority w:val="67"/>
    <w:rsid w:val="004B6EA0"/>
    <w:pPr>
      <w:spacing w:after="0" w:line="240" w:lineRule="auto"/>
    </w:pPr>
    <w:rPr>
      <w:rFonts w:asciiTheme="minorHAnsi" w:eastAsiaTheme="minorHAnsi" w:hAnsiTheme="minorHAnsi" w:cstheme="minorBidi"/>
    </w:rPr>
    <w:tblPr>
      <w:tblStyleRowBandSize w:val="1"/>
      <w:tblStyleColBandSize w:val="1"/>
      <w:tblBorders>
        <w:top w:val="single" w:sz="8" w:space="0" w:color="64C8FD" w:themeColor="accent1" w:themeTint="BF"/>
        <w:left w:val="single" w:sz="8" w:space="0" w:color="64C8FD" w:themeColor="accent1" w:themeTint="BF"/>
        <w:bottom w:val="single" w:sz="8" w:space="0" w:color="64C8FD" w:themeColor="accent1" w:themeTint="BF"/>
        <w:right w:val="single" w:sz="8" w:space="0" w:color="64C8FD" w:themeColor="accent1" w:themeTint="BF"/>
        <w:insideH w:val="single" w:sz="8" w:space="0" w:color="64C8FD" w:themeColor="accent1" w:themeTint="BF"/>
        <w:insideV w:val="single" w:sz="8" w:space="0" w:color="64C8FD" w:themeColor="accent1" w:themeTint="BF"/>
      </w:tblBorders>
    </w:tblPr>
    <w:tcPr>
      <w:shd w:val="clear" w:color="auto" w:fill="CBECFE" w:themeFill="accent1" w:themeFillTint="3F"/>
    </w:tcPr>
    <w:tblStylePr w:type="firstRow">
      <w:rPr>
        <w:b/>
        <w:bCs/>
      </w:rPr>
    </w:tblStylePr>
    <w:tblStylePr w:type="lastRow">
      <w:rPr>
        <w:b/>
        <w:bCs/>
      </w:rPr>
      <w:tblPr/>
      <w:tcPr>
        <w:tcBorders>
          <w:top w:val="single" w:sz="18" w:space="0" w:color="64C8FD" w:themeColor="accent1" w:themeTint="BF"/>
        </w:tcBorders>
      </w:tcPr>
    </w:tblStylePr>
    <w:tblStylePr w:type="firstCol">
      <w:rPr>
        <w:b/>
        <w:bCs/>
      </w:rPr>
    </w:tblStylePr>
    <w:tblStylePr w:type="lastCol">
      <w:rPr>
        <w:b/>
        <w:bCs/>
      </w:rPr>
    </w:tblStylePr>
    <w:tblStylePr w:type="band1Vert">
      <w:tblPr/>
      <w:tcPr>
        <w:shd w:val="clear" w:color="auto" w:fill="98DAFE" w:themeFill="accent1" w:themeFillTint="7F"/>
      </w:tcPr>
    </w:tblStylePr>
    <w:tblStylePr w:type="band1Horz">
      <w:tblPr/>
      <w:tcPr>
        <w:shd w:val="clear" w:color="auto" w:fill="98DAFE" w:themeFill="accent1" w:themeFillTint="7F"/>
      </w:tcPr>
    </w:tblStylePr>
  </w:style>
  <w:style w:type="table" w:customStyle="1" w:styleId="MediumGrid1-Accent212">
    <w:name w:val="Medium Grid 1 - Accent 212"/>
    <w:basedOn w:val="TableNormal"/>
    <w:next w:val="MediumGrid1-Accent2"/>
    <w:uiPriority w:val="67"/>
    <w:rsid w:val="004B6EA0"/>
    <w:pPr>
      <w:spacing w:after="0" w:line="240" w:lineRule="auto"/>
    </w:pPr>
    <w:rPr>
      <w:rFonts w:ascii="Cambria" w:eastAsia="Times New Roman" w:hAnsi="Cambria"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customStyle="1" w:styleId="MediumGrid1-Accent213">
    <w:name w:val="Medium Grid 1 - Accent 213"/>
    <w:basedOn w:val="TableNormal"/>
    <w:next w:val="MediumGrid1-Accent2"/>
    <w:uiPriority w:val="67"/>
    <w:rsid w:val="004B6EA0"/>
    <w:pPr>
      <w:spacing w:after="0" w:line="240" w:lineRule="auto"/>
    </w:pPr>
    <w:rPr>
      <w:rFonts w:ascii="Cambria" w:eastAsia="Times New Roman" w:hAnsi="Cambria"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customStyle="1" w:styleId="MediumGrid1-Accent214">
    <w:name w:val="Medium Grid 1 - Accent 214"/>
    <w:basedOn w:val="TableNormal"/>
    <w:next w:val="MediumGrid1-Accent2"/>
    <w:uiPriority w:val="67"/>
    <w:rsid w:val="004B6EA0"/>
    <w:pPr>
      <w:spacing w:after="0" w:line="240" w:lineRule="auto"/>
    </w:pPr>
    <w:rPr>
      <w:rFonts w:ascii="Cambria" w:eastAsia="Times New Roman" w:hAnsi="Cambria"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customStyle="1" w:styleId="ColorfulList-Accent212">
    <w:name w:val="Colorful List - Accent 212"/>
    <w:basedOn w:val="TableNormal"/>
    <w:next w:val="ColorfulList-Accent2"/>
    <w:uiPriority w:val="72"/>
    <w:rsid w:val="004B6EA0"/>
    <w:pPr>
      <w:spacing w:after="0" w:line="240" w:lineRule="auto"/>
    </w:pPr>
    <w:rPr>
      <w:rFonts w:ascii="Cambria" w:eastAsia="Times New Roman" w:hAnsi="Cambria" w:cs="Times New Roman"/>
      <w:color w:val="000000"/>
    </w:rPr>
    <w:tblPr>
      <w:tblStyleRowBandSize w:val="1"/>
      <w:tblStyleColBandSize w:val="1"/>
    </w:tblPr>
    <w:tcPr>
      <w:shd w:val="clear" w:color="auto" w:fill="ECF2FA"/>
    </w:tcPr>
    <w:tblStylePr w:type="firstRow">
      <w:rPr>
        <w:b/>
        <w:bCs/>
        <w:color w:val="FFFFFF"/>
      </w:rPr>
      <w:tblPr/>
      <w:tcPr>
        <w:tcBorders>
          <w:bottom w:val="single" w:sz="12" w:space="0" w:color="FFFFFF"/>
        </w:tcBorders>
        <w:shd w:val="clear" w:color="auto" w:fill="2B68B5"/>
      </w:tcPr>
    </w:tblStylePr>
    <w:tblStylePr w:type="lastRow">
      <w:rPr>
        <w:b/>
        <w:bCs/>
        <w:color w:val="2B68B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0F4"/>
      </w:tcPr>
    </w:tblStylePr>
    <w:tblStylePr w:type="band1Horz">
      <w:tblPr/>
      <w:tcPr>
        <w:shd w:val="clear" w:color="auto" w:fill="D9E6F6"/>
      </w:tcPr>
    </w:tblStylePr>
  </w:style>
  <w:style w:type="table" w:styleId="GridTable6Colorful-Accent2">
    <w:name w:val="Grid Table 6 Colorful Accent 2"/>
    <w:basedOn w:val="TableNormal"/>
    <w:uiPriority w:val="51"/>
    <w:rsid w:val="002819E1"/>
    <w:pPr>
      <w:spacing w:after="0" w:line="240" w:lineRule="auto"/>
    </w:pPr>
    <w:rPr>
      <w:color w:val="2861A9" w:themeColor="accent2" w:themeShade="BF"/>
    </w:rPr>
    <w:tblPr>
      <w:tblStyleRowBandSize w:val="1"/>
      <w:tblStyleColBandSize w:val="1"/>
      <w:tblBorders>
        <w:top w:val="single" w:sz="4" w:space="0" w:color="8FB5E4" w:themeColor="accent2" w:themeTint="99"/>
        <w:left w:val="single" w:sz="4" w:space="0" w:color="8FB5E4" w:themeColor="accent2" w:themeTint="99"/>
        <w:bottom w:val="single" w:sz="4" w:space="0" w:color="8FB5E4" w:themeColor="accent2" w:themeTint="99"/>
        <w:right w:val="single" w:sz="4" w:space="0" w:color="8FB5E4" w:themeColor="accent2" w:themeTint="99"/>
        <w:insideH w:val="single" w:sz="4" w:space="0" w:color="8FB5E4" w:themeColor="accent2" w:themeTint="99"/>
        <w:insideV w:val="single" w:sz="4" w:space="0" w:color="8FB5E4" w:themeColor="accent2" w:themeTint="99"/>
      </w:tblBorders>
    </w:tblPr>
    <w:tblStylePr w:type="firstRow">
      <w:rPr>
        <w:b/>
        <w:bCs/>
      </w:rPr>
      <w:tblPr/>
      <w:tcPr>
        <w:tcBorders>
          <w:bottom w:val="single" w:sz="12" w:space="0" w:color="8FB5E4" w:themeColor="accent2" w:themeTint="99"/>
        </w:tcBorders>
      </w:tcPr>
    </w:tblStylePr>
    <w:tblStylePr w:type="lastRow">
      <w:rPr>
        <w:b/>
        <w:bCs/>
      </w:rPr>
      <w:tblPr/>
      <w:tcPr>
        <w:tcBorders>
          <w:top w:val="double" w:sz="4" w:space="0" w:color="8FB5E4" w:themeColor="accent2" w:themeTint="99"/>
        </w:tcBorders>
      </w:tcPr>
    </w:tblStylePr>
    <w:tblStylePr w:type="firstCol">
      <w:rPr>
        <w:b/>
        <w:bCs/>
      </w:rPr>
    </w:tblStylePr>
    <w:tblStylePr w:type="lastCol">
      <w:rPr>
        <w:b/>
        <w:bCs/>
      </w:rPr>
    </w:tblStylePr>
    <w:tblStylePr w:type="band1Vert">
      <w:tblPr/>
      <w:tcPr>
        <w:shd w:val="clear" w:color="auto" w:fill="D9E6F6" w:themeFill="accent2" w:themeFillTint="33"/>
      </w:tcPr>
    </w:tblStylePr>
    <w:tblStylePr w:type="band1Horz">
      <w:tblPr/>
      <w:tcPr>
        <w:shd w:val="clear" w:color="auto" w:fill="D9E6F6" w:themeFill="accent2" w:themeFillTint="33"/>
      </w:tcPr>
    </w:tblStylePr>
  </w:style>
  <w:style w:type="table" w:customStyle="1" w:styleId="MediumGrid1-Accent22">
    <w:name w:val="Medium Grid 1 - Accent 22"/>
    <w:basedOn w:val="TableNormal"/>
    <w:next w:val="MediumGrid1-Accent2"/>
    <w:uiPriority w:val="67"/>
    <w:rsid w:val="003313F6"/>
    <w:pPr>
      <w:spacing w:after="0" w:line="240" w:lineRule="auto"/>
    </w:pPr>
    <w:rPr>
      <w:rFonts w:ascii="Calibri Light" w:eastAsia="Times New Roman" w:hAnsi="Calibri Light"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customStyle="1" w:styleId="MediumGrid1-Accent23">
    <w:name w:val="Medium Grid 1 - Accent 23"/>
    <w:basedOn w:val="TableNormal"/>
    <w:next w:val="MediumGrid1-Accent2"/>
    <w:uiPriority w:val="67"/>
    <w:rsid w:val="0030490D"/>
    <w:pPr>
      <w:spacing w:after="0" w:line="240" w:lineRule="auto"/>
    </w:pPr>
    <w:rPr>
      <w:rFonts w:ascii="Calibri Light" w:eastAsia="Times New Roman" w:hAnsi="Calibri Light"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customStyle="1" w:styleId="MediumGrid1-Accent24">
    <w:name w:val="Medium Grid 1 - Accent 24"/>
    <w:basedOn w:val="TableNormal"/>
    <w:next w:val="MediumGrid1-Accent2"/>
    <w:uiPriority w:val="67"/>
    <w:rsid w:val="00BC6619"/>
    <w:pPr>
      <w:spacing w:after="0" w:line="240" w:lineRule="auto"/>
    </w:pPr>
    <w:rPr>
      <w:rFonts w:ascii="Calibri Light" w:eastAsia="Times New Roman" w:hAnsi="Calibri Light"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customStyle="1" w:styleId="MediumGrid1-Accent221">
    <w:name w:val="Medium Grid 1 - Accent 221"/>
    <w:basedOn w:val="TableNormal"/>
    <w:next w:val="MediumGrid1-Accent2"/>
    <w:uiPriority w:val="67"/>
    <w:rsid w:val="00FB51FB"/>
    <w:pPr>
      <w:spacing w:after="0" w:line="240" w:lineRule="auto"/>
    </w:pPr>
    <w:rPr>
      <w:rFonts w:ascii="Calibri Light" w:eastAsia="Times New Roman" w:hAnsi="Calibri Light"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customStyle="1" w:styleId="MediumGrid1-Accent25">
    <w:name w:val="Medium Grid 1 - Accent 25"/>
    <w:basedOn w:val="TableNormal"/>
    <w:next w:val="MediumGrid1-Accent2"/>
    <w:uiPriority w:val="67"/>
    <w:rsid w:val="00305B6E"/>
    <w:pPr>
      <w:spacing w:after="0" w:line="240" w:lineRule="auto"/>
    </w:p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character" w:styleId="FollowedHyperlink">
    <w:name w:val="FollowedHyperlink"/>
    <w:basedOn w:val="DefaultParagraphFont"/>
    <w:uiPriority w:val="99"/>
    <w:semiHidden/>
    <w:unhideWhenUsed/>
    <w:rsid w:val="002A7213"/>
    <w:rPr>
      <w:color w:val="5EAEFF" w:themeColor="followedHyperlink"/>
      <w:u w:val="single"/>
    </w:rPr>
  </w:style>
  <w:style w:type="character" w:styleId="PlaceholderText">
    <w:name w:val="Placeholder Text"/>
    <w:basedOn w:val="DefaultParagraphFont"/>
    <w:uiPriority w:val="99"/>
    <w:semiHidden/>
    <w:rsid w:val="000F4EE8"/>
    <w:rPr>
      <w:color w:val="808080"/>
    </w:rPr>
  </w:style>
  <w:style w:type="paragraph" w:styleId="TOC3">
    <w:name w:val="toc 3"/>
    <w:basedOn w:val="Normal"/>
    <w:next w:val="Normal"/>
    <w:autoRedefine/>
    <w:uiPriority w:val="39"/>
    <w:unhideWhenUsed/>
    <w:rsid w:val="00FF3836"/>
    <w:pPr>
      <w:spacing w:after="100"/>
      <w:ind w:left="440"/>
    </w:pPr>
  </w:style>
  <w:style w:type="paragraph" w:styleId="TOC2">
    <w:name w:val="toc 2"/>
    <w:basedOn w:val="Normal"/>
    <w:next w:val="Normal"/>
    <w:autoRedefine/>
    <w:uiPriority w:val="39"/>
    <w:unhideWhenUsed/>
    <w:rsid w:val="00FF3836"/>
    <w:pPr>
      <w:spacing w:after="100"/>
      <w:ind w:left="220"/>
    </w:pPr>
  </w:style>
  <w:style w:type="paragraph" w:styleId="TOC4">
    <w:name w:val="toc 4"/>
    <w:basedOn w:val="Normal"/>
    <w:next w:val="Normal"/>
    <w:autoRedefine/>
    <w:uiPriority w:val="39"/>
    <w:unhideWhenUsed/>
    <w:rsid w:val="00FF3836"/>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FF3836"/>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FF3836"/>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FF3836"/>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FF3836"/>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FF3836"/>
    <w:pPr>
      <w:spacing w:after="100" w:line="259" w:lineRule="auto"/>
      <w:ind w:left="1760"/>
    </w:pPr>
    <w:rPr>
      <w:rFonts w:asciiTheme="minorHAnsi" w:eastAsiaTheme="minorEastAsia" w:hAnsiTheme="minorHAnsi" w:cstheme="minorBidi"/>
    </w:rPr>
  </w:style>
  <w:style w:type="numbering" w:customStyle="1" w:styleId="NoList2">
    <w:name w:val="No List2"/>
    <w:next w:val="NoList"/>
    <w:uiPriority w:val="99"/>
    <w:semiHidden/>
    <w:unhideWhenUsed/>
    <w:rsid w:val="00210B4C"/>
  </w:style>
  <w:style w:type="table" w:customStyle="1" w:styleId="MediumGrid1-Accent26">
    <w:name w:val="Medium Grid 1 - Accent 26"/>
    <w:basedOn w:val="TableNormal"/>
    <w:next w:val="MediumGrid1-Accent2"/>
    <w:uiPriority w:val="67"/>
    <w:rsid w:val="00210B4C"/>
    <w:pPr>
      <w:spacing w:after="0" w:line="240" w:lineRule="auto"/>
    </w:pPr>
    <w:tblPr>
      <w:tblStyleRowBandSize w:val="1"/>
      <w:tblStyleColBandSize w:val="1"/>
      <w:tblBorders>
        <w:top w:val="single" w:sz="8" w:space="0" w:color="73A2DE" w:themeColor="accent2" w:themeTint="BF"/>
        <w:left w:val="single" w:sz="8" w:space="0" w:color="73A2DE" w:themeColor="accent2" w:themeTint="BF"/>
        <w:bottom w:val="single" w:sz="8" w:space="0" w:color="73A2DE" w:themeColor="accent2" w:themeTint="BF"/>
        <w:right w:val="single" w:sz="8" w:space="0" w:color="73A2DE" w:themeColor="accent2" w:themeTint="BF"/>
        <w:insideH w:val="single" w:sz="8" w:space="0" w:color="73A2DE" w:themeColor="accent2" w:themeTint="BF"/>
        <w:insideV w:val="single" w:sz="8" w:space="0" w:color="73A2DE" w:themeColor="accent2" w:themeTint="BF"/>
      </w:tblBorders>
    </w:tblPr>
    <w:tcPr>
      <w:shd w:val="clear" w:color="auto" w:fill="D0E0F4" w:themeFill="accent2" w:themeFillTint="3F"/>
    </w:tcPr>
    <w:tblStylePr w:type="firstRow">
      <w:rPr>
        <w:b/>
        <w:bCs/>
      </w:rPr>
    </w:tblStylePr>
    <w:tblStylePr w:type="lastRow">
      <w:rPr>
        <w:b/>
        <w:bCs/>
      </w:rPr>
      <w:tblPr/>
      <w:tcPr>
        <w:tcBorders>
          <w:top w:val="single" w:sz="18" w:space="0" w:color="73A2DE" w:themeColor="accent2" w:themeTint="BF"/>
        </w:tcBorders>
      </w:tcPr>
    </w:tblStylePr>
    <w:tblStylePr w:type="firstCol">
      <w:rPr>
        <w:b/>
        <w:bCs/>
      </w:rPr>
    </w:tblStylePr>
    <w:tblStylePr w:type="lastCol">
      <w:rPr>
        <w:b/>
        <w:bCs/>
      </w:rPr>
    </w:tblStylePr>
    <w:tblStylePr w:type="band1Vert">
      <w:tblPr/>
      <w:tcPr>
        <w:shd w:val="clear" w:color="auto" w:fill="A2C1E9" w:themeFill="accent2" w:themeFillTint="7F"/>
      </w:tcPr>
    </w:tblStylePr>
    <w:tblStylePr w:type="band1Horz">
      <w:tblPr/>
      <w:tcPr>
        <w:shd w:val="clear" w:color="auto" w:fill="A2C1E9" w:themeFill="accent2" w:themeFillTint="7F"/>
      </w:tcPr>
    </w:tblStylePr>
  </w:style>
  <w:style w:type="table" w:customStyle="1" w:styleId="ColorfulList-Accent22">
    <w:name w:val="Colorful List - Accent 22"/>
    <w:basedOn w:val="TableNormal"/>
    <w:next w:val="ColorfulList-Accent2"/>
    <w:uiPriority w:val="72"/>
    <w:rsid w:val="00210B4C"/>
    <w:pPr>
      <w:spacing w:after="0" w:line="240" w:lineRule="auto"/>
    </w:pPr>
    <w:rPr>
      <w:color w:val="000000" w:themeColor="text1"/>
    </w:rPr>
    <w:tblPr>
      <w:tblStyleRowBandSize w:val="1"/>
      <w:tblStyleColBandSize w:val="1"/>
    </w:tblPr>
    <w:tcPr>
      <w:shd w:val="clear" w:color="auto" w:fill="ECF2FA" w:themeFill="accent2" w:themeFillTint="19"/>
    </w:tcPr>
    <w:tblStylePr w:type="firstRow">
      <w:rPr>
        <w:b/>
        <w:bCs/>
        <w:color w:val="FFFFFF" w:themeColor="background1"/>
      </w:rPr>
      <w:tblPr/>
      <w:tcPr>
        <w:tcBorders>
          <w:bottom w:val="single" w:sz="12" w:space="0" w:color="FFFFFF" w:themeColor="background1"/>
        </w:tcBorders>
        <w:shd w:val="clear" w:color="auto" w:fill="2B68B5" w:themeFill="accent2" w:themeFillShade="CC"/>
      </w:tcPr>
    </w:tblStylePr>
    <w:tblStylePr w:type="lastRow">
      <w:rPr>
        <w:b/>
        <w:bCs/>
        <w:color w:val="2B68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0F4" w:themeFill="accent2" w:themeFillTint="3F"/>
      </w:tcPr>
    </w:tblStylePr>
    <w:tblStylePr w:type="band1Horz">
      <w:tblPr/>
      <w:tcPr>
        <w:shd w:val="clear" w:color="auto" w:fill="D9E6F6" w:themeFill="accent2" w:themeFillTint="33"/>
      </w:tcPr>
    </w:tblStylePr>
  </w:style>
  <w:style w:type="table" w:customStyle="1" w:styleId="MediumGrid1-Accent215">
    <w:name w:val="Medium Grid 1 - Accent 215"/>
    <w:basedOn w:val="TableNormal"/>
    <w:next w:val="MediumGrid1-Accent2"/>
    <w:uiPriority w:val="67"/>
    <w:rsid w:val="00210B4C"/>
    <w:pPr>
      <w:spacing w:after="0" w:line="240" w:lineRule="auto"/>
    </w:pPr>
    <w:rPr>
      <w:rFonts w:ascii="Cambria" w:eastAsia="Times New Roman" w:hAnsi="Cambria"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customStyle="1" w:styleId="ColorfulList-Accent213">
    <w:name w:val="Colorful List - Accent 213"/>
    <w:basedOn w:val="TableNormal"/>
    <w:next w:val="ColorfulList-Accent2"/>
    <w:uiPriority w:val="72"/>
    <w:rsid w:val="00210B4C"/>
    <w:pPr>
      <w:spacing w:after="0" w:line="240" w:lineRule="auto"/>
    </w:pPr>
    <w:rPr>
      <w:rFonts w:ascii="Cambria" w:eastAsia="Times New Roman" w:hAnsi="Cambria" w:cs="Times New Roman"/>
      <w:color w:val="000000"/>
    </w:rPr>
    <w:tblPr>
      <w:tblStyleRowBandSize w:val="1"/>
      <w:tblStyleColBandSize w:val="1"/>
    </w:tblPr>
    <w:tcPr>
      <w:shd w:val="clear" w:color="auto" w:fill="ECF2FA"/>
    </w:tcPr>
    <w:tblStylePr w:type="firstRow">
      <w:rPr>
        <w:b/>
        <w:bCs/>
        <w:color w:val="FFFFFF"/>
      </w:rPr>
      <w:tblPr/>
      <w:tcPr>
        <w:tcBorders>
          <w:bottom w:val="single" w:sz="12" w:space="0" w:color="FFFFFF"/>
        </w:tcBorders>
        <w:shd w:val="clear" w:color="auto" w:fill="2B68B5"/>
      </w:tcPr>
    </w:tblStylePr>
    <w:tblStylePr w:type="lastRow">
      <w:rPr>
        <w:b/>
        <w:bCs/>
        <w:color w:val="2B68B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0F4"/>
      </w:tcPr>
    </w:tblStylePr>
    <w:tblStylePr w:type="band1Horz">
      <w:tblPr/>
      <w:tcPr>
        <w:shd w:val="clear" w:color="auto" w:fill="D9E6F6"/>
      </w:tcPr>
    </w:tblStylePr>
  </w:style>
  <w:style w:type="table" w:customStyle="1" w:styleId="TableGrid2">
    <w:name w:val="Table Grid2"/>
    <w:basedOn w:val="TableNormal"/>
    <w:next w:val="TableGrid"/>
    <w:uiPriority w:val="59"/>
    <w:rsid w:val="00210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2">
    <w:name w:val="Medium Grid 3 - Accent 12"/>
    <w:basedOn w:val="TableNormal"/>
    <w:next w:val="MediumGrid3-Accent1"/>
    <w:uiPriority w:val="69"/>
    <w:rsid w:val="00210B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C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1B6F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1B6F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1B6F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1B6F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DAF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DAFE" w:themeFill="accent1" w:themeFillTint="7F"/>
      </w:tcPr>
    </w:tblStylePr>
  </w:style>
  <w:style w:type="table" w:customStyle="1" w:styleId="ColorfulShading-Accent12">
    <w:name w:val="Colorful Shading - Accent 12"/>
    <w:basedOn w:val="TableNormal"/>
    <w:next w:val="ColorfulShading-Accent1"/>
    <w:uiPriority w:val="71"/>
    <w:rsid w:val="00210B4C"/>
    <w:pPr>
      <w:spacing w:after="0" w:line="240" w:lineRule="auto"/>
    </w:pPr>
    <w:rPr>
      <w:color w:val="000000" w:themeColor="text1"/>
    </w:rPr>
    <w:tblPr>
      <w:tblStyleRowBandSize w:val="1"/>
      <w:tblStyleColBandSize w:val="1"/>
      <w:tblBorders>
        <w:top w:val="single" w:sz="24" w:space="0" w:color="4584D3" w:themeColor="accent2"/>
        <w:left w:val="single" w:sz="4" w:space="0" w:color="31B6FD" w:themeColor="accent1"/>
        <w:bottom w:val="single" w:sz="4" w:space="0" w:color="31B6FD" w:themeColor="accent1"/>
        <w:right w:val="single" w:sz="4" w:space="0" w:color="31B6FD" w:themeColor="accent1"/>
        <w:insideH w:val="single" w:sz="4" w:space="0" w:color="FFFFFF" w:themeColor="background1"/>
        <w:insideV w:val="single" w:sz="4" w:space="0" w:color="FFFFFF" w:themeColor="background1"/>
      </w:tblBorders>
    </w:tblPr>
    <w:tcPr>
      <w:shd w:val="clear" w:color="auto" w:fill="EAF7FE" w:themeFill="accent1" w:themeFillTint="19"/>
    </w:tcPr>
    <w:tblStylePr w:type="firstRow">
      <w:rPr>
        <w:b/>
        <w:bCs/>
      </w:rPr>
      <w:tblPr/>
      <w:tcPr>
        <w:tcBorders>
          <w:top w:val="nil"/>
          <w:left w:val="nil"/>
          <w:bottom w:val="single" w:sz="24" w:space="0" w:color="4584D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75B3" w:themeFill="accent1" w:themeFillShade="99"/>
      </w:tcPr>
    </w:tblStylePr>
    <w:tblStylePr w:type="firstCol">
      <w:rPr>
        <w:color w:val="FFFFFF" w:themeColor="background1"/>
      </w:rPr>
      <w:tblPr/>
      <w:tcPr>
        <w:tcBorders>
          <w:top w:val="nil"/>
          <w:left w:val="nil"/>
          <w:bottom w:val="nil"/>
          <w:right w:val="nil"/>
          <w:insideH w:val="single" w:sz="4" w:space="0" w:color="0175B3" w:themeColor="accent1" w:themeShade="99"/>
          <w:insideV w:val="nil"/>
        </w:tcBorders>
        <w:shd w:val="clear" w:color="auto" w:fill="0175B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75B3" w:themeFill="accent1" w:themeFillShade="99"/>
      </w:tcPr>
    </w:tblStylePr>
    <w:tblStylePr w:type="band1Vert">
      <w:tblPr/>
      <w:tcPr>
        <w:shd w:val="clear" w:color="auto" w:fill="ACE1FE" w:themeFill="accent1" w:themeFillTint="66"/>
      </w:tcPr>
    </w:tblStylePr>
    <w:tblStylePr w:type="band1Horz">
      <w:tblPr/>
      <w:tcPr>
        <w:shd w:val="clear" w:color="auto" w:fill="98DAFE" w:themeFill="accent1" w:themeFillTint="7F"/>
      </w:tcPr>
    </w:tblStylePr>
    <w:tblStylePr w:type="neCell">
      <w:rPr>
        <w:color w:val="000000" w:themeColor="text1"/>
      </w:rPr>
    </w:tblStylePr>
    <w:tblStylePr w:type="nwCell">
      <w:rPr>
        <w:color w:val="000000" w:themeColor="text1"/>
      </w:rPr>
    </w:tblStylePr>
  </w:style>
  <w:style w:type="table" w:customStyle="1" w:styleId="MediumGrid3-Accent22">
    <w:name w:val="Medium Grid 3 - Accent 22"/>
    <w:basedOn w:val="TableNormal"/>
    <w:next w:val="MediumGrid3-Accent2"/>
    <w:uiPriority w:val="69"/>
    <w:rsid w:val="00210B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0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584D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584D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584D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584D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C1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C1E9" w:themeFill="accent2" w:themeFillTint="7F"/>
      </w:tcPr>
    </w:tblStylePr>
  </w:style>
  <w:style w:type="table" w:customStyle="1" w:styleId="MediumGrid1-Accent2111">
    <w:name w:val="Medium Grid 1 - Accent 2111"/>
    <w:basedOn w:val="TableNormal"/>
    <w:next w:val="MediumGrid1-Accent2"/>
    <w:uiPriority w:val="67"/>
    <w:rsid w:val="00210B4C"/>
    <w:pPr>
      <w:spacing w:after="0" w:line="240" w:lineRule="auto"/>
    </w:pPr>
    <w:rPr>
      <w:rFonts w:ascii="Cambria" w:eastAsia="Times New Roman" w:hAnsi="Cambria"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numbering" w:customStyle="1" w:styleId="NoList11">
    <w:name w:val="No List11"/>
    <w:next w:val="NoList"/>
    <w:uiPriority w:val="99"/>
    <w:semiHidden/>
    <w:unhideWhenUsed/>
    <w:rsid w:val="00210B4C"/>
  </w:style>
  <w:style w:type="table" w:customStyle="1" w:styleId="TableGrid11">
    <w:name w:val="Table Grid11"/>
    <w:basedOn w:val="TableNormal"/>
    <w:next w:val="TableGrid"/>
    <w:uiPriority w:val="59"/>
    <w:rsid w:val="00210B4C"/>
    <w:pPr>
      <w:spacing w:after="0" w:line="240" w:lineRule="auto"/>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1">
    <w:name w:val="Medium Grid 3 - Accent 111"/>
    <w:basedOn w:val="TableNormal"/>
    <w:next w:val="MediumGrid3-Accent1"/>
    <w:uiPriority w:val="69"/>
    <w:rsid w:val="00210B4C"/>
    <w:pPr>
      <w:spacing w:after="0" w:line="240" w:lineRule="auto"/>
    </w:pPr>
    <w:rPr>
      <w:rFonts w:ascii="Cambria" w:eastAsia="Times New Roman"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EC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31B6F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31B6F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31B6F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31B6F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8DA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8DAFE"/>
      </w:tcPr>
    </w:tblStylePr>
  </w:style>
  <w:style w:type="table" w:customStyle="1" w:styleId="ColorfulShading-Accent111">
    <w:name w:val="Colorful Shading - Accent 111"/>
    <w:basedOn w:val="TableNormal"/>
    <w:next w:val="ColorfulShading-Accent1"/>
    <w:uiPriority w:val="71"/>
    <w:rsid w:val="00210B4C"/>
    <w:pPr>
      <w:spacing w:after="0" w:line="240" w:lineRule="auto"/>
    </w:pPr>
    <w:rPr>
      <w:rFonts w:ascii="Cambria" w:eastAsia="Times New Roman" w:hAnsi="Cambria" w:cs="Times New Roman"/>
      <w:color w:val="000000"/>
    </w:rPr>
    <w:tblPr>
      <w:tblStyleRowBandSize w:val="1"/>
      <w:tblStyleColBandSize w:val="1"/>
      <w:tblBorders>
        <w:top w:val="single" w:sz="24" w:space="0" w:color="4584D3"/>
        <w:left w:val="single" w:sz="4" w:space="0" w:color="31B6FD"/>
        <w:bottom w:val="single" w:sz="4" w:space="0" w:color="31B6FD"/>
        <w:right w:val="single" w:sz="4" w:space="0" w:color="31B6FD"/>
        <w:insideH w:val="single" w:sz="4" w:space="0" w:color="FFFFFF"/>
        <w:insideV w:val="single" w:sz="4" w:space="0" w:color="FFFFFF"/>
      </w:tblBorders>
    </w:tblPr>
    <w:tcPr>
      <w:shd w:val="clear" w:color="auto" w:fill="EAF7FE"/>
    </w:tcPr>
    <w:tblStylePr w:type="firstRow">
      <w:rPr>
        <w:b/>
        <w:bCs/>
      </w:rPr>
      <w:tblPr/>
      <w:tcPr>
        <w:tcBorders>
          <w:top w:val="nil"/>
          <w:left w:val="nil"/>
          <w:bottom w:val="single" w:sz="24" w:space="0" w:color="4584D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175B3"/>
      </w:tcPr>
    </w:tblStylePr>
    <w:tblStylePr w:type="firstCol">
      <w:rPr>
        <w:color w:val="FFFFFF"/>
      </w:rPr>
      <w:tblPr/>
      <w:tcPr>
        <w:tcBorders>
          <w:top w:val="nil"/>
          <w:left w:val="nil"/>
          <w:bottom w:val="nil"/>
          <w:right w:val="nil"/>
          <w:insideH w:val="single" w:sz="4" w:space="0" w:color="0175B3"/>
          <w:insideV w:val="nil"/>
        </w:tcBorders>
        <w:shd w:val="clear" w:color="auto" w:fill="0175B3"/>
      </w:tcPr>
    </w:tblStylePr>
    <w:tblStylePr w:type="lastCol">
      <w:rPr>
        <w:color w:val="FFFFFF"/>
      </w:rPr>
      <w:tblPr/>
      <w:tcPr>
        <w:tcBorders>
          <w:top w:val="nil"/>
          <w:left w:val="nil"/>
          <w:bottom w:val="nil"/>
          <w:right w:val="nil"/>
          <w:insideH w:val="nil"/>
          <w:insideV w:val="nil"/>
        </w:tcBorders>
        <w:shd w:val="clear" w:color="auto" w:fill="0175B3"/>
      </w:tcPr>
    </w:tblStylePr>
    <w:tblStylePr w:type="band1Vert">
      <w:tblPr/>
      <w:tcPr>
        <w:shd w:val="clear" w:color="auto" w:fill="ACE1FE"/>
      </w:tcPr>
    </w:tblStylePr>
    <w:tblStylePr w:type="band1Horz">
      <w:tblPr/>
      <w:tcPr>
        <w:shd w:val="clear" w:color="auto" w:fill="98DAFE"/>
      </w:tcPr>
    </w:tblStylePr>
    <w:tblStylePr w:type="neCell">
      <w:rPr>
        <w:color w:val="000000"/>
      </w:rPr>
    </w:tblStylePr>
    <w:tblStylePr w:type="nwCell">
      <w:rPr>
        <w:color w:val="000000"/>
      </w:rPr>
    </w:tblStylePr>
  </w:style>
  <w:style w:type="table" w:customStyle="1" w:styleId="MediumGrid3-Accent211">
    <w:name w:val="Medium Grid 3 - Accent 211"/>
    <w:basedOn w:val="TableNormal"/>
    <w:next w:val="MediumGrid3-Accent2"/>
    <w:uiPriority w:val="69"/>
    <w:rsid w:val="00210B4C"/>
    <w:pPr>
      <w:spacing w:after="0" w:line="240" w:lineRule="auto"/>
    </w:pPr>
    <w:rPr>
      <w:rFonts w:ascii="Cambria" w:eastAsia="Times New Roman"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E0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584D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584D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584D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584D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2C1E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2C1E9"/>
      </w:tcPr>
    </w:tblStylePr>
  </w:style>
  <w:style w:type="table" w:customStyle="1" w:styleId="ColorfulList-Accent2111">
    <w:name w:val="Colorful List - Accent 2111"/>
    <w:basedOn w:val="TableNormal"/>
    <w:next w:val="ColorfulList-Accent2"/>
    <w:uiPriority w:val="72"/>
    <w:rsid w:val="00210B4C"/>
    <w:pPr>
      <w:spacing w:after="0" w:line="240" w:lineRule="auto"/>
    </w:pPr>
    <w:rPr>
      <w:rFonts w:ascii="Cambria" w:eastAsia="Times New Roman" w:hAnsi="Cambria" w:cs="Times New Roman"/>
      <w:color w:val="000000"/>
    </w:rPr>
    <w:tblPr>
      <w:tblStyleRowBandSize w:val="1"/>
      <w:tblStyleColBandSize w:val="1"/>
    </w:tblPr>
    <w:tcPr>
      <w:shd w:val="clear" w:color="auto" w:fill="ECF2FA"/>
    </w:tcPr>
    <w:tblStylePr w:type="firstRow">
      <w:rPr>
        <w:b/>
        <w:bCs/>
        <w:color w:val="FFFFFF"/>
      </w:rPr>
      <w:tblPr/>
      <w:tcPr>
        <w:tcBorders>
          <w:bottom w:val="single" w:sz="12" w:space="0" w:color="FFFFFF"/>
        </w:tcBorders>
        <w:shd w:val="clear" w:color="auto" w:fill="2B68B5"/>
      </w:tcPr>
    </w:tblStylePr>
    <w:tblStylePr w:type="lastRow">
      <w:rPr>
        <w:b/>
        <w:bCs/>
        <w:color w:val="2B68B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0F4"/>
      </w:tcPr>
    </w:tblStylePr>
    <w:tblStylePr w:type="band1Horz">
      <w:tblPr/>
      <w:tcPr>
        <w:shd w:val="clear" w:color="auto" w:fill="D9E6F6"/>
      </w:tcPr>
    </w:tblStylePr>
  </w:style>
  <w:style w:type="table" w:customStyle="1" w:styleId="MediumGrid1-Accent11">
    <w:name w:val="Medium Grid 1 - Accent 11"/>
    <w:basedOn w:val="TableNormal"/>
    <w:next w:val="MediumGrid1-Accent1"/>
    <w:uiPriority w:val="67"/>
    <w:rsid w:val="00210B4C"/>
    <w:pPr>
      <w:spacing w:after="0" w:line="240" w:lineRule="auto"/>
    </w:pPr>
    <w:rPr>
      <w:rFonts w:asciiTheme="minorHAnsi" w:eastAsiaTheme="minorHAnsi" w:hAnsiTheme="minorHAnsi" w:cstheme="minorBidi"/>
    </w:rPr>
    <w:tblPr>
      <w:tblStyleRowBandSize w:val="1"/>
      <w:tblStyleColBandSize w:val="1"/>
      <w:tblBorders>
        <w:top w:val="single" w:sz="8" w:space="0" w:color="64C8FD" w:themeColor="accent1" w:themeTint="BF"/>
        <w:left w:val="single" w:sz="8" w:space="0" w:color="64C8FD" w:themeColor="accent1" w:themeTint="BF"/>
        <w:bottom w:val="single" w:sz="8" w:space="0" w:color="64C8FD" w:themeColor="accent1" w:themeTint="BF"/>
        <w:right w:val="single" w:sz="8" w:space="0" w:color="64C8FD" w:themeColor="accent1" w:themeTint="BF"/>
        <w:insideH w:val="single" w:sz="8" w:space="0" w:color="64C8FD" w:themeColor="accent1" w:themeTint="BF"/>
        <w:insideV w:val="single" w:sz="8" w:space="0" w:color="64C8FD" w:themeColor="accent1" w:themeTint="BF"/>
      </w:tblBorders>
    </w:tblPr>
    <w:tcPr>
      <w:shd w:val="clear" w:color="auto" w:fill="CBECFE" w:themeFill="accent1" w:themeFillTint="3F"/>
    </w:tcPr>
    <w:tblStylePr w:type="firstRow">
      <w:rPr>
        <w:b/>
        <w:bCs/>
      </w:rPr>
    </w:tblStylePr>
    <w:tblStylePr w:type="lastRow">
      <w:rPr>
        <w:b/>
        <w:bCs/>
      </w:rPr>
      <w:tblPr/>
      <w:tcPr>
        <w:tcBorders>
          <w:top w:val="single" w:sz="18" w:space="0" w:color="64C8FD" w:themeColor="accent1" w:themeTint="BF"/>
        </w:tcBorders>
      </w:tcPr>
    </w:tblStylePr>
    <w:tblStylePr w:type="firstCol">
      <w:rPr>
        <w:b/>
        <w:bCs/>
      </w:rPr>
    </w:tblStylePr>
    <w:tblStylePr w:type="lastCol">
      <w:rPr>
        <w:b/>
        <w:bCs/>
      </w:rPr>
    </w:tblStylePr>
    <w:tblStylePr w:type="band1Vert">
      <w:tblPr/>
      <w:tcPr>
        <w:shd w:val="clear" w:color="auto" w:fill="98DAFE" w:themeFill="accent1" w:themeFillTint="7F"/>
      </w:tcPr>
    </w:tblStylePr>
    <w:tblStylePr w:type="band1Horz">
      <w:tblPr/>
      <w:tcPr>
        <w:shd w:val="clear" w:color="auto" w:fill="98DAFE" w:themeFill="accent1" w:themeFillTint="7F"/>
      </w:tcPr>
    </w:tblStylePr>
  </w:style>
  <w:style w:type="table" w:customStyle="1" w:styleId="MediumGrid1-Accent2121">
    <w:name w:val="Medium Grid 1 - Accent 2121"/>
    <w:basedOn w:val="TableNormal"/>
    <w:next w:val="MediumGrid1-Accent2"/>
    <w:uiPriority w:val="67"/>
    <w:rsid w:val="00210B4C"/>
    <w:pPr>
      <w:spacing w:after="0" w:line="240" w:lineRule="auto"/>
    </w:pPr>
    <w:rPr>
      <w:rFonts w:ascii="Cambria" w:eastAsia="Times New Roman" w:hAnsi="Cambria"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customStyle="1" w:styleId="MediumGrid1-Accent2131">
    <w:name w:val="Medium Grid 1 - Accent 2131"/>
    <w:basedOn w:val="TableNormal"/>
    <w:next w:val="MediumGrid1-Accent2"/>
    <w:uiPriority w:val="67"/>
    <w:rsid w:val="00210B4C"/>
    <w:pPr>
      <w:spacing w:after="0" w:line="240" w:lineRule="auto"/>
    </w:pPr>
    <w:rPr>
      <w:rFonts w:ascii="Cambria" w:eastAsia="Times New Roman" w:hAnsi="Cambria"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customStyle="1" w:styleId="MediumGrid1-Accent2141">
    <w:name w:val="Medium Grid 1 - Accent 2141"/>
    <w:basedOn w:val="TableNormal"/>
    <w:next w:val="MediumGrid1-Accent2"/>
    <w:uiPriority w:val="67"/>
    <w:rsid w:val="00210B4C"/>
    <w:pPr>
      <w:spacing w:after="0" w:line="240" w:lineRule="auto"/>
    </w:pPr>
    <w:rPr>
      <w:rFonts w:ascii="Cambria" w:eastAsia="Times New Roman" w:hAnsi="Cambria"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customStyle="1" w:styleId="ColorfulList-Accent2121">
    <w:name w:val="Colorful List - Accent 2121"/>
    <w:basedOn w:val="TableNormal"/>
    <w:next w:val="ColorfulList-Accent2"/>
    <w:uiPriority w:val="72"/>
    <w:rsid w:val="00210B4C"/>
    <w:pPr>
      <w:spacing w:after="0" w:line="240" w:lineRule="auto"/>
    </w:pPr>
    <w:rPr>
      <w:rFonts w:ascii="Cambria" w:eastAsia="Times New Roman" w:hAnsi="Cambria" w:cs="Times New Roman"/>
      <w:color w:val="000000"/>
    </w:rPr>
    <w:tblPr>
      <w:tblStyleRowBandSize w:val="1"/>
      <w:tblStyleColBandSize w:val="1"/>
    </w:tblPr>
    <w:tcPr>
      <w:shd w:val="clear" w:color="auto" w:fill="ECF2FA"/>
    </w:tcPr>
    <w:tblStylePr w:type="firstRow">
      <w:rPr>
        <w:b/>
        <w:bCs/>
        <w:color w:val="FFFFFF"/>
      </w:rPr>
      <w:tblPr/>
      <w:tcPr>
        <w:tcBorders>
          <w:bottom w:val="single" w:sz="12" w:space="0" w:color="FFFFFF"/>
        </w:tcBorders>
        <w:shd w:val="clear" w:color="auto" w:fill="2B68B5"/>
      </w:tcPr>
    </w:tblStylePr>
    <w:tblStylePr w:type="lastRow">
      <w:rPr>
        <w:b/>
        <w:bCs/>
        <w:color w:val="2B68B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0F4"/>
      </w:tcPr>
    </w:tblStylePr>
    <w:tblStylePr w:type="band1Horz">
      <w:tblPr/>
      <w:tcPr>
        <w:shd w:val="clear" w:color="auto" w:fill="D9E6F6"/>
      </w:tcPr>
    </w:tblStylePr>
  </w:style>
  <w:style w:type="table" w:customStyle="1" w:styleId="GridTable6Colorful-Accent21">
    <w:name w:val="Grid Table 6 Colorful - Accent 21"/>
    <w:basedOn w:val="TableNormal"/>
    <w:next w:val="GridTable6Colorful-Accent2"/>
    <w:uiPriority w:val="51"/>
    <w:rsid w:val="00210B4C"/>
    <w:pPr>
      <w:spacing w:after="0" w:line="240" w:lineRule="auto"/>
    </w:pPr>
    <w:rPr>
      <w:color w:val="2861A9" w:themeColor="accent2" w:themeShade="BF"/>
    </w:rPr>
    <w:tblPr>
      <w:tblStyleRowBandSize w:val="1"/>
      <w:tblStyleColBandSize w:val="1"/>
      <w:tblBorders>
        <w:top w:val="single" w:sz="4" w:space="0" w:color="8FB5E4" w:themeColor="accent2" w:themeTint="99"/>
        <w:left w:val="single" w:sz="4" w:space="0" w:color="8FB5E4" w:themeColor="accent2" w:themeTint="99"/>
        <w:bottom w:val="single" w:sz="4" w:space="0" w:color="8FB5E4" w:themeColor="accent2" w:themeTint="99"/>
        <w:right w:val="single" w:sz="4" w:space="0" w:color="8FB5E4" w:themeColor="accent2" w:themeTint="99"/>
        <w:insideH w:val="single" w:sz="4" w:space="0" w:color="8FB5E4" w:themeColor="accent2" w:themeTint="99"/>
        <w:insideV w:val="single" w:sz="4" w:space="0" w:color="8FB5E4" w:themeColor="accent2" w:themeTint="99"/>
      </w:tblBorders>
    </w:tblPr>
    <w:tblStylePr w:type="firstRow">
      <w:rPr>
        <w:b/>
        <w:bCs/>
      </w:rPr>
      <w:tblPr/>
      <w:tcPr>
        <w:tcBorders>
          <w:bottom w:val="single" w:sz="12" w:space="0" w:color="8FB5E4" w:themeColor="accent2" w:themeTint="99"/>
        </w:tcBorders>
      </w:tcPr>
    </w:tblStylePr>
    <w:tblStylePr w:type="lastRow">
      <w:rPr>
        <w:b/>
        <w:bCs/>
      </w:rPr>
      <w:tblPr/>
      <w:tcPr>
        <w:tcBorders>
          <w:top w:val="double" w:sz="4" w:space="0" w:color="8FB5E4" w:themeColor="accent2" w:themeTint="99"/>
        </w:tcBorders>
      </w:tcPr>
    </w:tblStylePr>
    <w:tblStylePr w:type="firstCol">
      <w:rPr>
        <w:b/>
        <w:bCs/>
      </w:rPr>
    </w:tblStylePr>
    <w:tblStylePr w:type="lastCol">
      <w:rPr>
        <w:b/>
        <w:bCs/>
      </w:rPr>
    </w:tblStylePr>
    <w:tblStylePr w:type="band1Vert">
      <w:tblPr/>
      <w:tcPr>
        <w:shd w:val="clear" w:color="auto" w:fill="D9E6F6" w:themeFill="accent2" w:themeFillTint="33"/>
      </w:tcPr>
    </w:tblStylePr>
    <w:tblStylePr w:type="band1Horz">
      <w:tblPr/>
      <w:tcPr>
        <w:shd w:val="clear" w:color="auto" w:fill="D9E6F6" w:themeFill="accent2" w:themeFillTint="33"/>
      </w:tcPr>
    </w:tblStylePr>
  </w:style>
  <w:style w:type="table" w:customStyle="1" w:styleId="MediumGrid1-Accent222">
    <w:name w:val="Medium Grid 1 - Accent 222"/>
    <w:basedOn w:val="TableNormal"/>
    <w:next w:val="MediumGrid1-Accent2"/>
    <w:uiPriority w:val="67"/>
    <w:rsid w:val="00210B4C"/>
    <w:pPr>
      <w:spacing w:after="0" w:line="240" w:lineRule="auto"/>
    </w:pPr>
    <w:rPr>
      <w:rFonts w:ascii="Calibri Light" w:eastAsia="Times New Roman" w:hAnsi="Calibri Light"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customStyle="1" w:styleId="MediumGrid1-Accent231">
    <w:name w:val="Medium Grid 1 - Accent 231"/>
    <w:basedOn w:val="TableNormal"/>
    <w:next w:val="MediumGrid1-Accent2"/>
    <w:uiPriority w:val="67"/>
    <w:rsid w:val="00210B4C"/>
    <w:pPr>
      <w:spacing w:after="0" w:line="240" w:lineRule="auto"/>
    </w:pPr>
    <w:rPr>
      <w:rFonts w:ascii="Calibri Light" w:eastAsia="Times New Roman" w:hAnsi="Calibri Light"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customStyle="1" w:styleId="MediumGrid1-Accent241">
    <w:name w:val="Medium Grid 1 - Accent 241"/>
    <w:basedOn w:val="TableNormal"/>
    <w:next w:val="MediumGrid1-Accent2"/>
    <w:uiPriority w:val="67"/>
    <w:rsid w:val="00210B4C"/>
    <w:pPr>
      <w:spacing w:after="0" w:line="240" w:lineRule="auto"/>
    </w:pPr>
    <w:rPr>
      <w:rFonts w:ascii="Calibri Light" w:eastAsia="Times New Roman" w:hAnsi="Calibri Light"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customStyle="1" w:styleId="MediumGrid1-Accent2211">
    <w:name w:val="Medium Grid 1 - Accent 2211"/>
    <w:basedOn w:val="TableNormal"/>
    <w:next w:val="MediumGrid1-Accent2"/>
    <w:uiPriority w:val="67"/>
    <w:rsid w:val="00210B4C"/>
    <w:pPr>
      <w:spacing w:after="0" w:line="240" w:lineRule="auto"/>
    </w:pPr>
    <w:rPr>
      <w:rFonts w:ascii="Calibri Light" w:eastAsia="Times New Roman" w:hAnsi="Calibri Light"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customStyle="1" w:styleId="MediumGrid1-Accent251">
    <w:name w:val="Medium Grid 1 - Accent 251"/>
    <w:basedOn w:val="TableNormal"/>
    <w:next w:val="MediumGrid1-Accent2"/>
    <w:uiPriority w:val="67"/>
    <w:rsid w:val="00210B4C"/>
    <w:pPr>
      <w:spacing w:after="0" w:line="240" w:lineRule="auto"/>
    </w:p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numbering" w:customStyle="1" w:styleId="NoList3">
    <w:name w:val="No List3"/>
    <w:next w:val="NoList"/>
    <w:uiPriority w:val="99"/>
    <w:semiHidden/>
    <w:unhideWhenUsed/>
    <w:rsid w:val="00D0570D"/>
  </w:style>
  <w:style w:type="table" w:customStyle="1" w:styleId="MediumGrid1-Accent27">
    <w:name w:val="Medium Grid 1 - Accent 27"/>
    <w:basedOn w:val="TableNormal"/>
    <w:next w:val="MediumGrid1-Accent2"/>
    <w:uiPriority w:val="67"/>
    <w:rsid w:val="00D0570D"/>
    <w:pPr>
      <w:spacing w:after="0" w:line="240" w:lineRule="auto"/>
    </w:pPr>
    <w:tblPr>
      <w:tblStyleRowBandSize w:val="1"/>
      <w:tblStyleColBandSize w:val="1"/>
      <w:tblBorders>
        <w:top w:val="single" w:sz="8" w:space="0" w:color="73A2DE" w:themeColor="accent2" w:themeTint="BF"/>
        <w:left w:val="single" w:sz="8" w:space="0" w:color="73A2DE" w:themeColor="accent2" w:themeTint="BF"/>
        <w:bottom w:val="single" w:sz="8" w:space="0" w:color="73A2DE" w:themeColor="accent2" w:themeTint="BF"/>
        <w:right w:val="single" w:sz="8" w:space="0" w:color="73A2DE" w:themeColor="accent2" w:themeTint="BF"/>
        <w:insideH w:val="single" w:sz="8" w:space="0" w:color="73A2DE" w:themeColor="accent2" w:themeTint="BF"/>
        <w:insideV w:val="single" w:sz="8" w:space="0" w:color="73A2DE" w:themeColor="accent2" w:themeTint="BF"/>
      </w:tblBorders>
    </w:tblPr>
    <w:tcPr>
      <w:shd w:val="clear" w:color="auto" w:fill="D0E0F4" w:themeFill="accent2" w:themeFillTint="3F"/>
    </w:tcPr>
    <w:tblStylePr w:type="firstRow">
      <w:rPr>
        <w:b/>
        <w:bCs/>
      </w:rPr>
    </w:tblStylePr>
    <w:tblStylePr w:type="lastRow">
      <w:rPr>
        <w:b/>
        <w:bCs/>
      </w:rPr>
      <w:tblPr/>
      <w:tcPr>
        <w:tcBorders>
          <w:top w:val="single" w:sz="18" w:space="0" w:color="73A2DE" w:themeColor="accent2" w:themeTint="BF"/>
        </w:tcBorders>
      </w:tcPr>
    </w:tblStylePr>
    <w:tblStylePr w:type="firstCol">
      <w:rPr>
        <w:b/>
        <w:bCs/>
      </w:rPr>
    </w:tblStylePr>
    <w:tblStylePr w:type="lastCol">
      <w:rPr>
        <w:b/>
        <w:bCs/>
      </w:rPr>
    </w:tblStylePr>
    <w:tblStylePr w:type="band1Vert">
      <w:tblPr/>
      <w:tcPr>
        <w:shd w:val="clear" w:color="auto" w:fill="A2C1E9" w:themeFill="accent2" w:themeFillTint="7F"/>
      </w:tcPr>
    </w:tblStylePr>
    <w:tblStylePr w:type="band1Horz">
      <w:tblPr/>
      <w:tcPr>
        <w:shd w:val="clear" w:color="auto" w:fill="A2C1E9" w:themeFill="accent2" w:themeFillTint="7F"/>
      </w:tcPr>
    </w:tblStylePr>
  </w:style>
  <w:style w:type="table" w:customStyle="1" w:styleId="ColorfulList-Accent23">
    <w:name w:val="Colorful List - Accent 23"/>
    <w:basedOn w:val="TableNormal"/>
    <w:next w:val="ColorfulList-Accent2"/>
    <w:uiPriority w:val="72"/>
    <w:rsid w:val="00D0570D"/>
    <w:pPr>
      <w:spacing w:after="0" w:line="240" w:lineRule="auto"/>
    </w:pPr>
    <w:rPr>
      <w:color w:val="000000" w:themeColor="text1"/>
    </w:rPr>
    <w:tblPr>
      <w:tblStyleRowBandSize w:val="1"/>
      <w:tblStyleColBandSize w:val="1"/>
    </w:tblPr>
    <w:tcPr>
      <w:shd w:val="clear" w:color="auto" w:fill="ECF2FA" w:themeFill="accent2" w:themeFillTint="19"/>
    </w:tcPr>
    <w:tblStylePr w:type="firstRow">
      <w:rPr>
        <w:b/>
        <w:bCs/>
        <w:color w:val="FFFFFF" w:themeColor="background1"/>
      </w:rPr>
      <w:tblPr/>
      <w:tcPr>
        <w:tcBorders>
          <w:bottom w:val="single" w:sz="12" w:space="0" w:color="FFFFFF" w:themeColor="background1"/>
        </w:tcBorders>
        <w:shd w:val="clear" w:color="auto" w:fill="2B68B5" w:themeFill="accent2" w:themeFillShade="CC"/>
      </w:tcPr>
    </w:tblStylePr>
    <w:tblStylePr w:type="lastRow">
      <w:rPr>
        <w:b/>
        <w:bCs/>
        <w:color w:val="2B68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0F4" w:themeFill="accent2" w:themeFillTint="3F"/>
      </w:tcPr>
    </w:tblStylePr>
    <w:tblStylePr w:type="band1Horz">
      <w:tblPr/>
      <w:tcPr>
        <w:shd w:val="clear" w:color="auto" w:fill="D9E6F6" w:themeFill="accent2" w:themeFillTint="33"/>
      </w:tcPr>
    </w:tblStylePr>
  </w:style>
  <w:style w:type="table" w:customStyle="1" w:styleId="MediumGrid1-Accent216">
    <w:name w:val="Medium Grid 1 - Accent 216"/>
    <w:basedOn w:val="TableNormal"/>
    <w:next w:val="MediumGrid1-Accent2"/>
    <w:uiPriority w:val="67"/>
    <w:rsid w:val="00D0570D"/>
    <w:pPr>
      <w:spacing w:after="0" w:line="240" w:lineRule="auto"/>
    </w:pPr>
    <w:rPr>
      <w:rFonts w:ascii="Cambria" w:eastAsia="Times New Roman" w:hAnsi="Cambria"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customStyle="1" w:styleId="ColorfulList-Accent214">
    <w:name w:val="Colorful List - Accent 214"/>
    <w:basedOn w:val="TableNormal"/>
    <w:next w:val="ColorfulList-Accent2"/>
    <w:uiPriority w:val="72"/>
    <w:rsid w:val="00D0570D"/>
    <w:pPr>
      <w:spacing w:after="0" w:line="240" w:lineRule="auto"/>
    </w:pPr>
    <w:rPr>
      <w:rFonts w:ascii="Cambria" w:eastAsia="Times New Roman" w:hAnsi="Cambria" w:cs="Times New Roman"/>
      <w:color w:val="000000"/>
    </w:rPr>
    <w:tblPr>
      <w:tblStyleRowBandSize w:val="1"/>
      <w:tblStyleColBandSize w:val="1"/>
    </w:tblPr>
    <w:tcPr>
      <w:shd w:val="clear" w:color="auto" w:fill="ECF2FA"/>
    </w:tcPr>
    <w:tblStylePr w:type="firstRow">
      <w:rPr>
        <w:b/>
        <w:bCs/>
        <w:color w:val="FFFFFF"/>
      </w:rPr>
      <w:tblPr/>
      <w:tcPr>
        <w:tcBorders>
          <w:bottom w:val="single" w:sz="12" w:space="0" w:color="FFFFFF"/>
        </w:tcBorders>
        <w:shd w:val="clear" w:color="auto" w:fill="2B68B5"/>
      </w:tcPr>
    </w:tblStylePr>
    <w:tblStylePr w:type="lastRow">
      <w:rPr>
        <w:b/>
        <w:bCs/>
        <w:color w:val="2B68B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0F4"/>
      </w:tcPr>
    </w:tblStylePr>
    <w:tblStylePr w:type="band1Horz">
      <w:tblPr/>
      <w:tcPr>
        <w:shd w:val="clear" w:color="auto" w:fill="D9E6F6"/>
      </w:tcPr>
    </w:tblStylePr>
  </w:style>
  <w:style w:type="table" w:customStyle="1" w:styleId="TableGrid3">
    <w:name w:val="Table Grid3"/>
    <w:basedOn w:val="TableNormal"/>
    <w:next w:val="TableGrid"/>
    <w:uiPriority w:val="59"/>
    <w:rsid w:val="00D05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3">
    <w:name w:val="Medium Grid 3 - Accent 13"/>
    <w:basedOn w:val="TableNormal"/>
    <w:next w:val="MediumGrid3-Accent1"/>
    <w:uiPriority w:val="69"/>
    <w:rsid w:val="00D057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C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1B6F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1B6F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1B6F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1B6F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DAF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DAFE" w:themeFill="accent1" w:themeFillTint="7F"/>
      </w:tcPr>
    </w:tblStylePr>
  </w:style>
  <w:style w:type="table" w:customStyle="1" w:styleId="ColorfulShading-Accent13">
    <w:name w:val="Colorful Shading - Accent 13"/>
    <w:basedOn w:val="TableNormal"/>
    <w:next w:val="ColorfulShading-Accent1"/>
    <w:uiPriority w:val="71"/>
    <w:rsid w:val="00D0570D"/>
    <w:pPr>
      <w:spacing w:after="0" w:line="240" w:lineRule="auto"/>
    </w:pPr>
    <w:rPr>
      <w:color w:val="000000" w:themeColor="text1"/>
    </w:rPr>
    <w:tblPr>
      <w:tblStyleRowBandSize w:val="1"/>
      <w:tblStyleColBandSize w:val="1"/>
      <w:tblBorders>
        <w:top w:val="single" w:sz="24" w:space="0" w:color="4584D3" w:themeColor="accent2"/>
        <w:left w:val="single" w:sz="4" w:space="0" w:color="31B6FD" w:themeColor="accent1"/>
        <w:bottom w:val="single" w:sz="4" w:space="0" w:color="31B6FD" w:themeColor="accent1"/>
        <w:right w:val="single" w:sz="4" w:space="0" w:color="31B6FD" w:themeColor="accent1"/>
        <w:insideH w:val="single" w:sz="4" w:space="0" w:color="FFFFFF" w:themeColor="background1"/>
        <w:insideV w:val="single" w:sz="4" w:space="0" w:color="FFFFFF" w:themeColor="background1"/>
      </w:tblBorders>
    </w:tblPr>
    <w:tcPr>
      <w:shd w:val="clear" w:color="auto" w:fill="EAF7FE" w:themeFill="accent1" w:themeFillTint="19"/>
    </w:tcPr>
    <w:tblStylePr w:type="firstRow">
      <w:rPr>
        <w:b/>
        <w:bCs/>
      </w:rPr>
      <w:tblPr/>
      <w:tcPr>
        <w:tcBorders>
          <w:top w:val="nil"/>
          <w:left w:val="nil"/>
          <w:bottom w:val="single" w:sz="24" w:space="0" w:color="4584D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75B3" w:themeFill="accent1" w:themeFillShade="99"/>
      </w:tcPr>
    </w:tblStylePr>
    <w:tblStylePr w:type="firstCol">
      <w:rPr>
        <w:color w:val="FFFFFF" w:themeColor="background1"/>
      </w:rPr>
      <w:tblPr/>
      <w:tcPr>
        <w:tcBorders>
          <w:top w:val="nil"/>
          <w:left w:val="nil"/>
          <w:bottom w:val="nil"/>
          <w:right w:val="nil"/>
          <w:insideH w:val="single" w:sz="4" w:space="0" w:color="0175B3" w:themeColor="accent1" w:themeShade="99"/>
          <w:insideV w:val="nil"/>
        </w:tcBorders>
        <w:shd w:val="clear" w:color="auto" w:fill="0175B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75B3" w:themeFill="accent1" w:themeFillShade="99"/>
      </w:tcPr>
    </w:tblStylePr>
    <w:tblStylePr w:type="band1Vert">
      <w:tblPr/>
      <w:tcPr>
        <w:shd w:val="clear" w:color="auto" w:fill="ACE1FE" w:themeFill="accent1" w:themeFillTint="66"/>
      </w:tcPr>
    </w:tblStylePr>
    <w:tblStylePr w:type="band1Horz">
      <w:tblPr/>
      <w:tcPr>
        <w:shd w:val="clear" w:color="auto" w:fill="98DAFE" w:themeFill="accent1" w:themeFillTint="7F"/>
      </w:tcPr>
    </w:tblStylePr>
    <w:tblStylePr w:type="neCell">
      <w:rPr>
        <w:color w:val="000000" w:themeColor="text1"/>
      </w:rPr>
    </w:tblStylePr>
    <w:tblStylePr w:type="nwCell">
      <w:rPr>
        <w:color w:val="000000" w:themeColor="text1"/>
      </w:rPr>
    </w:tblStylePr>
  </w:style>
  <w:style w:type="table" w:customStyle="1" w:styleId="MediumGrid3-Accent23">
    <w:name w:val="Medium Grid 3 - Accent 23"/>
    <w:basedOn w:val="TableNormal"/>
    <w:next w:val="MediumGrid3-Accent2"/>
    <w:uiPriority w:val="69"/>
    <w:rsid w:val="00D057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0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584D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584D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584D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584D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C1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C1E9" w:themeFill="accent2" w:themeFillTint="7F"/>
      </w:tcPr>
    </w:tblStylePr>
  </w:style>
  <w:style w:type="table" w:customStyle="1" w:styleId="MediumGrid1-Accent2112">
    <w:name w:val="Medium Grid 1 - Accent 2112"/>
    <w:basedOn w:val="TableNormal"/>
    <w:next w:val="MediumGrid1-Accent2"/>
    <w:uiPriority w:val="67"/>
    <w:rsid w:val="00D0570D"/>
    <w:pPr>
      <w:spacing w:after="0" w:line="240" w:lineRule="auto"/>
    </w:pPr>
    <w:rPr>
      <w:rFonts w:ascii="Cambria" w:eastAsia="Times New Roman" w:hAnsi="Cambria"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numbering" w:customStyle="1" w:styleId="NoList12">
    <w:name w:val="No List12"/>
    <w:next w:val="NoList"/>
    <w:uiPriority w:val="99"/>
    <w:semiHidden/>
    <w:unhideWhenUsed/>
    <w:rsid w:val="00D0570D"/>
  </w:style>
  <w:style w:type="table" w:customStyle="1" w:styleId="TableGrid12">
    <w:name w:val="Table Grid12"/>
    <w:basedOn w:val="TableNormal"/>
    <w:next w:val="TableGrid"/>
    <w:uiPriority w:val="59"/>
    <w:rsid w:val="00D0570D"/>
    <w:pPr>
      <w:spacing w:after="0" w:line="240" w:lineRule="auto"/>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2">
    <w:name w:val="Medium Grid 3 - Accent 112"/>
    <w:basedOn w:val="TableNormal"/>
    <w:next w:val="MediumGrid3-Accent1"/>
    <w:uiPriority w:val="69"/>
    <w:rsid w:val="00D0570D"/>
    <w:pPr>
      <w:spacing w:after="0" w:line="240" w:lineRule="auto"/>
    </w:pPr>
    <w:rPr>
      <w:rFonts w:ascii="Cambria" w:eastAsia="Times New Roman"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EC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31B6F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31B6F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31B6F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31B6F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8DA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8DAFE"/>
      </w:tcPr>
    </w:tblStylePr>
  </w:style>
  <w:style w:type="table" w:customStyle="1" w:styleId="ColorfulShading-Accent112">
    <w:name w:val="Colorful Shading - Accent 112"/>
    <w:basedOn w:val="TableNormal"/>
    <w:next w:val="ColorfulShading-Accent1"/>
    <w:uiPriority w:val="71"/>
    <w:rsid w:val="00D0570D"/>
    <w:pPr>
      <w:spacing w:after="0" w:line="240" w:lineRule="auto"/>
    </w:pPr>
    <w:rPr>
      <w:rFonts w:ascii="Cambria" w:eastAsia="Times New Roman" w:hAnsi="Cambria" w:cs="Times New Roman"/>
      <w:color w:val="000000"/>
    </w:rPr>
    <w:tblPr>
      <w:tblStyleRowBandSize w:val="1"/>
      <w:tblStyleColBandSize w:val="1"/>
      <w:tblBorders>
        <w:top w:val="single" w:sz="24" w:space="0" w:color="4584D3"/>
        <w:left w:val="single" w:sz="4" w:space="0" w:color="31B6FD"/>
        <w:bottom w:val="single" w:sz="4" w:space="0" w:color="31B6FD"/>
        <w:right w:val="single" w:sz="4" w:space="0" w:color="31B6FD"/>
        <w:insideH w:val="single" w:sz="4" w:space="0" w:color="FFFFFF"/>
        <w:insideV w:val="single" w:sz="4" w:space="0" w:color="FFFFFF"/>
      </w:tblBorders>
    </w:tblPr>
    <w:tcPr>
      <w:shd w:val="clear" w:color="auto" w:fill="EAF7FE"/>
    </w:tcPr>
    <w:tblStylePr w:type="firstRow">
      <w:rPr>
        <w:b/>
        <w:bCs/>
      </w:rPr>
      <w:tblPr/>
      <w:tcPr>
        <w:tcBorders>
          <w:top w:val="nil"/>
          <w:left w:val="nil"/>
          <w:bottom w:val="single" w:sz="24" w:space="0" w:color="4584D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175B3"/>
      </w:tcPr>
    </w:tblStylePr>
    <w:tblStylePr w:type="firstCol">
      <w:rPr>
        <w:color w:val="FFFFFF"/>
      </w:rPr>
      <w:tblPr/>
      <w:tcPr>
        <w:tcBorders>
          <w:top w:val="nil"/>
          <w:left w:val="nil"/>
          <w:bottom w:val="nil"/>
          <w:right w:val="nil"/>
          <w:insideH w:val="single" w:sz="4" w:space="0" w:color="0175B3"/>
          <w:insideV w:val="nil"/>
        </w:tcBorders>
        <w:shd w:val="clear" w:color="auto" w:fill="0175B3"/>
      </w:tcPr>
    </w:tblStylePr>
    <w:tblStylePr w:type="lastCol">
      <w:rPr>
        <w:color w:val="FFFFFF"/>
      </w:rPr>
      <w:tblPr/>
      <w:tcPr>
        <w:tcBorders>
          <w:top w:val="nil"/>
          <w:left w:val="nil"/>
          <w:bottom w:val="nil"/>
          <w:right w:val="nil"/>
          <w:insideH w:val="nil"/>
          <w:insideV w:val="nil"/>
        </w:tcBorders>
        <w:shd w:val="clear" w:color="auto" w:fill="0175B3"/>
      </w:tcPr>
    </w:tblStylePr>
    <w:tblStylePr w:type="band1Vert">
      <w:tblPr/>
      <w:tcPr>
        <w:shd w:val="clear" w:color="auto" w:fill="ACE1FE"/>
      </w:tcPr>
    </w:tblStylePr>
    <w:tblStylePr w:type="band1Horz">
      <w:tblPr/>
      <w:tcPr>
        <w:shd w:val="clear" w:color="auto" w:fill="98DAFE"/>
      </w:tcPr>
    </w:tblStylePr>
    <w:tblStylePr w:type="neCell">
      <w:rPr>
        <w:color w:val="000000"/>
      </w:rPr>
    </w:tblStylePr>
    <w:tblStylePr w:type="nwCell">
      <w:rPr>
        <w:color w:val="000000"/>
      </w:rPr>
    </w:tblStylePr>
  </w:style>
  <w:style w:type="table" w:customStyle="1" w:styleId="MediumGrid3-Accent212">
    <w:name w:val="Medium Grid 3 - Accent 212"/>
    <w:basedOn w:val="TableNormal"/>
    <w:next w:val="MediumGrid3-Accent2"/>
    <w:uiPriority w:val="69"/>
    <w:rsid w:val="00D0570D"/>
    <w:pPr>
      <w:spacing w:after="0" w:line="240" w:lineRule="auto"/>
    </w:pPr>
    <w:rPr>
      <w:rFonts w:ascii="Cambria" w:eastAsia="Times New Roman"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E0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584D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584D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584D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584D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2C1E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2C1E9"/>
      </w:tcPr>
    </w:tblStylePr>
  </w:style>
  <w:style w:type="table" w:customStyle="1" w:styleId="ColorfulList-Accent2112">
    <w:name w:val="Colorful List - Accent 2112"/>
    <w:basedOn w:val="TableNormal"/>
    <w:next w:val="ColorfulList-Accent2"/>
    <w:uiPriority w:val="72"/>
    <w:rsid w:val="00D0570D"/>
    <w:pPr>
      <w:spacing w:after="0" w:line="240" w:lineRule="auto"/>
    </w:pPr>
    <w:rPr>
      <w:rFonts w:ascii="Cambria" w:eastAsia="Times New Roman" w:hAnsi="Cambria" w:cs="Times New Roman"/>
      <w:color w:val="000000"/>
    </w:rPr>
    <w:tblPr>
      <w:tblStyleRowBandSize w:val="1"/>
      <w:tblStyleColBandSize w:val="1"/>
    </w:tblPr>
    <w:tcPr>
      <w:shd w:val="clear" w:color="auto" w:fill="ECF2FA"/>
    </w:tcPr>
    <w:tblStylePr w:type="firstRow">
      <w:rPr>
        <w:b/>
        <w:bCs/>
        <w:color w:val="FFFFFF"/>
      </w:rPr>
      <w:tblPr/>
      <w:tcPr>
        <w:tcBorders>
          <w:bottom w:val="single" w:sz="12" w:space="0" w:color="FFFFFF"/>
        </w:tcBorders>
        <w:shd w:val="clear" w:color="auto" w:fill="2B68B5"/>
      </w:tcPr>
    </w:tblStylePr>
    <w:tblStylePr w:type="lastRow">
      <w:rPr>
        <w:b/>
        <w:bCs/>
        <w:color w:val="2B68B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0F4"/>
      </w:tcPr>
    </w:tblStylePr>
    <w:tblStylePr w:type="band1Horz">
      <w:tblPr/>
      <w:tcPr>
        <w:shd w:val="clear" w:color="auto" w:fill="D9E6F6"/>
      </w:tcPr>
    </w:tblStylePr>
  </w:style>
  <w:style w:type="table" w:customStyle="1" w:styleId="MediumGrid1-Accent12">
    <w:name w:val="Medium Grid 1 - Accent 12"/>
    <w:basedOn w:val="TableNormal"/>
    <w:next w:val="MediumGrid1-Accent1"/>
    <w:uiPriority w:val="67"/>
    <w:rsid w:val="00D0570D"/>
    <w:pPr>
      <w:spacing w:after="0" w:line="240" w:lineRule="auto"/>
    </w:pPr>
    <w:rPr>
      <w:rFonts w:asciiTheme="minorHAnsi" w:eastAsiaTheme="minorHAnsi" w:hAnsiTheme="minorHAnsi" w:cstheme="minorBidi"/>
    </w:rPr>
    <w:tblPr>
      <w:tblStyleRowBandSize w:val="1"/>
      <w:tblStyleColBandSize w:val="1"/>
      <w:tblBorders>
        <w:top w:val="single" w:sz="8" w:space="0" w:color="64C8FD" w:themeColor="accent1" w:themeTint="BF"/>
        <w:left w:val="single" w:sz="8" w:space="0" w:color="64C8FD" w:themeColor="accent1" w:themeTint="BF"/>
        <w:bottom w:val="single" w:sz="8" w:space="0" w:color="64C8FD" w:themeColor="accent1" w:themeTint="BF"/>
        <w:right w:val="single" w:sz="8" w:space="0" w:color="64C8FD" w:themeColor="accent1" w:themeTint="BF"/>
        <w:insideH w:val="single" w:sz="8" w:space="0" w:color="64C8FD" w:themeColor="accent1" w:themeTint="BF"/>
        <w:insideV w:val="single" w:sz="8" w:space="0" w:color="64C8FD" w:themeColor="accent1" w:themeTint="BF"/>
      </w:tblBorders>
    </w:tblPr>
    <w:tcPr>
      <w:shd w:val="clear" w:color="auto" w:fill="CBECFE" w:themeFill="accent1" w:themeFillTint="3F"/>
    </w:tcPr>
    <w:tblStylePr w:type="firstRow">
      <w:rPr>
        <w:b/>
        <w:bCs/>
      </w:rPr>
    </w:tblStylePr>
    <w:tblStylePr w:type="lastRow">
      <w:rPr>
        <w:b/>
        <w:bCs/>
      </w:rPr>
      <w:tblPr/>
      <w:tcPr>
        <w:tcBorders>
          <w:top w:val="single" w:sz="18" w:space="0" w:color="64C8FD" w:themeColor="accent1" w:themeTint="BF"/>
        </w:tcBorders>
      </w:tcPr>
    </w:tblStylePr>
    <w:tblStylePr w:type="firstCol">
      <w:rPr>
        <w:b/>
        <w:bCs/>
      </w:rPr>
    </w:tblStylePr>
    <w:tblStylePr w:type="lastCol">
      <w:rPr>
        <w:b/>
        <w:bCs/>
      </w:rPr>
    </w:tblStylePr>
    <w:tblStylePr w:type="band1Vert">
      <w:tblPr/>
      <w:tcPr>
        <w:shd w:val="clear" w:color="auto" w:fill="98DAFE" w:themeFill="accent1" w:themeFillTint="7F"/>
      </w:tcPr>
    </w:tblStylePr>
    <w:tblStylePr w:type="band1Horz">
      <w:tblPr/>
      <w:tcPr>
        <w:shd w:val="clear" w:color="auto" w:fill="98DAFE" w:themeFill="accent1" w:themeFillTint="7F"/>
      </w:tcPr>
    </w:tblStylePr>
  </w:style>
  <w:style w:type="table" w:customStyle="1" w:styleId="MediumGrid1-Accent2122">
    <w:name w:val="Medium Grid 1 - Accent 2122"/>
    <w:basedOn w:val="TableNormal"/>
    <w:next w:val="MediumGrid1-Accent2"/>
    <w:uiPriority w:val="67"/>
    <w:rsid w:val="00D0570D"/>
    <w:pPr>
      <w:spacing w:after="0" w:line="240" w:lineRule="auto"/>
    </w:pPr>
    <w:rPr>
      <w:rFonts w:ascii="Cambria" w:eastAsia="Times New Roman" w:hAnsi="Cambria"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customStyle="1" w:styleId="MediumGrid1-Accent2132">
    <w:name w:val="Medium Grid 1 - Accent 2132"/>
    <w:basedOn w:val="TableNormal"/>
    <w:next w:val="MediumGrid1-Accent2"/>
    <w:uiPriority w:val="67"/>
    <w:rsid w:val="00D0570D"/>
    <w:pPr>
      <w:spacing w:after="0" w:line="240" w:lineRule="auto"/>
    </w:pPr>
    <w:rPr>
      <w:rFonts w:ascii="Cambria" w:eastAsia="Times New Roman" w:hAnsi="Cambria"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customStyle="1" w:styleId="MediumGrid1-Accent2142">
    <w:name w:val="Medium Grid 1 - Accent 2142"/>
    <w:basedOn w:val="TableNormal"/>
    <w:next w:val="MediumGrid1-Accent2"/>
    <w:uiPriority w:val="67"/>
    <w:rsid w:val="00D0570D"/>
    <w:pPr>
      <w:spacing w:after="0" w:line="240" w:lineRule="auto"/>
    </w:pPr>
    <w:rPr>
      <w:rFonts w:ascii="Cambria" w:eastAsia="Times New Roman" w:hAnsi="Cambria"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customStyle="1" w:styleId="ColorfulList-Accent2122">
    <w:name w:val="Colorful List - Accent 2122"/>
    <w:basedOn w:val="TableNormal"/>
    <w:next w:val="ColorfulList-Accent2"/>
    <w:uiPriority w:val="72"/>
    <w:rsid w:val="00D0570D"/>
    <w:pPr>
      <w:spacing w:after="0" w:line="240" w:lineRule="auto"/>
    </w:pPr>
    <w:rPr>
      <w:rFonts w:ascii="Cambria" w:eastAsia="Times New Roman" w:hAnsi="Cambria" w:cs="Times New Roman"/>
      <w:color w:val="000000"/>
    </w:rPr>
    <w:tblPr>
      <w:tblStyleRowBandSize w:val="1"/>
      <w:tblStyleColBandSize w:val="1"/>
    </w:tblPr>
    <w:tcPr>
      <w:shd w:val="clear" w:color="auto" w:fill="ECF2FA"/>
    </w:tcPr>
    <w:tblStylePr w:type="firstRow">
      <w:rPr>
        <w:b/>
        <w:bCs/>
        <w:color w:val="FFFFFF"/>
      </w:rPr>
      <w:tblPr/>
      <w:tcPr>
        <w:tcBorders>
          <w:bottom w:val="single" w:sz="12" w:space="0" w:color="FFFFFF"/>
        </w:tcBorders>
        <w:shd w:val="clear" w:color="auto" w:fill="2B68B5"/>
      </w:tcPr>
    </w:tblStylePr>
    <w:tblStylePr w:type="lastRow">
      <w:rPr>
        <w:b/>
        <w:bCs/>
        <w:color w:val="2B68B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0F4"/>
      </w:tcPr>
    </w:tblStylePr>
    <w:tblStylePr w:type="band1Horz">
      <w:tblPr/>
      <w:tcPr>
        <w:shd w:val="clear" w:color="auto" w:fill="D9E6F6"/>
      </w:tcPr>
    </w:tblStylePr>
  </w:style>
  <w:style w:type="table" w:customStyle="1" w:styleId="GridTable6Colorful-Accent22">
    <w:name w:val="Grid Table 6 Colorful - Accent 22"/>
    <w:basedOn w:val="TableNormal"/>
    <w:next w:val="GridTable6Colorful-Accent2"/>
    <w:uiPriority w:val="51"/>
    <w:rsid w:val="00D0570D"/>
    <w:pPr>
      <w:spacing w:after="0" w:line="240" w:lineRule="auto"/>
    </w:pPr>
    <w:rPr>
      <w:color w:val="2861A9" w:themeColor="accent2" w:themeShade="BF"/>
    </w:rPr>
    <w:tblPr>
      <w:tblStyleRowBandSize w:val="1"/>
      <w:tblStyleColBandSize w:val="1"/>
      <w:tblBorders>
        <w:top w:val="single" w:sz="4" w:space="0" w:color="8FB5E4" w:themeColor="accent2" w:themeTint="99"/>
        <w:left w:val="single" w:sz="4" w:space="0" w:color="8FB5E4" w:themeColor="accent2" w:themeTint="99"/>
        <w:bottom w:val="single" w:sz="4" w:space="0" w:color="8FB5E4" w:themeColor="accent2" w:themeTint="99"/>
        <w:right w:val="single" w:sz="4" w:space="0" w:color="8FB5E4" w:themeColor="accent2" w:themeTint="99"/>
        <w:insideH w:val="single" w:sz="4" w:space="0" w:color="8FB5E4" w:themeColor="accent2" w:themeTint="99"/>
        <w:insideV w:val="single" w:sz="4" w:space="0" w:color="8FB5E4" w:themeColor="accent2" w:themeTint="99"/>
      </w:tblBorders>
    </w:tblPr>
    <w:tblStylePr w:type="firstRow">
      <w:rPr>
        <w:b/>
        <w:bCs/>
      </w:rPr>
      <w:tblPr/>
      <w:tcPr>
        <w:tcBorders>
          <w:bottom w:val="single" w:sz="12" w:space="0" w:color="8FB5E4" w:themeColor="accent2" w:themeTint="99"/>
        </w:tcBorders>
      </w:tcPr>
    </w:tblStylePr>
    <w:tblStylePr w:type="lastRow">
      <w:rPr>
        <w:b/>
        <w:bCs/>
      </w:rPr>
      <w:tblPr/>
      <w:tcPr>
        <w:tcBorders>
          <w:top w:val="double" w:sz="4" w:space="0" w:color="8FB5E4" w:themeColor="accent2" w:themeTint="99"/>
        </w:tcBorders>
      </w:tcPr>
    </w:tblStylePr>
    <w:tblStylePr w:type="firstCol">
      <w:rPr>
        <w:b/>
        <w:bCs/>
      </w:rPr>
    </w:tblStylePr>
    <w:tblStylePr w:type="lastCol">
      <w:rPr>
        <w:b/>
        <w:bCs/>
      </w:rPr>
    </w:tblStylePr>
    <w:tblStylePr w:type="band1Vert">
      <w:tblPr/>
      <w:tcPr>
        <w:shd w:val="clear" w:color="auto" w:fill="D9E6F6" w:themeFill="accent2" w:themeFillTint="33"/>
      </w:tcPr>
    </w:tblStylePr>
    <w:tblStylePr w:type="band1Horz">
      <w:tblPr/>
      <w:tcPr>
        <w:shd w:val="clear" w:color="auto" w:fill="D9E6F6" w:themeFill="accent2" w:themeFillTint="33"/>
      </w:tcPr>
    </w:tblStylePr>
  </w:style>
  <w:style w:type="table" w:customStyle="1" w:styleId="MediumGrid1-Accent223">
    <w:name w:val="Medium Grid 1 - Accent 223"/>
    <w:basedOn w:val="TableNormal"/>
    <w:next w:val="MediumGrid1-Accent2"/>
    <w:uiPriority w:val="67"/>
    <w:rsid w:val="00D0570D"/>
    <w:pPr>
      <w:spacing w:after="0" w:line="240" w:lineRule="auto"/>
    </w:pPr>
    <w:rPr>
      <w:rFonts w:ascii="Calibri Light" w:eastAsia="Times New Roman" w:hAnsi="Calibri Light"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customStyle="1" w:styleId="MediumGrid1-Accent232">
    <w:name w:val="Medium Grid 1 - Accent 232"/>
    <w:basedOn w:val="TableNormal"/>
    <w:next w:val="MediumGrid1-Accent2"/>
    <w:uiPriority w:val="67"/>
    <w:rsid w:val="00D0570D"/>
    <w:pPr>
      <w:spacing w:after="0" w:line="240" w:lineRule="auto"/>
    </w:pPr>
    <w:rPr>
      <w:rFonts w:ascii="Calibri Light" w:eastAsia="Times New Roman" w:hAnsi="Calibri Light"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customStyle="1" w:styleId="MediumGrid1-Accent242">
    <w:name w:val="Medium Grid 1 - Accent 242"/>
    <w:basedOn w:val="TableNormal"/>
    <w:next w:val="MediumGrid1-Accent2"/>
    <w:uiPriority w:val="67"/>
    <w:rsid w:val="00D0570D"/>
    <w:pPr>
      <w:spacing w:after="0" w:line="240" w:lineRule="auto"/>
    </w:pPr>
    <w:rPr>
      <w:rFonts w:ascii="Calibri Light" w:eastAsia="Times New Roman" w:hAnsi="Calibri Light"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customStyle="1" w:styleId="MediumGrid1-Accent2212">
    <w:name w:val="Medium Grid 1 - Accent 2212"/>
    <w:basedOn w:val="TableNormal"/>
    <w:next w:val="MediumGrid1-Accent2"/>
    <w:uiPriority w:val="67"/>
    <w:rsid w:val="00D0570D"/>
    <w:pPr>
      <w:spacing w:after="0" w:line="240" w:lineRule="auto"/>
    </w:pPr>
    <w:rPr>
      <w:rFonts w:ascii="Calibri Light" w:eastAsia="Times New Roman" w:hAnsi="Calibri Light" w:cs="Times New Roman"/>
    </w:r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customStyle="1" w:styleId="MediumGrid1-Accent252">
    <w:name w:val="Medium Grid 1 - Accent 252"/>
    <w:basedOn w:val="TableNormal"/>
    <w:next w:val="MediumGrid1-Accent2"/>
    <w:uiPriority w:val="67"/>
    <w:rsid w:val="00D0570D"/>
    <w:pPr>
      <w:spacing w:after="0" w:line="240" w:lineRule="auto"/>
    </w:pPr>
    <w:tblPr>
      <w:tblStyleRowBandSize w:val="1"/>
      <w:tblStyleColBandSize w:val="1"/>
      <w:tblBorders>
        <w:top w:val="single" w:sz="8" w:space="0" w:color="73A2DE"/>
        <w:left w:val="single" w:sz="8" w:space="0" w:color="73A2DE"/>
        <w:bottom w:val="single" w:sz="8" w:space="0" w:color="73A2DE"/>
        <w:right w:val="single" w:sz="8" w:space="0" w:color="73A2DE"/>
        <w:insideH w:val="single" w:sz="8" w:space="0" w:color="73A2DE"/>
        <w:insideV w:val="single" w:sz="8" w:space="0" w:color="73A2DE"/>
      </w:tblBorders>
    </w:tblPr>
    <w:tcPr>
      <w:shd w:val="clear" w:color="auto" w:fill="D0E0F4"/>
    </w:tcPr>
    <w:tblStylePr w:type="firstRow">
      <w:rPr>
        <w:b/>
        <w:bCs/>
      </w:rPr>
    </w:tblStylePr>
    <w:tblStylePr w:type="lastRow">
      <w:rPr>
        <w:b/>
        <w:bCs/>
      </w:rPr>
      <w:tblPr/>
      <w:tcPr>
        <w:tcBorders>
          <w:top w:val="single" w:sz="18" w:space="0" w:color="73A2DE"/>
        </w:tcBorders>
      </w:tcPr>
    </w:tblStylePr>
    <w:tblStylePr w:type="firstCol">
      <w:rPr>
        <w:b/>
        <w:bCs/>
      </w:rPr>
    </w:tblStylePr>
    <w:tblStylePr w:type="lastCol">
      <w:rPr>
        <w:b/>
        <w:bCs/>
      </w:rPr>
    </w:tblStylePr>
    <w:tblStylePr w:type="band1Vert">
      <w:tblPr/>
      <w:tcPr>
        <w:shd w:val="clear" w:color="auto" w:fill="A2C1E9"/>
      </w:tcPr>
    </w:tblStylePr>
    <w:tblStylePr w:type="band1Horz">
      <w:tblPr/>
      <w:tcPr>
        <w:shd w:val="clear" w:color="auto" w:fill="A2C1E9"/>
      </w:tcPr>
    </w:tblStylePr>
  </w:style>
  <w:style w:type="table" w:styleId="GridTable7Colorful-Accent2">
    <w:name w:val="Grid Table 7 Colorful Accent 2"/>
    <w:basedOn w:val="TableNormal"/>
    <w:uiPriority w:val="52"/>
    <w:rsid w:val="000B668C"/>
    <w:pPr>
      <w:spacing w:after="0" w:line="240" w:lineRule="auto"/>
    </w:pPr>
    <w:rPr>
      <w:color w:val="2861A9" w:themeColor="accent2" w:themeShade="BF"/>
    </w:rPr>
    <w:tblPr>
      <w:tblStyleRowBandSize w:val="1"/>
      <w:tblStyleColBandSize w:val="1"/>
      <w:tblBorders>
        <w:top w:val="single" w:sz="4" w:space="0" w:color="8FB5E4" w:themeColor="accent2" w:themeTint="99"/>
        <w:left w:val="single" w:sz="4" w:space="0" w:color="8FB5E4" w:themeColor="accent2" w:themeTint="99"/>
        <w:bottom w:val="single" w:sz="4" w:space="0" w:color="8FB5E4" w:themeColor="accent2" w:themeTint="99"/>
        <w:right w:val="single" w:sz="4" w:space="0" w:color="8FB5E4" w:themeColor="accent2" w:themeTint="99"/>
        <w:insideH w:val="single" w:sz="4" w:space="0" w:color="8FB5E4" w:themeColor="accent2" w:themeTint="99"/>
        <w:insideV w:val="single" w:sz="4" w:space="0" w:color="8FB5E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6F6" w:themeFill="accent2" w:themeFillTint="33"/>
      </w:tcPr>
    </w:tblStylePr>
    <w:tblStylePr w:type="band1Horz">
      <w:tblPr/>
      <w:tcPr>
        <w:shd w:val="clear" w:color="auto" w:fill="D9E6F6" w:themeFill="accent2" w:themeFillTint="33"/>
      </w:tcPr>
    </w:tblStylePr>
    <w:tblStylePr w:type="neCell">
      <w:tblPr/>
      <w:tcPr>
        <w:tcBorders>
          <w:bottom w:val="single" w:sz="4" w:space="0" w:color="8FB5E4" w:themeColor="accent2" w:themeTint="99"/>
        </w:tcBorders>
      </w:tcPr>
    </w:tblStylePr>
    <w:tblStylePr w:type="nwCell">
      <w:tblPr/>
      <w:tcPr>
        <w:tcBorders>
          <w:bottom w:val="single" w:sz="4" w:space="0" w:color="8FB5E4" w:themeColor="accent2" w:themeTint="99"/>
        </w:tcBorders>
      </w:tcPr>
    </w:tblStylePr>
    <w:tblStylePr w:type="seCell">
      <w:tblPr/>
      <w:tcPr>
        <w:tcBorders>
          <w:top w:val="single" w:sz="4" w:space="0" w:color="8FB5E4" w:themeColor="accent2" w:themeTint="99"/>
        </w:tcBorders>
      </w:tcPr>
    </w:tblStylePr>
    <w:tblStylePr w:type="swCell">
      <w:tblPr/>
      <w:tcPr>
        <w:tcBorders>
          <w:top w:val="single" w:sz="4" w:space="0" w:color="8FB5E4" w:themeColor="accent2" w:themeTint="99"/>
        </w:tcBorders>
      </w:tcPr>
    </w:tblStylePr>
  </w:style>
  <w:style w:type="character" w:customStyle="1" w:styleId="UnresolvedMention1">
    <w:name w:val="Unresolved Mention1"/>
    <w:basedOn w:val="DefaultParagraphFont"/>
    <w:uiPriority w:val="99"/>
    <w:semiHidden/>
    <w:unhideWhenUsed/>
    <w:rsid w:val="008D323A"/>
    <w:rPr>
      <w:color w:val="605E5C"/>
      <w:shd w:val="clear" w:color="auto" w:fill="E1DFDD"/>
    </w:rPr>
  </w:style>
  <w:style w:type="character" w:customStyle="1" w:styleId="UnresolvedMention2">
    <w:name w:val="Unresolved Mention2"/>
    <w:basedOn w:val="DefaultParagraphFont"/>
    <w:uiPriority w:val="99"/>
    <w:semiHidden/>
    <w:unhideWhenUsed/>
    <w:rsid w:val="001E710E"/>
    <w:rPr>
      <w:color w:val="605E5C"/>
      <w:shd w:val="clear" w:color="auto" w:fill="E1DFDD"/>
    </w:rPr>
  </w:style>
  <w:style w:type="character" w:customStyle="1" w:styleId="UnresolvedMention3">
    <w:name w:val="Unresolved Mention3"/>
    <w:basedOn w:val="DefaultParagraphFont"/>
    <w:uiPriority w:val="99"/>
    <w:semiHidden/>
    <w:unhideWhenUsed/>
    <w:rsid w:val="00A13D33"/>
    <w:rPr>
      <w:color w:val="605E5C"/>
      <w:shd w:val="clear" w:color="auto" w:fill="E1DFDD"/>
    </w:rPr>
  </w:style>
  <w:style w:type="table" w:styleId="TableGridLight">
    <w:name w:val="Grid Table Light"/>
    <w:basedOn w:val="TableNormal"/>
    <w:uiPriority w:val="40"/>
    <w:rsid w:val="008B3A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7F6D1E"/>
    <w:rPr>
      <w:rFonts w:ascii="Segoe UI" w:hAnsi="Segoe UI" w:cs="Segoe UI" w:hint="default"/>
      <w:sz w:val="18"/>
      <w:szCs w:val="18"/>
    </w:rPr>
  </w:style>
  <w:style w:type="character" w:customStyle="1" w:styleId="cf11">
    <w:name w:val="cf11"/>
    <w:basedOn w:val="DefaultParagraphFont"/>
    <w:rsid w:val="007F6D1E"/>
    <w:rPr>
      <w:rFonts w:ascii="Segoe UI" w:hAnsi="Segoe UI" w:cs="Segoe UI" w:hint="default"/>
      <w:sz w:val="18"/>
      <w:szCs w:val="18"/>
    </w:rPr>
  </w:style>
  <w:style w:type="character" w:styleId="UnresolvedMention">
    <w:name w:val="Unresolved Mention"/>
    <w:basedOn w:val="DefaultParagraphFont"/>
    <w:uiPriority w:val="99"/>
    <w:semiHidden/>
    <w:unhideWhenUsed/>
    <w:rsid w:val="003F6013"/>
    <w:rPr>
      <w:color w:val="605E5C"/>
      <w:shd w:val="clear" w:color="auto" w:fill="E1DFDD"/>
    </w:rPr>
  </w:style>
  <w:style w:type="character" w:customStyle="1" w:styleId="ui-provider">
    <w:name w:val="ui-provider"/>
    <w:basedOn w:val="DefaultParagraphFont"/>
    <w:rsid w:val="009E168C"/>
  </w:style>
  <w:style w:type="paragraph" w:customStyle="1" w:styleId="pf0">
    <w:name w:val="pf0"/>
    <w:basedOn w:val="Normal"/>
    <w:rsid w:val="002F42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C73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73D78"/>
  </w:style>
  <w:style w:type="character" w:customStyle="1" w:styleId="eop">
    <w:name w:val="eop"/>
    <w:basedOn w:val="DefaultParagraphFont"/>
    <w:rsid w:val="00C73D78"/>
  </w:style>
  <w:style w:type="character" w:customStyle="1" w:styleId="superscript">
    <w:name w:val="superscript"/>
    <w:basedOn w:val="DefaultParagraphFont"/>
    <w:rsid w:val="00C73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8318">
      <w:bodyDiv w:val="1"/>
      <w:marLeft w:val="0"/>
      <w:marRight w:val="0"/>
      <w:marTop w:val="0"/>
      <w:marBottom w:val="0"/>
      <w:divBdr>
        <w:top w:val="none" w:sz="0" w:space="0" w:color="auto"/>
        <w:left w:val="none" w:sz="0" w:space="0" w:color="auto"/>
        <w:bottom w:val="none" w:sz="0" w:space="0" w:color="auto"/>
        <w:right w:val="none" w:sz="0" w:space="0" w:color="auto"/>
      </w:divBdr>
    </w:div>
    <w:div w:id="50465025">
      <w:bodyDiv w:val="1"/>
      <w:marLeft w:val="0"/>
      <w:marRight w:val="0"/>
      <w:marTop w:val="0"/>
      <w:marBottom w:val="0"/>
      <w:divBdr>
        <w:top w:val="none" w:sz="0" w:space="0" w:color="auto"/>
        <w:left w:val="none" w:sz="0" w:space="0" w:color="auto"/>
        <w:bottom w:val="none" w:sz="0" w:space="0" w:color="auto"/>
        <w:right w:val="none" w:sz="0" w:space="0" w:color="auto"/>
      </w:divBdr>
    </w:div>
    <w:div w:id="51856153">
      <w:bodyDiv w:val="1"/>
      <w:marLeft w:val="0"/>
      <w:marRight w:val="0"/>
      <w:marTop w:val="0"/>
      <w:marBottom w:val="0"/>
      <w:divBdr>
        <w:top w:val="none" w:sz="0" w:space="0" w:color="auto"/>
        <w:left w:val="none" w:sz="0" w:space="0" w:color="auto"/>
        <w:bottom w:val="none" w:sz="0" w:space="0" w:color="auto"/>
        <w:right w:val="none" w:sz="0" w:space="0" w:color="auto"/>
      </w:divBdr>
    </w:div>
    <w:div w:id="86385034">
      <w:bodyDiv w:val="1"/>
      <w:marLeft w:val="0"/>
      <w:marRight w:val="0"/>
      <w:marTop w:val="0"/>
      <w:marBottom w:val="0"/>
      <w:divBdr>
        <w:top w:val="none" w:sz="0" w:space="0" w:color="auto"/>
        <w:left w:val="none" w:sz="0" w:space="0" w:color="auto"/>
        <w:bottom w:val="none" w:sz="0" w:space="0" w:color="auto"/>
        <w:right w:val="none" w:sz="0" w:space="0" w:color="auto"/>
      </w:divBdr>
    </w:div>
    <w:div w:id="94987048">
      <w:bodyDiv w:val="1"/>
      <w:marLeft w:val="0"/>
      <w:marRight w:val="0"/>
      <w:marTop w:val="0"/>
      <w:marBottom w:val="0"/>
      <w:divBdr>
        <w:top w:val="none" w:sz="0" w:space="0" w:color="auto"/>
        <w:left w:val="none" w:sz="0" w:space="0" w:color="auto"/>
        <w:bottom w:val="none" w:sz="0" w:space="0" w:color="auto"/>
        <w:right w:val="none" w:sz="0" w:space="0" w:color="auto"/>
      </w:divBdr>
    </w:div>
    <w:div w:id="146752202">
      <w:bodyDiv w:val="1"/>
      <w:marLeft w:val="0"/>
      <w:marRight w:val="0"/>
      <w:marTop w:val="0"/>
      <w:marBottom w:val="0"/>
      <w:divBdr>
        <w:top w:val="none" w:sz="0" w:space="0" w:color="auto"/>
        <w:left w:val="none" w:sz="0" w:space="0" w:color="auto"/>
        <w:bottom w:val="none" w:sz="0" w:space="0" w:color="auto"/>
        <w:right w:val="none" w:sz="0" w:space="0" w:color="auto"/>
      </w:divBdr>
    </w:div>
    <w:div w:id="158931746">
      <w:bodyDiv w:val="1"/>
      <w:marLeft w:val="0"/>
      <w:marRight w:val="0"/>
      <w:marTop w:val="0"/>
      <w:marBottom w:val="0"/>
      <w:divBdr>
        <w:top w:val="none" w:sz="0" w:space="0" w:color="auto"/>
        <w:left w:val="none" w:sz="0" w:space="0" w:color="auto"/>
        <w:bottom w:val="none" w:sz="0" w:space="0" w:color="auto"/>
        <w:right w:val="none" w:sz="0" w:space="0" w:color="auto"/>
      </w:divBdr>
    </w:div>
    <w:div w:id="161825152">
      <w:bodyDiv w:val="1"/>
      <w:marLeft w:val="0"/>
      <w:marRight w:val="0"/>
      <w:marTop w:val="0"/>
      <w:marBottom w:val="0"/>
      <w:divBdr>
        <w:top w:val="none" w:sz="0" w:space="0" w:color="auto"/>
        <w:left w:val="none" w:sz="0" w:space="0" w:color="auto"/>
        <w:bottom w:val="none" w:sz="0" w:space="0" w:color="auto"/>
        <w:right w:val="none" w:sz="0" w:space="0" w:color="auto"/>
      </w:divBdr>
    </w:div>
    <w:div w:id="212158307">
      <w:bodyDiv w:val="1"/>
      <w:marLeft w:val="0"/>
      <w:marRight w:val="0"/>
      <w:marTop w:val="0"/>
      <w:marBottom w:val="0"/>
      <w:divBdr>
        <w:top w:val="none" w:sz="0" w:space="0" w:color="auto"/>
        <w:left w:val="none" w:sz="0" w:space="0" w:color="auto"/>
        <w:bottom w:val="none" w:sz="0" w:space="0" w:color="auto"/>
        <w:right w:val="none" w:sz="0" w:space="0" w:color="auto"/>
      </w:divBdr>
    </w:div>
    <w:div w:id="214851856">
      <w:bodyDiv w:val="1"/>
      <w:marLeft w:val="0"/>
      <w:marRight w:val="0"/>
      <w:marTop w:val="0"/>
      <w:marBottom w:val="0"/>
      <w:divBdr>
        <w:top w:val="none" w:sz="0" w:space="0" w:color="auto"/>
        <w:left w:val="none" w:sz="0" w:space="0" w:color="auto"/>
        <w:bottom w:val="none" w:sz="0" w:space="0" w:color="auto"/>
        <w:right w:val="none" w:sz="0" w:space="0" w:color="auto"/>
      </w:divBdr>
    </w:div>
    <w:div w:id="215435901">
      <w:bodyDiv w:val="1"/>
      <w:marLeft w:val="0"/>
      <w:marRight w:val="0"/>
      <w:marTop w:val="0"/>
      <w:marBottom w:val="0"/>
      <w:divBdr>
        <w:top w:val="none" w:sz="0" w:space="0" w:color="auto"/>
        <w:left w:val="none" w:sz="0" w:space="0" w:color="auto"/>
        <w:bottom w:val="none" w:sz="0" w:space="0" w:color="auto"/>
        <w:right w:val="none" w:sz="0" w:space="0" w:color="auto"/>
      </w:divBdr>
    </w:div>
    <w:div w:id="230039499">
      <w:bodyDiv w:val="1"/>
      <w:marLeft w:val="0"/>
      <w:marRight w:val="0"/>
      <w:marTop w:val="0"/>
      <w:marBottom w:val="0"/>
      <w:divBdr>
        <w:top w:val="none" w:sz="0" w:space="0" w:color="auto"/>
        <w:left w:val="none" w:sz="0" w:space="0" w:color="auto"/>
        <w:bottom w:val="none" w:sz="0" w:space="0" w:color="auto"/>
        <w:right w:val="none" w:sz="0" w:space="0" w:color="auto"/>
      </w:divBdr>
    </w:div>
    <w:div w:id="251285993">
      <w:bodyDiv w:val="1"/>
      <w:marLeft w:val="0"/>
      <w:marRight w:val="0"/>
      <w:marTop w:val="0"/>
      <w:marBottom w:val="0"/>
      <w:divBdr>
        <w:top w:val="none" w:sz="0" w:space="0" w:color="auto"/>
        <w:left w:val="none" w:sz="0" w:space="0" w:color="auto"/>
        <w:bottom w:val="none" w:sz="0" w:space="0" w:color="auto"/>
        <w:right w:val="none" w:sz="0" w:space="0" w:color="auto"/>
      </w:divBdr>
    </w:div>
    <w:div w:id="308290501">
      <w:bodyDiv w:val="1"/>
      <w:marLeft w:val="0"/>
      <w:marRight w:val="0"/>
      <w:marTop w:val="0"/>
      <w:marBottom w:val="0"/>
      <w:divBdr>
        <w:top w:val="none" w:sz="0" w:space="0" w:color="auto"/>
        <w:left w:val="none" w:sz="0" w:space="0" w:color="auto"/>
        <w:bottom w:val="none" w:sz="0" w:space="0" w:color="auto"/>
        <w:right w:val="none" w:sz="0" w:space="0" w:color="auto"/>
      </w:divBdr>
    </w:div>
    <w:div w:id="309216426">
      <w:bodyDiv w:val="1"/>
      <w:marLeft w:val="0"/>
      <w:marRight w:val="0"/>
      <w:marTop w:val="0"/>
      <w:marBottom w:val="0"/>
      <w:divBdr>
        <w:top w:val="none" w:sz="0" w:space="0" w:color="auto"/>
        <w:left w:val="none" w:sz="0" w:space="0" w:color="auto"/>
        <w:bottom w:val="none" w:sz="0" w:space="0" w:color="auto"/>
        <w:right w:val="none" w:sz="0" w:space="0" w:color="auto"/>
      </w:divBdr>
    </w:div>
    <w:div w:id="335233954">
      <w:bodyDiv w:val="1"/>
      <w:marLeft w:val="0"/>
      <w:marRight w:val="0"/>
      <w:marTop w:val="0"/>
      <w:marBottom w:val="0"/>
      <w:divBdr>
        <w:top w:val="none" w:sz="0" w:space="0" w:color="auto"/>
        <w:left w:val="none" w:sz="0" w:space="0" w:color="auto"/>
        <w:bottom w:val="none" w:sz="0" w:space="0" w:color="auto"/>
        <w:right w:val="none" w:sz="0" w:space="0" w:color="auto"/>
      </w:divBdr>
    </w:div>
    <w:div w:id="383531468">
      <w:bodyDiv w:val="1"/>
      <w:marLeft w:val="0"/>
      <w:marRight w:val="0"/>
      <w:marTop w:val="0"/>
      <w:marBottom w:val="0"/>
      <w:divBdr>
        <w:top w:val="none" w:sz="0" w:space="0" w:color="auto"/>
        <w:left w:val="none" w:sz="0" w:space="0" w:color="auto"/>
        <w:bottom w:val="none" w:sz="0" w:space="0" w:color="auto"/>
        <w:right w:val="none" w:sz="0" w:space="0" w:color="auto"/>
      </w:divBdr>
    </w:div>
    <w:div w:id="408506539">
      <w:bodyDiv w:val="1"/>
      <w:marLeft w:val="0"/>
      <w:marRight w:val="0"/>
      <w:marTop w:val="0"/>
      <w:marBottom w:val="0"/>
      <w:divBdr>
        <w:top w:val="none" w:sz="0" w:space="0" w:color="auto"/>
        <w:left w:val="none" w:sz="0" w:space="0" w:color="auto"/>
        <w:bottom w:val="none" w:sz="0" w:space="0" w:color="auto"/>
        <w:right w:val="none" w:sz="0" w:space="0" w:color="auto"/>
      </w:divBdr>
    </w:div>
    <w:div w:id="432163983">
      <w:bodyDiv w:val="1"/>
      <w:marLeft w:val="0"/>
      <w:marRight w:val="0"/>
      <w:marTop w:val="0"/>
      <w:marBottom w:val="0"/>
      <w:divBdr>
        <w:top w:val="none" w:sz="0" w:space="0" w:color="auto"/>
        <w:left w:val="none" w:sz="0" w:space="0" w:color="auto"/>
        <w:bottom w:val="none" w:sz="0" w:space="0" w:color="auto"/>
        <w:right w:val="none" w:sz="0" w:space="0" w:color="auto"/>
      </w:divBdr>
    </w:div>
    <w:div w:id="451634192">
      <w:bodyDiv w:val="1"/>
      <w:marLeft w:val="0"/>
      <w:marRight w:val="0"/>
      <w:marTop w:val="0"/>
      <w:marBottom w:val="0"/>
      <w:divBdr>
        <w:top w:val="none" w:sz="0" w:space="0" w:color="auto"/>
        <w:left w:val="none" w:sz="0" w:space="0" w:color="auto"/>
        <w:bottom w:val="none" w:sz="0" w:space="0" w:color="auto"/>
        <w:right w:val="none" w:sz="0" w:space="0" w:color="auto"/>
      </w:divBdr>
    </w:div>
    <w:div w:id="452793809">
      <w:bodyDiv w:val="1"/>
      <w:marLeft w:val="0"/>
      <w:marRight w:val="0"/>
      <w:marTop w:val="0"/>
      <w:marBottom w:val="0"/>
      <w:divBdr>
        <w:top w:val="none" w:sz="0" w:space="0" w:color="auto"/>
        <w:left w:val="none" w:sz="0" w:space="0" w:color="auto"/>
        <w:bottom w:val="none" w:sz="0" w:space="0" w:color="auto"/>
        <w:right w:val="none" w:sz="0" w:space="0" w:color="auto"/>
      </w:divBdr>
    </w:div>
    <w:div w:id="486022617">
      <w:bodyDiv w:val="1"/>
      <w:marLeft w:val="0"/>
      <w:marRight w:val="0"/>
      <w:marTop w:val="0"/>
      <w:marBottom w:val="0"/>
      <w:divBdr>
        <w:top w:val="none" w:sz="0" w:space="0" w:color="auto"/>
        <w:left w:val="none" w:sz="0" w:space="0" w:color="auto"/>
        <w:bottom w:val="none" w:sz="0" w:space="0" w:color="auto"/>
        <w:right w:val="none" w:sz="0" w:space="0" w:color="auto"/>
      </w:divBdr>
    </w:div>
    <w:div w:id="486438982">
      <w:bodyDiv w:val="1"/>
      <w:marLeft w:val="0"/>
      <w:marRight w:val="0"/>
      <w:marTop w:val="0"/>
      <w:marBottom w:val="0"/>
      <w:divBdr>
        <w:top w:val="none" w:sz="0" w:space="0" w:color="auto"/>
        <w:left w:val="none" w:sz="0" w:space="0" w:color="auto"/>
        <w:bottom w:val="none" w:sz="0" w:space="0" w:color="auto"/>
        <w:right w:val="none" w:sz="0" w:space="0" w:color="auto"/>
      </w:divBdr>
    </w:div>
    <w:div w:id="525289306">
      <w:bodyDiv w:val="1"/>
      <w:marLeft w:val="0"/>
      <w:marRight w:val="0"/>
      <w:marTop w:val="0"/>
      <w:marBottom w:val="0"/>
      <w:divBdr>
        <w:top w:val="none" w:sz="0" w:space="0" w:color="auto"/>
        <w:left w:val="none" w:sz="0" w:space="0" w:color="auto"/>
        <w:bottom w:val="none" w:sz="0" w:space="0" w:color="auto"/>
        <w:right w:val="none" w:sz="0" w:space="0" w:color="auto"/>
      </w:divBdr>
    </w:div>
    <w:div w:id="532813745">
      <w:bodyDiv w:val="1"/>
      <w:marLeft w:val="0"/>
      <w:marRight w:val="0"/>
      <w:marTop w:val="0"/>
      <w:marBottom w:val="0"/>
      <w:divBdr>
        <w:top w:val="none" w:sz="0" w:space="0" w:color="auto"/>
        <w:left w:val="none" w:sz="0" w:space="0" w:color="auto"/>
        <w:bottom w:val="none" w:sz="0" w:space="0" w:color="auto"/>
        <w:right w:val="none" w:sz="0" w:space="0" w:color="auto"/>
      </w:divBdr>
    </w:div>
    <w:div w:id="535050306">
      <w:bodyDiv w:val="1"/>
      <w:marLeft w:val="0"/>
      <w:marRight w:val="0"/>
      <w:marTop w:val="0"/>
      <w:marBottom w:val="0"/>
      <w:divBdr>
        <w:top w:val="none" w:sz="0" w:space="0" w:color="auto"/>
        <w:left w:val="none" w:sz="0" w:space="0" w:color="auto"/>
        <w:bottom w:val="none" w:sz="0" w:space="0" w:color="auto"/>
        <w:right w:val="none" w:sz="0" w:space="0" w:color="auto"/>
      </w:divBdr>
    </w:div>
    <w:div w:id="547690625">
      <w:bodyDiv w:val="1"/>
      <w:marLeft w:val="0"/>
      <w:marRight w:val="0"/>
      <w:marTop w:val="0"/>
      <w:marBottom w:val="0"/>
      <w:divBdr>
        <w:top w:val="none" w:sz="0" w:space="0" w:color="auto"/>
        <w:left w:val="none" w:sz="0" w:space="0" w:color="auto"/>
        <w:bottom w:val="none" w:sz="0" w:space="0" w:color="auto"/>
        <w:right w:val="none" w:sz="0" w:space="0" w:color="auto"/>
      </w:divBdr>
    </w:div>
    <w:div w:id="561332379">
      <w:bodyDiv w:val="1"/>
      <w:marLeft w:val="0"/>
      <w:marRight w:val="0"/>
      <w:marTop w:val="0"/>
      <w:marBottom w:val="0"/>
      <w:divBdr>
        <w:top w:val="none" w:sz="0" w:space="0" w:color="auto"/>
        <w:left w:val="none" w:sz="0" w:space="0" w:color="auto"/>
        <w:bottom w:val="none" w:sz="0" w:space="0" w:color="auto"/>
        <w:right w:val="none" w:sz="0" w:space="0" w:color="auto"/>
      </w:divBdr>
    </w:div>
    <w:div w:id="563763935">
      <w:bodyDiv w:val="1"/>
      <w:marLeft w:val="0"/>
      <w:marRight w:val="0"/>
      <w:marTop w:val="0"/>
      <w:marBottom w:val="0"/>
      <w:divBdr>
        <w:top w:val="none" w:sz="0" w:space="0" w:color="auto"/>
        <w:left w:val="none" w:sz="0" w:space="0" w:color="auto"/>
        <w:bottom w:val="none" w:sz="0" w:space="0" w:color="auto"/>
        <w:right w:val="none" w:sz="0" w:space="0" w:color="auto"/>
      </w:divBdr>
    </w:div>
    <w:div w:id="593324594">
      <w:bodyDiv w:val="1"/>
      <w:marLeft w:val="0"/>
      <w:marRight w:val="0"/>
      <w:marTop w:val="0"/>
      <w:marBottom w:val="0"/>
      <w:divBdr>
        <w:top w:val="none" w:sz="0" w:space="0" w:color="auto"/>
        <w:left w:val="none" w:sz="0" w:space="0" w:color="auto"/>
        <w:bottom w:val="none" w:sz="0" w:space="0" w:color="auto"/>
        <w:right w:val="none" w:sz="0" w:space="0" w:color="auto"/>
      </w:divBdr>
    </w:div>
    <w:div w:id="601378651">
      <w:bodyDiv w:val="1"/>
      <w:marLeft w:val="0"/>
      <w:marRight w:val="0"/>
      <w:marTop w:val="0"/>
      <w:marBottom w:val="0"/>
      <w:divBdr>
        <w:top w:val="none" w:sz="0" w:space="0" w:color="auto"/>
        <w:left w:val="none" w:sz="0" w:space="0" w:color="auto"/>
        <w:bottom w:val="none" w:sz="0" w:space="0" w:color="auto"/>
        <w:right w:val="none" w:sz="0" w:space="0" w:color="auto"/>
      </w:divBdr>
    </w:div>
    <w:div w:id="679044472">
      <w:bodyDiv w:val="1"/>
      <w:marLeft w:val="0"/>
      <w:marRight w:val="0"/>
      <w:marTop w:val="0"/>
      <w:marBottom w:val="0"/>
      <w:divBdr>
        <w:top w:val="none" w:sz="0" w:space="0" w:color="auto"/>
        <w:left w:val="none" w:sz="0" w:space="0" w:color="auto"/>
        <w:bottom w:val="none" w:sz="0" w:space="0" w:color="auto"/>
        <w:right w:val="none" w:sz="0" w:space="0" w:color="auto"/>
      </w:divBdr>
    </w:div>
    <w:div w:id="689188487">
      <w:bodyDiv w:val="1"/>
      <w:marLeft w:val="0"/>
      <w:marRight w:val="0"/>
      <w:marTop w:val="0"/>
      <w:marBottom w:val="0"/>
      <w:divBdr>
        <w:top w:val="none" w:sz="0" w:space="0" w:color="auto"/>
        <w:left w:val="none" w:sz="0" w:space="0" w:color="auto"/>
        <w:bottom w:val="none" w:sz="0" w:space="0" w:color="auto"/>
        <w:right w:val="none" w:sz="0" w:space="0" w:color="auto"/>
      </w:divBdr>
    </w:div>
    <w:div w:id="707799458">
      <w:bodyDiv w:val="1"/>
      <w:marLeft w:val="0"/>
      <w:marRight w:val="0"/>
      <w:marTop w:val="0"/>
      <w:marBottom w:val="0"/>
      <w:divBdr>
        <w:top w:val="none" w:sz="0" w:space="0" w:color="auto"/>
        <w:left w:val="none" w:sz="0" w:space="0" w:color="auto"/>
        <w:bottom w:val="none" w:sz="0" w:space="0" w:color="auto"/>
        <w:right w:val="none" w:sz="0" w:space="0" w:color="auto"/>
      </w:divBdr>
    </w:div>
    <w:div w:id="752625626">
      <w:bodyDiv w:val="1"/>
      <w:marLeft w:val="0"/>
      <w:marRight w:val="0"/>
      <w:marTop w:val="0"/>
      <w:marBottom w:val="0"/>
      <w:divBdr>
        <w:top w:val="none" w:sz="0" w:space="0" w:color="auto"/>
        <w:left w:val="none" w:sz="0" w:space="0" w:color="auto"/>
        <w:bottom w:val="none" w:sz="0" w:space="0" w:color="auto"/>
        <w:right w:val="none" w:sz="0" w:space="0" w:color="auto"/>
      </w:divBdr>
    </w:div>
    <w:div w:id="771365066">
      <w:bodyDiv w:val="1"/>
      <w:marLeft w:val="0"/>
      <w:marRight w:val="0"/>
      <w:marTop w:val="0"/>
      <w:marBottom w:val="0"/>
      <w:divBdr>
        <w:top w:val="none" w:sz="0" w:space="0" w:color="auto"/>
        <w:left w:val="none" w:sz="0" w:space="0" w:color="auto"/>
        <w:bottom w:val="none" w:sz="0" w:space="0" w:color="auto"/>
        <w:right w:val="none" w:sz="0" w:space="0" w:color="auto"/>
      </w:divBdr>
    </w:div>
    <w:div w:id="778908960">
      <w:bodyDiv w:val="1"/>
      <w:marLeft w:val="0"/>
      <w:marRight w:val="0"/>
      <w:marTop w:val="0"/>
      <w:marBottom w:val="0"/>
      <w:divBdr>
        <w:top w:val="none" w:sz="0" w:space="0" w:color="auto"/>
        <w:left w:val="none" w:sz="0" w:space="0" w:color="auto"/>
        <w:bottom w:val="none" w:sz="0" w:space="0" w:color="auto"/>
        <w:right w:val="none" w:sz="0" w:space="0" w:color="auto"/>
      </w:divBdr>
    </w:div>
    <w:div w:id="784353069">
      <w:bodyDiv w:val="1"/>
      <w:marLeft w:val="0"/>
      <w:marRight w:val="0"/>
      <w:marTop w:val="0"/>
      <w:marBottom w:val="0"/>
      <w:divBdr>
        <w:top w:val="none" w:sz="0" w:space="0" w:color="auto"/>
        <w:left w:val="none" w:sz="0" w:space="0" w:color="auto"/>
        <w:bottom w:val="none" w:sz="0" w:space="0" w:color="auto"/>
        <w:right w:val="none" w:sz="0" w:space="0" w:color="auto"/>
      </w:divBdr>
    </w:div>
    <w:div w:id="795224743">
      <w:bodyDiv w:val="1"/>
      <w:marLeft w:val="0"/>
      <w:marRight w:val="0"/>
      <w:marTop w:val="0"/>
      <w:marBottom w:val="0"/>
      <w:divBdr>
        <w:top w:val="none" w:sz="0" w:space="0" w:color="auto"/>
        <w:left w:val="none" w:sz="0" w:space="0" w:color="auto"/>
        <w:bottom w:val="none" w:sz="0" w:space="0" w:color="auto"/>
        <w:right w:val="none" w:sz="0" w:space="0" w:color="auto"/>
      </w:divBdr>
    </w:div>
    <w:div w:id="822889647">
      <w:bodyDiv w:val="1"/>
      <w:marLeft w:val="0"/>
      <w:marRight w:val="0"/>
      <w:marTop w:val="0"/>
      <w:marBottom w:val="0"/>
      <w:divBdr>
        <w:top w:val="none" w:sz="0" w:space="0" w:color="auto"/>
        <w:left w:val="none" w:sz="0" w:space="0" w:color="auto"/>
        <w:bottom w:val="none" w:sz="0" w:space="0" w:color="auto"/>
        <w:right w:val="none" w:sz="0" w:space="0" w:color="auto"/>
      </w:divBdr>
    </w:div>
    <w:div w:id="854075844">
      <w:bodyDiv w:val="1"/>
      <w:marLeft w:val="0"/>
      <w:marRight w:val="0"/>
      <w:marTop w:val="0"/>
      <w:marBottom w:val="0"/>
      <w:divBdr>
        <w:top w:val="none" w:sz="0" w:space="0" w:color="auto"/>
        <w:left w:val="none" w:sz="0" w:space="0" w:color="auto"/>
        <w:bottom w:val="none" w:sz="0" w:space="0" w:color="auto"/>
        <w:right w:val="none" w:sz="0" w:space="0" w:color="auto"/>
      </w:divBdr>
    </w:div>
    <w:div w:id="860826091">
      <w:bodyDiv w:val="1"/>
      <w:marLeft w:val="0"/>
      <w:marRight w:val="0"/>
      <w:marTop w:val="0"/>
      <w:marBottom w:val="0"/>
      <w:divBdr>
        <w:top w:val="none" w:sz="0" w:space="0" w:color="auto"/>
        <w:left w:val="none" w:sz="0" w:space="0" w:color="auto"/>
        <w:bottom w:val="none" w:sz="0" w:space="0" w:color="auto"/>
        <w:right w:val="none" w:sz="0" w:space="0" w:color="auto"/>
      </w:divBdr>
    </w:div>
    <w:div w:id="860975404">
      <w:bodyDiv w:val="1"/>
      <w:marLeft w:val="0"/>
      <w:marRight w:val="0"/>
      <w:marTop w:val="0"/>
      <w:marBottom w:val="0"/>
      <w:divBdr>
        <w:top w:val="none" w:sz="0" w:space="0" w:color="auto"/>
        <w:left w:val="none" w:sz="0" w:space="0" w:color="auto"/>
        <w:bottom w:val="none" w:sz="0" w:space="0" w:color="auto"/>
        <w:right w:val="none" w:sz="0" w:space="0" w:color="auto"/>
      </w:divBdr>
    </w:div>
    <w:div w:id="890262446">
      <w:bodyDiv w:val="1"/>
      <w:marLeft w:val="0"/>
      <w:marRight w:val="0"/>
      <w:marTop w:val="0"/>
      <w:marBottom w:val="0"/>
      <w:divBdr>
        <w:top w:val="none" w:sz="0" w:space="0" w:color="auto"/>
        <w:left w:val="none" w:sz="0" w:space="0" w:color="auto"/>
        <w:bottom w:val="none" w:sz="0" w:space="0" w:color="auto"/>
        <w:right w:val="none" w:sz="0" w:space="0" w:color="auto"/>
      </w:divBdr>
    </w:div>
    <w:div w:id="893202246">
      <w:bodyDiv w:val="1"/>
      <w:marLeft w:val="0"/>
      <w:marRight w:val="0"/>
      <w:marTop w:val="0"/>
      <w:marBottom w:val="0"/>
      <w:divBdr>
        <w:top w:val="none" w:sz="0" w:space="0" w:color="auto"/>
        <w:left w:val="none" w:sz="0" w:space="0" w:color="auto"/>
        <w:bottom w:val="none" w:sz="0" w:space="0" w:color="auto"/>
        <w:right w:val="none" w:sz="0" w:space="0" w:color="auto"/>
      </w:divBdr>
    </w:div>
    <w:div w:id="895045028">
      <w:bodyDiv w:val="1"/>
      <w:marLeft w:val="0"/>
      <w:marRight w:val="0"/>
      <w:marTop w:val="0"/>
      <w:marBottom w:val="0"/>
      <w:divBdr>
        <w:top w:val="none" w:sz="0" w:space="0" w:color="auto"/>
        <w:left w:val="none" w:sz="0" w:space="0" w:color="auto"/>
        <w:bottom w:val="none" w:sz="0" w:space="0" w:color="auto"/>
        <w:right w:val="none" w:sz="0" w:space="0" w:color="auto"/>
      </w:divBdr>
    </w:div>
    <w:div w:id="899244623">
      <w:bodyDiv w:val="1"/>
      <w:marLeft w:val="0"/>
      <w:marRight w:val="0"/>
      <w:marTop w:val="0"/>
      <w:marBottom w:val="0"/>
      <w:divBdr>
        <w:top w:val="none" w:sz="0" w:space="0" w:color="auto"/>
        <w:left w:val="none" w:sz="0" w:space="0" w:color="auto"/>
        <w:bottom w:val="none" w:sz="0" w:space="0" w:color="auto"/>
        <w:right w:val="none" w:sz="0" w:space="0" w:color="auto"/>
      </w:divBdr>
    </w:div>
    <w:div w:id="900486745">
      <w:bodyDiv w:val="1"/>
      <w:marLeft w:val="0"/>
      <w:marRight w:val="0"/>
      <w:marTop w:val="0"/>
      <w:marBottom w:val="0"/>
      <w:divBdr>
        <w:top w:val="none" w:sz="0" w:space="0" w:color="auto"/>
        <w:left w:val="none" w:sz="0" w:space="0" w:color="auto"/>
        <w:bottom w:val="none" w:sz="0" w:space="0" w:color="auto"/>
        <w:right w:val="none" w:sz="0" w:space="0" w:color="auto"/>
      </w:divBdr>
    </w:div>
    <w:div w:id="905188977">
      <w:bodyDiv w:val="1"/>
      <w:marLeft w:val="0"/>
      <w:marRight w:val="0"/>
      <w:marTop w:val="0"/>
      <w:marBottom w:val="0"/>
      <w:divBdr>
        <w:top w:val="none" w:sz="0" w:space="0" w:color="auto"/>
        <w:left w:val="none" w:sz="0" w:space="0" w:color="auto"/>
        <w:bottom w:val="none" w:sz="0" w:space="0" w:color="auto"/>
        <w:right w:val="none" w:sz="0" w:space="0" w:color="auto"/>
      </w:divBdr>
    </w:div>
    <w:div w:id="949317022">
      <w:bodyDiv w:val="1"/>
      <w:marLeft w:val="0"/>
      <w:marRight w:val="0"/>
      <w:marTop w:val="0"/>
      <w:marBottom w:val="0"/>
      <w:divBdr>
        <w:top w:val="none" w:sz="0" w:space="0" w:color="auto"/>
        <w:left w:val="none" w:sz="0" w:space="0" w:color="auto"/>
        <w:bottom w:val="none" w:sz="0" w:space="0" w:color="auto"/>
        <w:right w:val="none" w:sz="0" w:space="0" w:color="auto"/>
      </w:divBdr>
    </w:div>
    <w:div w:id="964653222">
      <w:bodyDiv w:val="1"/>
      <w:marLeft w:val="0"/>
      <w:marRight w:val="0"/>
      <w:marTop w:val="0"/>
      <w:marBottom w:val="0"/>
      <w:divBdr>
        <w:top w:val="none" w:sz="0" w:space="0" w:color="auto"/>
        <w:left w:val="none" w:sz="0" w:space="0" w:color="auto"/>
        <w:bottom w:val="none" w:sz="0" w:space="0" w:color="auto"/>
        <w:right w:val="none" w:sz="0" w:space="0" w:color="auto"/>
      </w:divBdr>
    </w:div>
    <w:div w:id="977609474">
      <w:bodyDiv w:val="1"/>
      <w:marLeft w:val="0"/>
      <w:marRight w:val="0"/>
      <w:marTop w:val="0"/>
      <w:marBottom w:val="0"/>
      <w:divBdr>
        <w:top w:val="none" w:sz="0" w:space="0" w:color="auto"/>
        <w:left w:val="none" w:sz="0" w:space="0" w:color="auto"/>
        <w:bottom w:val="none" w:sz="0" w:space="0" w:color="auto"/>
        <w:right w:val="none" w:sz="0" w:space="0" w:color="auto"/>
      </w:divBdr>
    </w:div>
    <w:div w:id="995568574">
      <w:bodyDiv w:val="1"/>
      <w:marLeft w:val="0"/>
      <w:marRight w:val="0"/>
      <w:marTop w:val="0"/>
      <w:marBottom w:val="0"/>
      <w:divBdr>
        <w:top w:val="none" w:sz="0" w:space="0" w:color="auto"/>
        <w:left w:val="none" w:sz="0" w:space="0" w:color="auto"/>
        <w:bottom w:val="none" w:sz="0" w:space="0" w:color="auto"/>
        <w:right w:val="none" w:sz="0" w:space="0" w:color="auto"/>
      </w:divBdr>
    </w:div>
    <w:div w:id="1011642089">
      <w:bodyDiv w:val="1"/>
      <w:marLeft w:val="0"/>
      <w:marRight w:val="0"/>
      <w:marTop w:val="0"/>
      <w:marBottom w:val="0"/>
      <w:divBdr>
        <w:top w:val="none" w:sz="0" w:space="0" w:color="auto"/>
        <w:left w:val="none" w:sz="0" w:space="0" w:color="auto"/>
        <w:bottom w:val="none" w:sz="0" w:space="0" w:color="auto"/>
        <w:right w:val="none" w:sz="0" w:space="0" w:color="auto"/>
      </w:divBdr>
    </w:div>
    <w:div w:id="1019893045">
      <w:bodyDiv w:val="1"/>
      <w:marLeft w:val="0"/>
      <w:marRight w:val="0"/>
      <w:marTop w:val="0"/>
      <w:marBottom w:val="0"/>
      <w:divBdr>
        <w:top w:val="none" w:sz="0" w:space="0" w:color="auto"/>
        <w:left w:val="none" w:sz="0" w:space="0" w:color="auto"/>
        <w:bottom w:val="none" w:sz="0" w:space="0" w:color="auto"/>
        <w:right w:val="none" w:sz="0" w:space="0" w:color="auto"/>
      </w:divBdr>
    </w:div>
    <w:div w:id="1020860157">
      <w:bodyDiv w:val="1"/>
      <w:marLeft w:val="0"/>
      <w:marRight w:val="0"/>
      <w:marTop w:val="0"/>
      <w:marBottom w:val="0"/>
      <w:divBdr>
        <w:top w:val="none" w:sz="0" w:space="0" w:color="auto"/>
        <w:left w:val="none" w:sz="0" w:space="0" w:color="auto"/>
        <w:bottom w:val="none" w:sz="0" w:space="0" w:color="auto"/>
        <w:right w:val="none" w:sz="0" w:space="0" w:color="auto"/>
      </w:divBdr>
    </w:div>
    <w:div w:id="1074668502">
      <w:bodyDiv w:val="1"/>
      <w:marLeft w:val="0"/>
      <w:marRight w:val="0"/>
      <w:marTop w:val="0"/>
      <w:marBottom w:val="0"/>
      <w:divBdr>
        <w:top w:val="none" w:sz="0" w:space="0" w:color="auto"/>
        <w:left w:val="none" w:sz="0" w:space="0" w:color="auto"/>
        <w:bottom w:val="none" w:sz="0" w:space="0" w:color="auto"/>
        <w:right w:val="none" w:sz="0" w:space="0" w:color="auto"/>
      </w:divBdr>
    </w:div>
    <w:div w:id="1082987835">
      <w:bodyDiv w:val="1"/>
      <w:marLeft w:val="0"/>
      <w:marRight w:val="0"/>
      <w:marTop w:val="0"/>
      <w:marBottom w:val="0"/>
      <w:divBdr>
        <w:top w:val="none" w:sz="0" w:space="0" w:color="auto"/>
        <w:left w:val="none" w:sz="0" w:space="0" w:color="auto"/>
        <w:bottom w:val="none" w:sz="0" w:space="0" w:color="auto"/>
        <w:right w:val="none" w:sz="0" w:space="0" w:color="auto"/>
      </w:divBdr>
    </w:div>
    <w:div w:id="1084254873">
      <w:bodyDiv w:val="1"/>
      <w:marLeft w:val="0"/>
      <w:marRight w:val="0"/>
      <w:marTop w:val="0"/>
      <w:marBottom w:val="0"/>
      <w:divBdr>
        <w:top w:val="none" w:sz="0" w:space="0" w:color="auto"/>
        <w:left w:val="none" w:sz="0" w:space="0" w:color="auto"/>
        <w:bottom w:val="none" w:sz="0" w:space="0" w:color="auto"/>
        <w:right w:val="none" w:sz="0" w:space="0" w:color="auto"/>
      </w:divBdr>
    </w:div>
    <w:div w:id="1088308039">
      <w:bodyDiv w:val="1"/>
      <w:marLeft w:val="0"/>
      <w:marRight w:val="0"/>
      <w:marTop w:val="0"/>
      <w:marBottom w:val="0"/>
      <w:divBdr>
        <w:top w:val="none" w:sz="0" w:space="0" w:color="auto"/>
        <w:left w:val="none" w:sz="0" w:space="0" w:color="auto"/>
        <w:bottom w:val="none" w:sz="0" w:space="0" w:color="auto"/>
        <w:right w:val="none" w:sz="0" w:space="0" w:color="auto"/>
      </w:divBdr>
    </w:div>
    <w:div w:id="1096513742">
      <w:bodyDiv w:val="1"/>
      <w:marLeft w:val="0"/>
      <w:marRight w:val="0"/>
      <w:marTop w:val="0"/>
      <w:marBottom w:val="0"/>
      <w:divBdr>
        <w:top w:val="none" w:sz="0" w:space="0" w:color="auto"/>
        <w:left w:val="none" w:sz="0" w:space="0" w:color="auto"/>
        <w:bottom w:val="none" w:sz="0" w:space="0" w:color="auto"/>
        <w:right w:val="none" w:sz="0" w:space="0" w:color="auto"/>
      </w:divBdr>
    </w:div>
    <w:div w:id="1111319626">
      <w:bodyDiv w:val="1"/>
      <w:marLeft w:val="0"/>
      <w:marRight w:val="0"/>
      <w:marTop w:val="0"/>
      <w:marBottom w:val="0"/>
      <w:divBdr>
        <w:top w:val="none" w:sz="0" w:space="0" w:color="auto"/>
        <w:left w:val="none" w:sz="0" w:space="0" w:color="auto"/>
        <w:bottom w:val="none" w:sz="0" w:space="0" w:color="auto"/>
        <w:right w:val="none" w:sz="0" w:space="0" w:color="auto"/>
      </w:divBdr>
    </w:div>
    <w:div w:id="1112821012">
      <w:bodyDiv w:val="1"/>
      <w:marLeft w:val="0"/>
      <w:marRight w:val="0"/>
      <w:marTop w:val="0"/>
      <w:marBottom w:val="0"/>
      <w:divBdr>
        <w:top w:val="none" w:sz="0" w:space="0" w:color="auto"/>
        <w:left w:val="none" w:sz="0" w:space="0" w:color="auto"/>
        <w:bottom w:val="none" w:sz="0" w:space="0" w:color="auto"/>
        <w:right w:val="none" w:sz="0" w:space="0" w:color="auto"/>
      </w:divBdr>
    </w:div>
    <w:div w:id="1113397703">
      <w:bodyDiv w:val="1"/>
      <w:marLeft w:val="0"/>
      <w:marRight w:val="0"/>
      <w:marTop w:val="0"/>
      <w:marBottom w:val="0"/>
      <w:divBdr>
        <w:top w:val="none" w:sz="0" w:space="0" w:color="auto"/>
        <w:left w:val="none" w:sz="0" w:space="0" w:color="auto"/>
        <w:bottom w:val="none" w:sz="0" w:space="0" w:color="auto"/>
        <w:right w:val="none" w:sz="0" w:space="0" w:color="auto"/>
      </w:divBdr>
    </w:div>
    <w:div w:id="1150050242">
      <w:bodyDiv w:val="1"/>
      <w:marLeft w:val="0"/>
      <w:marRight w:val="0"/>
      <w:marTop w:val="0"/>
      <w:marBottom w:val="0"/>
      <w:divBdr>
        <w:top w:val="none" w:sz="0" w:space="0" w:color="auto"/>
        <w:left w:val="none" w:sz="0" w:space="0" w:color="auto"/>
        <w:bottom w:val="none" w:sz="0" w:space="0" w:color="auto"/>
        <w:right w:val="none" w:sz="0" w:space="0" w:color="auto"/>
      </w:divBdr>
    </w:div>
    <w:div w:id="1173296908">
      <w:bodyDiv w:val="1"/>
      <w:marLeft w:val="0"/>
      <w:marRight w:val="0"/>
      <w:marTop w:val="0"/>
      <w:marBottom w:val="0"/>
      <w:divBdr>
        <w:top w:val="none" w:sz="0" w:space="0" w:color="auto"/>
        <w:left w:val="none" w:sz="0" w:space="0" w:color="auto"/>
        <w:bottom w:val="none" w:sz="0" w:space="0" w:color="auto"/>
        <w:right w:val="none" w:sz="0" w:space="0" w:color="auto"/>
      </w:divBdr>
    </w:div>
    <w:div w:id="1181553482">
      <w:bodyDiv w:val="1"/>
      <w:marLeft w:val="0"/>
      <w:marRight w:val="0"/>
      <w:marTop w:val="0"/>
      <w:marBottom w:val="0"/>
      <w:divBdr>
        <w:top w:val="none" w:sz="0" w:space="0" w:color="auto"/>
        <w:left w:val="none" w:sz="0" w:space="0" w:color="auto"/>
        <w:bottom w:val="none" w:sz="0" w:space="0" w:color="auto"/>
        <w:right w:val="none" w:sz="0" w:space="0" w:color="auto"/>
      </w:divBdr>
    </w:div>
    <w:div w:id="1184594043">
      <w:bodyDiv w:val="1"/>
      <w:marLeft w:val="0"/>
      <w:marRight w:val="0"/>
      <w:marTop w:val="0"/>
      <w:marBottom w:val="0"/>
      <w:divBdr>
        <w:top w:val="none" w:sz="0" w:space="0" w:color="auto"/>
        <w:left w:val="none" w:sz="0" w:space="0" w:color="auto"/>
        <w:bottom w:val="none" w:sz="0" w:space="0" w:color="auto"/>
        <w:right w:val="none" w:sz="0" w:space="0" w:color="auto"/>
      </w:divBdr>
    </w:div>
    <w:div w:id="1212687190">
      <w:bodyDiv w:val="1"/>
      <w:marLeft w:val="0"/>
      <w:marRight w:val="0"/>
      <w:marTop w:val="0"/>
      <w:marBottom w:val="0"/>
      <w:divBdr>
        <w:top w:val="none" w:sz="0" w:space="0" w:color="auto"/>
        <w:left w:val="none" w:sz="0" w:space="0" w:color="auto"/>
        <w:bottom w:val="none" w:sz="0" w:space="0" w:color="auto"/>
        <w:right w:val="none" w:sz="0" w:space="0" w:color="auto"/>
      </w:divBdr>
    </w:div>
    <w:div w:id="1215119625">
      <w:bodyDiv w:val="1"/>
      <w:marLeft w:val="0"/>
      <w:marRight w:val="0"/>
      <w:marTop w:val="0"/>
      <w:marBottom w:val="0"/>
      <w:divBdr>
        <w:top w:val="none" w:sz="0" w:space="0" w:color="auto"/>
        <w:left w:val="none" w:sz="0" w:space="0" w:color="auto"/>
        <w:bottom w:val="none" w:sz="0" w:space="0" w:color="auto"/>
        <w:right w:val="none" w:sz="0" w:space="0" w:color="auto"/>
      </w:divBdr>
    </w:div>
    <w:div w:id="1218973002">
      <w:bodyDiv w:val="1"/>
      <w:marLeft w:val="0"/>
      <w:marRight w:val="0"/>
      <w:marTop w:val="0"/>
      <w:marBottom w:val="0"/>
      <w:divBdr>
        <w:top w:val="none" w:sz="0" w:space="0" w:color="auto"/>
        <w:left w:val="none" w:sz="0" w:space="0" w:color="auto"/>
        <w:bottom w:val="none" w:sz="0" w:space="0" w:color="auto"/>
        <w:right w:val="none" w:sz="0" w:space="0" w:color="auto"/>
      </w:divBdr>
    </w:div>
    <w:div w:id="1220828502">
      <w:bodyDiv w:val="1"/>
      <w:marLeft w:val="0"/>
      <w:marRight w:val="0"/>
      <w:marTop w:val="0"/>
      <w:marBottom w:val="0"/>
      <w:divBdr>
        <w:top w:val="none" w:sz="0" w:space="0" w:color="auto"/>
        <w:left w:val="none" w:sz="0" w:space="0" w:color="auto"/>
        <w:bottom w:val="none" w:sz="0" w:space="0" w:color="auto"/>
        <w:right w:val="none" w:sz="0" w:space="0" w:color="auto"/>
      </w:divBdr>
    </w:div>
    <w:div w:id="1280140059">
      <w:bodyDiv w:val="1"/>
      <w:marLeft w:val="0"/>
      <w:marRight w:val="0"/>
      <w:marTop w:val="0"/>
      <w:marBottom w:val="0"/>
      <w:divBdr>
        <w:top w:val="none" w:sz="0" w:space="0" w:color="auto"/>
        <w:left w:val="none" w:sz="0" w:space="0" w:color="auto"/>
        <w:bottom w:val="none" w:sz="0" w:space="0" w:color="auto"/>
        <w:right w:val="none" w:sz="0" w:space="0" w:color="auto"/>
      </w:divBdr>
    </w:div>
    <w:div w:id="1298873298">
      <w:bodyDiv w:val="1"/>
      <w:marLeft w:val="0"/>
      <w:marRight w:val="0"/>
      <w:marTop w:val="0"/>
      <w:marBottom w:val="0"/>
      <w:divBdr>
        <w:top w:val="none" w:sz="0" w:space="0" w:color="auto"/>
        <w:left w:val="none" w:sz="0" w:space="0" w:color="auto"/>
        <w:bottom w:val="none" w:sz="0" w:space="0" w:color="auto"/>
        <w:right w:val="none" w:sz="0" w:space="0" w:color="auto"/>
      </w:divBdr>
    </w:div>
    <w:div w:id="1314943004">
      <w:bodyDiv w:val="1"/>
      <w:marLeft w:val="0"/>
      <w:marRight w:val="0"/>
      <w:marTop w:val="0"/>
      <w:marBottom w:val="0"/>
      <w:divBdr>
        <w:top w:val="none" w:sz="0" w:space="0" w:color="auto"/>
        <w:left w:val="none" w:sz="0" w:space="0" w:color="auto"/>
        <w:bottom w:val="none" w:sz="0" w:space="0" w:color="auto"/>
        <w:right w:val="none" w:sz="0" w:space="0" w:color="auto"/>
      </w:divBdr>
    </w:div>
    <w:div w:id="1360859705">
      <w:bodyDiv w:val="1"/>
      <w:marLeft w:val="0"/>
      <w:marRight w:val="0"/>
      <w:marTop w:val="0"/>
      <w:marBottom w:val="0"/>
      <w:divBdr>
        <w:top w:val="none" w:sz="0" w:space="0" w:color="auto"/>
        <w:left w:val="none" w:sz="0" w:space="0" w:color="auto"/>
        <w:bottom w:val="none" w:sz="0" w:space="0" w:color="auto"/>
        <w:right w:val="none" w:sz="0" w:space="0" w:color="auto"/>
      </w:divBdr>
    </w:div>
    <w:div w:id="1373072027">
      <w:bodyDiv w:val="1"/>
      <w:marLeft w:val="0"/>
      <w:marRight w:val="0"/>
      <w:marTop w:val="0"/>
      <w:marBottom w:val="0"/>
      <w:divBdr>
        <w:top w:val="none" w:sz="0" w:space="0" w:color="auto"/>
        <w:left w:val="none" w:sz="0" w:space="0" w:color="auto"/>
        <w:bottom w:val="none" w:sz="0" w:space="0" w:color="auto"/>
        <w:right w:val="none" w:sz="0" w:space="0" w:color="auto"/>
      </w:divBdr>
    </w:div>
    <w:div w:id="1407075015">
      <w:bodyDiv w:val="1"/>
      <w:marLeft w:val="0"/>
      <w:marRight w:val="0"/>
      <w:marTop w:val="0"/>
      <w:marBottom w:val="0"/>
      <w:divBdr>
        <w:top w:val="none" w:sz="0" w:space="0" w:color="auto"/>
        <w:left w:val="none" w:sz="0" w:space="0" w:color="auto"/>
        <w:bottom w:val="none" w:sz="0" w:space="0" w:color="auto"/>
        <w:right w:val="none" w:sz="0" w:space="0" w:color="auto"/>
      </w:divBdr>
    </w:div>
    <w:div w:id="1471941665">
      <w:bodyDiv w:val="1"/>
      <w:marLeft w:val="0"/>
      <w:marRight w:val="0"/>
      <w:marTop w:val="0"/>
      <w:marBottom w:val="0"/>
      <w:divBdr>
        <w:top w:val="none" w:sz="0" w:space="0" w:color="auto"/>
        <w:left w:val="none" w:sz="0" w:space="0" w:color="auto"/>
        <w:bottom w:val="none" w:sz="0" w:space="0" w:color="auto"/>
        <w:right w:val="none" w:sz="0" w:space="0" w:color="auto"/>
      </w:divBdr>
    </w:div>
    <w:div w:id="1491209357">
      <w:bodyDiv w:val="1"/>
      <w:marLeft w:val="0"/>
      <w:marRight w:val="0"/>
      <w:marTop w:val="0"/>
      <w:marBottom w:val="0"/>
      <w:divBdr>
        <w:top w:val="none" w:sz="0" w:space="0" w:color="auto"/>
        <w:left w:val="none" w:sz="0" w:space="0" w:color="auto"/>
        <w:bottom w:val="none" w:sz="0" w:space="0" w:color="auto"/>
        <w:right w:val="none" w:sz="0" w:space="0" w:color="auto"/>
      </w:divBdr>
    </w:div>
    <w:div w:id="1507091129">
      <w:bodyDiv w:val="1"/>
      <w:marLeft w:val="0"/>
      <w:marRight w:val="0"/>
      <w:marTop w:val="0"/>
      <w:marBottom w:val="0"/>
      <w:divBdr>
        <w:top w:val="none" w:sz="0" w:space="0" w:color="auto"/>
        <w:left w:val="none" w:sz="0" w:space="0" w:color="auto"/>
        <w:bottom w:val="none" w:sz="0" w:space="0" w:color="auto"/>
        <w:right w:val="none" w:sz="0" w:space="0" w:color="auto"/>
      </w:divBdr>
    </w:div>
    <w:div w:id="1539734394">
      <w:bodyDiv w:val="1"/>
      <w:marLeft w:val="0"/>
      <w:marRight w:val="0"/>
      <w:marTop w:val="0"/>
      <w:marBottom w:val="0"/>
      <w:divBdr>
        <w:top w:val="none" w:sz="0" w:space="0" w:color="auto"/>
        <w:left w:val="none" w:sz="0" w:space="0" w:color="auto"/>
        <w:bottom w:val="none" w:sz="0" w:space="0" w:color="auto"/>
        <w:right w:val="none" w:sz="0" w:space="0" w:color="auto"/>
      </w:divBdr>
    </w:div>
    <w:div w:id="1545436109">
      <w:bodyDiv w:val="1"/>
      <w:marLeft w:val="0"/>
      <w:marRight w:val="0"/>
      <w:marTop w:val="0"/>
      <w:marBottom w:val="0"/>
      <w:divBdr>
        <w:top w:val="none" w:sz="0" w:space="0" w:color="auto"/>
        <w:left w:val="none" w:sz="0" w:space="0" w:color="auto"/>
        <w:bottom w:val="none" w:sz="0" w:space="0" w:color="auto"/>
        <w:right w:val="none" w:sz="0" w:space="0" w:color="auto"/>
      </w:divBdr>
    </w:div>
    <w:div w:id="1549340569">
      <w:bodyDiv w:val="1"/>
      <w:marLeft w:val="0"/>
      <w:marRight w:val="0"/>
      <w:marTop w:val="0"/>
      <w:marBottom w:val="0"/>
      <w:divBdr>
        <w:top w:val="none" w:sz="0" w:space="0" w:color="auto"/>
        <w:left w:val="none" w:sz="0" w:space="0" w:color="auto"/>
        <w:bottom w:val="none" w:sz="0" w:space="0" w:color="auto"/>
        <w:right w:val="none" w:sz="0" w:space="0" w:color="auto"/>
      </w:divBdr>
    </w:div>
    <w:div w:id="1556965490">
      <w:bodyDiv w:val="1"/>
      <w:marLeft w:val="0"/>
      <w:marRight w:val="0"/>
      <w:marTop w:val="0"/>
      <w:marBottom w:val="0"/>
      <w:divBdr>
        <w:top w:val="none" w:sz="0" w:space="0" w:color="auto"/>
        <w:left w:val="none" w:sz="0" w:space="0" w:color="auto"/>
        <w:bottom w:val="none" w:sz="0" w:space="0" w:color="auto"/>
        <w:right w:val="none" w:sz="0" w:space="0" w:color="auto"/>
      </w:divBdr>
    </w:div>
    <w:div w:id="1561476725">
      <w:bodyDiv w:val="1"/>
      <w:marLeft w:val="0"/>
      <w:marRight w:val="0"/>
      <w:marTop w:val="0"/>
      <w:marBottom w:val="0"/>
      <w:divBdr>
        <w:top w:val="none" w:sz="0" w:space="0" w:color="auto"/>
        <w:left w:val="none" w:sz="0" w:space="0" w:color="auto"/>
        <w:bottom w:val="none" w:sz="0" w:space="0" w:color="auto"/>
        <w:right w:val="none" w:sz="0" w:space="0" w:color="auto"/>
      </w:divBdr>
    </w:div>
    <w:div w:id="1566988081">
      <w:bodyDiv w:val="1"/>
      <w:marLeft w:val="0"/>
      <w:marRight w:val="0"/>
      <w:marTop w:val="0"/>
      <w:marBottom w:val="0"/>
      <w:divBdr>
        <w:top w:val="none" w:sz="0" w:space="0" w:color="auto"/>
        <w:left w:val="none" w:sz="0" w:space="0" w:color="auto"/>
        <w:bottom w:val="none" w:sz="0" w:space="0" w:color="auto"/>
        <w:right w:val="none" w:sz="0" w:space="0" w:color="auto"/>
      </w:divBdr>
    </w:div>
    <w:div w:id="1600022384">
      <w:bodyDiv w:val="1"/>
      <w:marLeft w:val="0"/>
      <w:marRight w:val="0"/>
      <w:marTop w:val="0"/>
      <w:marBottom w:val="0"/>
      <w:divBdr>
        <w:top w:val="none" w:sz="0" w:space="0" w:color="auto"/>
        <w:left w:val="none" w:sz="0" w:space="0" w:color="auto"/>
        <w:bottom w:val="none" w:sz="0" w:space="0" w:color="auto"/>
        <w:right w:val="none" w:sz="0" w:space="0" w:color="auto"/>
      </w:divBdr>
    </w:div>
    <w:div w:id="1639217434">
      <w:bodyDiv w:val="1"/>
      <w:marLeft w:val="0"/>
      <w:marRight w:val="0"/>
      <w:marTop w:val="0"/>
      <w:marBottom w:val="0"/>
      <w:divBdr>
        <w:top w:val="none" w:sz="0" w:space="0" w:color="auto"/>
        <w:left w:val="none" w:sz="0" w:space="0" w:color="auto"/>
        <w:bottom w:val="none" w:sz="0" w:space="0" w:color="auto"/>
        <w:right w:val="none" w:sz="0" w:space="0" w:color="auto"/>
      </w:divBdr>
    </w:div>
    <w:div w:id="1646425548">
      <w:bodyDiv w:val="1"/>
      <w:marLeft w:val="0"/>
      <w:marRight w:val="0"/>
      <w:marTop w:val="0"/>
      <w:marBottom w:val="0"/>
      <w:divBdr>
        <w:top w:val="none" w:sz="0" w:space="0" w:color="auto"/>
        <w:left w:val="none" w:sz="0" w:space="0" w:color="auto"/>
        <w:bottom w:val="none" w:sz="0" w:space="0" w:color="auto"/>
        <w:right w:val="none" w:sz="0" w:space="0" w:color="auto"/>
      </w:divBdr>
    </w:div>
    <w:div w:id="1654331505">
      <w:bodyDiv w:val="1"/>
      <w:marLeft w:val="0"/>
      <w:marRight w:val="0"/>
      <w:marTop w:val="0"/>
      <w:marBottom w:val="0"/>
      <w:divBdr>
        <w:top w:val="none" w:sz="0" w:space="0" w:color="auto"/>
        <w:left w:val="none" w:sz="0" w:space="0" w:color="auto"/>
        <w:bottom w:val="none" w:sz="0" w:space="0" w:color="auto"/>
        <w:right w:val="none" w:sz="0" w:space="0" w:color="auto"/>
      </w:divBdr>
    </w:div>
    <w:div w:id="1693536219">
      <w:bodyDiv w:val="1"/>
      <w:marLeft w:val="0"/>
      <w:marRight w:val="0"/>
      <w:marTop w:val="0"/>
      <w:marBottom w:val="0"/>
      <w:divBdr>
        <w:top w:val="none" w:sz="0" w:space="0" w:color="auto"/>
        <w:left w:val="none" w:sz="0" w:space="0" w:color="auto"/>
        <w:bottom w:val="none" w:sz="0" w:space="0" w:color="auto"/>
        <w:right w:val="none" w:sz="0" w:space="0" w:color="auto"/>
      </w:divBdr>
    </w:div>
    <w:div w:id="1696735199">
      <w:bodyDiv w:val="1"/>
      <w:marLeft w:val="0"/>
      <w:marRight w:val="0"/>
      <w:marTop w:val="0"/>
      <w:marBottom w:val="0"/>
      <w:divBdr>
        <w:top w:val="none" w:sz="0" w:space="0" w:color="auto"/>
        <w:left w:val="none" w:sz="0" w:space="0" w:color="auto"/>
        <w:bottom w:val="none" w:sz="0" w:space="0" w:color="auto"/>
        <w:right w:val="none" w:sz="0" w:space="0" w:color="auto"/>
      </w:divBdr>
    </w:div>
    <w:div w:id="1713191686">
      <w:bodyDiv w:val="1"/>
      <w:marLeft w:val="0"/>
      <w:marRight w:val="0"/>
      <w:marTop w:val="0"/>
      <w:marBottom w:val="0"/>
      <w:divBdr>
        <w:top w:val="none" w:sz="0" w:space="0" w:color="auto"/>
        <w:left w:val="none" w:sz="0" w:space="0" w:color="auto"/>
        <w:bottom w:val="none" w:sz="0" w:space="0" w:color="auto"/>
        <w:right w:val="none" w:sz="0" w:space="0" w:color="auto"/>
      </w:divBdr>
    </w:div>
    <w:div w:id="1716197979">
      <w:bodyDiv w:val="1"/>
      <w:marLeft w:val="0"/>
      <w:marRight w:val="0"/>
      <w:marTop w:val="0"/>
      <w:marBottom w:val="0"/>
      <w:divBdr>
        <w:top w:val="none" w:sz="0" w:space="0" w:color="auto"/>
        <w:left w:val="none" w:sz="0" w:space="0" w:color="auto"/>
        <w:bottom w:val="none" w:sz="0" w:space="0" w:color="auto"/>
        <w:right w:val="none" w:sz="0" w:space="0" w:color="auto"/>
      </w:divBdr>
    </w:div>
    <w:div w:id="1772159192">
      <w:bodyDiv w:val="1"/>
      <w:marLeft w:val="0"/>
      <w:marRight w:val="0"/>
      <w:marTop w:val="0"/>
      <w:marBottom w:val="0"/>
      <w:divBdr>
        <w:top w:val="none" w:sz="0" w:space="0" w:color="auto"/>
        <w:left w:val="none" w:sz="0" w:space="0" w:color="auto"/>
        <w:bottom w:val="none" w:sz="0" w:space="0" w:color="auto"/>
        <w:right w:val="none" w:sz="0" w:space="0" w:color="auto"/>
      </w:divBdr>
    </w:div>
    <w:div w:id="1778913429">
      <w:bodyDiv w:val="1"/>
      <w:marLeft w:val="0"/>
      <w:marRight w:val="0"/>
      <w:marTop w:val="0"/>
      <w:marBottom w:val="0"/>
      <w:divBdr>
        <w:top w:val="none" w:sz="0" w:space="0" w:color="auto"/>
        <w:left w:val="none" w:sz="0" w:space="0" w:color="auto"/>
        <w:bottom w:val="none" w:sz="0" w:space="0" w:color="auto"/>
        <w:right w:val="none" w:sz="0" w:space="0" w:color="auto"/>
      </w:divBdr>
    </w:div>
    <w:div w:id="1799103977">
      <w:bodyDiv w:val="1"/>
      <w:marLeft w:val="0"/>
      <w:marRight w:val="0"/>
      <w:marTop w:val="0"/>
      <w:marBottom w:val="0"/>
      <w:divBdr>
        <w:top w:val="none" w:sz="0" w:space="0" w:color="auto"/>
        <w:left w:val="none" w:sz="0" w:space="0" w:color="auto"/>
        <w:bottom w:val="none" w:sz="0" w:space="0" w:color="auto"/>
        <w:right w:val="none" w:sz="0" w:space="0" w:color="auto"/>
      </w:divBdr>
    </w:div>
    <w:div w:id="1830635641">
      <w:bodyDiv w:val="1"/>
      <w:marLeft w:val="0"/>
      <w:marRight w:val="0"/>
      <w:marTop w:val="0"/>
      <w:marBottom w:val="0"/>
      <w:divBdr>
        <w:top w:val="none" w:sz="0" w:space="0" w:color="auto"/>
        <w:left w:val="none" w:sz="0" w:space="0" w:color="auto"/>
        <w:bottom w:val="none" w:sz="0" w:space="0" w:color="auto"/>
        <w:right w:val="none" w:sz="0" w:space="0" w:color="auto"/>
      </w:divBdr>
    </w:div>
    <w:div w:id="1852404065">
      <w:bodyDiv w:val="1"/>
      <w:marLeft w:val="0"/>
      <w:marRight w:val="0"/>
      <w:marTop w:val="0"/>
      <w:marBottom w:val="0"/>
      <w:divBdr>
        <w:top w:val="none" w:sz="0" w:space="0" w:color="auto"/>
        <w:left w:val="none" w:sz="0" w:space="0" w:color="auto"/>
        <w:bottom w:val="none" w:sz="0" w:space="0" w:color="auto"/>
        <w:right w:val="none" w:sz="0" w:space="0" w:color="auto"/>
      </w:divBdr>
    </w:div>
    <w:div w:id="1877346462">
      <w:bodyDiv w:val="1"/>
      <w:marLeft w:val="0"/>
      <w:marRight w:val="0"/>
      <w:marTop w:val="0"/>
      <w:marBottom w:val="0"/>
      <w:divBdr>
        <w:top w:val="none" w:sz="0" w:space="0" w:color="auto"/>
        <w:left w:val="none" w:sz="0" w:space="0" w:color="auto"/>
        <w:bottom w:val="none" w:sz="0" w:space="0" w:color="auto"/>
        <w:right w:val="none" w:sz="0" w:space="0" w:color="auto"/>
      </w:divBdr>
    </w:div>
    <w:div w:id="1969847997">
      <w:bodyDiv w:val="1"/>
      <w:marLeft w:val="0"/>
      <w:marRight w:val="0"/>
      <w:marTop w:val="0"/>
      <w:marBottom w:val="0"/>
      <w:divBdr>
        <w:top w:val="none" w:sz="0" w:space="0" w:color="auto"/>
        <w:left w:val="none" w:sz="0" w:space="0" w:color="auto"/>
        <w:bottom w:val="none" w:sz="0" w:space="0" w:color="auto"/>
        <w:right w:val="none" w:sz="0" w:space="0" w:color="auto"/>
      </w:divBdr>
    </w:div>
    <w:div w:id="1989627335">
      <w:bodyDiv w:val="1"/>
      <w:marLeft w:val="0"/>
      <w:marRight w:val="0"/>
      <w:marTop w:val="0"/>
      <w:marBottom w:val="0"/>
      <w:divBdr>
        <w:top w:val="none" w:sz="0" w:space="0" w:color="auto"/>
        <w:left w:val="none" w:sz="0" w:space="0" w:color="auto"/>
        <w:bottom w:val="none" w:sz="0" w:space="0" w:color="auto"/>
        <w:right w:val="none" w:sz="0" w:space="0" w:color="auto"/>
      </w:divBdr>
    </w:div>
    <w:div w:id="2009822842">
      <w:bodyDiv w:val="1"/>
      <w:marLeft w:val="0"/>
      <w:marRight w:val="0"/>
      <w:marTop w:val="0"/>
      <w:marBottom w:val="0"/>
      <w:divBdr>
        <w:top w:val="none" w:sz="0" w:space="0" w:color="auto"/>
        <w:left w:val="none" w:sz="0" w:space="0" w:color="auto"/>
        <w:bottom w:val="none" w:sz="0" w:space="0" w:color="auto"/>
        <w:right w:val="none" w:sz="0" w:space="0" w:color="auto"/>
      </w:divBdr>
    </w:div>
    <w:div w:id="2014600096">
      <w:bodyDiv w:val="1"/>
      <w:marLeft w:val="0"/>
      <w:marRight w:val="0"/>
      <w:marTop w:val="0"/>
      <w:marBottom w:val="0"/>
      <w:divBdr>
        <w:top w:val="none" w:sz="0" w:space="0" w:color="auto"/>
        <w:left w:val="none" w:sz="0" w:space="0" w:color="auto"/>
        <w:bottom w:val="none" w:sz="0" w:space="0" w:color="auto"/>
        <w:right w:val="none" w:sz="0" w:space="0" w:color="auto"/>
      </w:divBdr>
    </w:div>
    <w:div w:id="2046174150">
      <w:bodyDiv w:val="1"/>
      <w:marLeft w:val="0"/>
      <w:marRight w:val="0"/>
      <w:marTop w:val="0"/>
      <w:marBottom w:val="0"/>
      <w:divBdr>
        <w:top w:val="none" w:sz="0" w:space="0" w:color="auto"/>
        <w:left w:val="none" w:sz="0" w:space="0" w:color="auto"/>
        <w:bottom w:val="none" w:sz="0" w:space="0" w:color="auto"/>
        <w:right w:val="none" w:sz="0" w:space="0" w:color="auto"/>
      </w:divBdr>
    </w:div>
    <w:div w:id="2088457389">
      <w:bodyDiv w:val="1"/>
      <w:marLeft w:val="0"/>
      <w:marRight w:val="0"/>
      <w:marTop w:val="0"/>
      <w:marBottom w:val="0"/>
      <w:divBdr>
        <w:top w:val="none" w:sz="0" w:space="0" w:color="auto"/>
        <w:left w:val="none" w:sz="0" w:space="0" w:color="auto"/>
        <w:bottom w:val="none" w:sz="0" w:space="0" w:color="auto"/>
        <w:right w:val="none" w:sz="0" w:space="0" w:color="auto"/>
      </w:divBdr>
    </w:div>
    <w:div w:id="2092192867">
      <w:bodyDiv w:val="1"/>
      <w:marLeft w:val="0"/>
      <w:marRight w:val="0"/>
      <w:marTop w:val="0"/>
      <w:marBottom w:val="0"/>
      <w:divBdr>
        <w:top w:val="none" w:sz="0" w:space="0" w:color="auto"/>
        <w:left w:val="none" w:sz="0" w:space="0" w:color="auto"/>
        <w:bottom w:val="none" w:sz="0" w:space="0" w:color="auto"/>
        <w:right w:val="none" w:sz="0" w:space="0" w:color="auto"/>
      </w:divBdr>
    </w:div>
    <w:div w:id="2100984610">
      <w:bodyDiv w:val="1"/>
      <w:marLeft w:val="0"/>
      <w:marRight w:val="0"/>
      <w:marTop w:val="0"/>
      <w:marBottom w:val="0"/>
      <w:divBdr>
        <w:top w:val="none" w:sz="0" w:space="0" w:color="auto"/>
        <w:left w:val="none" w:sz="0" w:space="0" w:color="auto"/>
        <w:bottom w:val="none" w:sz="0" w:space="0" w:color="auto"/>
        <w:right w:val="none" w:sz="0" w:space="0" w:color="auto"/>
      </w:divBdr>
    </w:div>
    <w:div w:id="2117094697">
      <w:bodyDiv w:val="1"/>
      <w:marLeft w:val="0"/>
      <w:marRight w:val="0"/>
      <w:marTop w:val="0"/>
      <w:marBottom w:val="0"/>
      <w:divBdr>
        <w:top w:val="none" w:sz="0" w:space="0" w:color="auto"/>
        <w:left w:val="none" w:sz="0" w:space="0" w:color="auto"/>
        <w:bottom w:val="none" w:sz="0" w:space="0" w:color="auto"/>
        <w:right w:val="none" w:sz="0" w:space="0" w:color="auto"/>
      </w:divBdr>
    </w:div>
    <w:div w:id="2124495274">
      <w:bodyDiv w:val="1"/>
      <w:marLeft w:val="0"/>
      <w:marRight w:val="0"/>
      <w:marTop w:val="0"/>
      <w:marBottom w:val="0"/>
      <w:divBdr>
        <w:top w:val="none" w:sz="0" w:space="0" w:color="auto"/>
        <w:left w:val="none" w:sz="0" w:space="0" w:color="auto"/>
        <w:bottom w:val="none" w:sz="0" w:space="0" w:color="auto"/>
        <w:right w:val="none" w:sz="0" w:space="0" w:color="auto"/>
      </w:divBdr>
    </w:div>
    <w:div w:id="212738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hyperlink" Target="https://data.census.gov/" TargetMode="External"/><Relationship Id="rId42" Type="http://schemas.openxmlformats.org/officeDocument/2006/relationships/image" Target="media/image13.png"/><Relationship Id="rId47" Type="http://schemas.openxmlformats.org/officeDocument/2006/relationships/hyperlink" Target="https://seer.cancer.gov/popdata/" TargetMode="External"/><Relationship Id="rId63" Type="http://schemas.openxmlformats.org/officeDocument/2006/relationships/image" Target="media/image24.emf"/><Relationship Id="rId68" Type="http://schemas.openxmlformats.org/officeDocument/2006/relationships/hyperlink" Target="https://seer.cancer.gov/popdata/"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seer.cancer.gov/popdata/" TargetMode="Externa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image" Target="media/image9.png"/><Relationship Id="rId37" Type="http://schemas.openxmlformats.org/officeDocument/2006/relationships/hyperlink" Target="https://seer.cancer.gov/popdata/" TargetMode="External"/><Relationship Id="rId40" Type="http://schemas.openxmlformats.org/officeDocument/2006/relationships/image" Target="media/image12.png"/><Relationship Id="rId45" Type="http://schemas.openxmlformats.org/officeDocument/2006/relationships/hyperlink" Target="https://seer.cancer.gov/popdata/" TargetMode="External"/><Relationship Id="rId53" Type="http://schemas.openxmlformats.org/officeDocument/2006/relationships/hyperlink" Target="https://seer.cancer.gov/popdata/" TargetMode="External"/><Relationship Id="rId58" Type="http://schemas.openxmlformats.org/officeDocument/2006/relationships/image" Target="media/image21.emf"/><Relationship Id="rId66" Type="http://schemas.openxmlformats.org/officeDocument/2006/relationships/hyperlink" Target="https://seer.cancer.gov/popdata/"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seer.cancer.gov/popdata/" TargetMode="External"/><Relationship Id="rId19" Type="http://schemas.openxmlformats.org/officeDocument/2006/relationships/chart" Target="charts/chart1.xml"/><Relationship Id="rId14" Type="http://schemas.openxmlformats.org/officeDocument/2006/relationships/image" Target="media/image2.jpeg"/><Relationship Id="rId22" Type="http://schemas.openxmlformats.org/officeDocument/2006/relationships/image" Target="media/image4.png"/><Relationship Id="rId27" Type="http://schemas.openxmlformats.org/officeDocument/2006/relationships/hyperlink" Target="https://seer.cancer.gov/popdata/" TargetMode="External"/><Relationship Id="rId30" Type="http://schemas.openxmlformats.org/officeDocument/2006/relationships/image" Target="media/image8.png"/><Relationship Id="rId35" Type="http://schemas.openxmlformats.org/officeDocument/2006/relationships/hyperlink" Target="https://seer.cancer.gov/popdata/" TargetMode="External"/><Relationship Id="rId43" Type="http://schemas.openxmlformats.org/officeDocument/2006/relationships/hyperlink" Target="https://seer.cancer.gov/popdata/" TargetMode="External"/><Relationship Id="rId48" Type="http://schemas.openxmlformats.org/officeDocument/2006/relationships/image" Target="media/image16.png"/><Relationship Id="rId56" Type="http://schemas.openxmlformats.org/officeDocument/2006/relationships/image" Target="media/image20.emf"/><Relationship Id="rId64" Type="http://schemas.openxmlformats.org/officeDocument/2006/relationships/hyperlink" Target="https://seer.cancer.gov/popdata/" TargetMode="External"/><Relationship Id="rId69" Type="http://schemas.openxmlformats.org/officeDocument/2006/relationships/hyperlink" Target="http://seer.cancer.gov/stdpopulations/19ages.proportions.html" TargetMode="External"/><Relationship Id="rId8" Type="http://schemas.openxmlformats.org/officeDocument/2006/relationships/webSettings" Target="webSettings.xml"/><Relationship Id="rId51" Type="http://schemas.openxmlformats.org/officeDocument/2006/relationships/hyperlink" Target="https://seer.cancer.gov/popdata/" TargetMode="External"/><Relationship Id="rId72" Type="http://schemas.openxmlformats.org/officeDocument/2006/relationships/hyperlink" Target="https://data.census.gov/"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seer.cancer.gov/popdata/" TargetMode="External"/><Relationship Id="rId33" Type="http://schemas.openxmlformats.org/officeDocument/2006/relationships/hyperlink" Target="https://seer.cancer.gov/popdata/" TargetMode="External"/><Relationship Id="rId38" Type="http://schemas.openxmlformats.org/officeDocument/2006/relationships/hyperlink" Target="https://seer.cancer.gov/popdata/" TargetMode="External"/><Relationship Id="rId46" Type="http://schemas.openxmlformats.org/officeDocument/2006/relationships/image" Target="media/image15.png"/><Relationship Id="rId59" Type="http://schemas.openxmlformats.org/officeDocument/2006/relationships/hyperlink" Target="https://seer.cancer.gov/popdata/" TargetMode="External"/><Relationship Id="rId67" Type="http://schemas.openxmlformats.org/officeDocument/2006/relationships/image" Target="media/image26.emf"/><Relationship Id="rId20" Type="http://schemas.openxmlformats.org/officeDocument/2006/relationships/hyperlink" Target="https://data.census.gov/" TargetMode="External"/><Relationship Id="rId41" Type="http://schemas.openxmlformats.org/officeDocument/2006/relationships/hyperlink" Target="https://seer.cancer.gov/popdata/" TargetMode="External"/><Relationship Id="rId54" Type="http://schemas.openxmlformats.org/officeDocument/2006/relationships/hyperlink" Target="https://seer.cancer.gov/popdata/" TargetMode="External"/><Relationship Id="rId62" Type="http://schemas.openxmlformats.org/officeDocument/2006/relationships/image" Target="media/image23.png"/><Relationship Id="rId70" Type="http://schemas.openxmlformats.org/officeDocument/2006/relationships/hyperlink" Target="http://seer.cancer.gov/siterecode/icdo3_dwhoheme/index.html"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dhss.delaware.gov/dhss/dph/dpc/cancer.html" TargetMode="External"/><Relationship Id="rId23" Type="http://schemas.openxmlformats.org/officeDocument/2006/relationships/hyperlink" Target="https://data.census.gov/" TargetMode="External"/><Relationship Id="rId28" Type="http://schemas.openxmlformats.org/officeDocument/2006/relationships/image" Target="media/image7.png"/><Relationship Id="rId36" Type="http://schemas.openxmlformats.org/officeDocument/2006/relationships/image" Target="media/image11.png"/><Relationship Id="rId49" Type="http://schemas.openxmlformats.org/officeDocument/2006/relationships/hyperlink" Target="https://seer.cancer.gov/popdata/" TargetMode="External"/><Relationship Id="rId57" Type="http://schemas.openxmlformats.org/officeDocument/2006/relationships/hyperlink" Target="https://seer.cancer.gov/popdata/" TargetMode="External"/><Relationship Id="rId10" Type="http://schemas.openxmlformats.org/officeDocument/2006/relationships/endnotes" Target="endnotes.xml"/><Relationship Id="rId31" Type="http://schemas.openxmlformats.org/officeDocument/2006/relationships/hyperlink" Target="https://seer.cancer.gov/popdata/" TargetMode="External"/><Relationship Id="rId44" Type="http://schemas.openxmlformats.org/officeDocument/2006/relationships/image" Target="media/image14.png"/><Relationship Id="rId52" Type="http://schemas.openxmlformats.org/officeDocument/2006/relationships/image" Target="media/image18.png"/><Relationship Id="rId60" Type="http://schemas.openxmlformats.org/officeDocument/2006/relationships/image" Target="media/image22.emf"/><Relationship Id="rId65" Type="http://schemas.openxmlformats.org/officeDocument/2006/relationships/image" Target="media/image25.emf"/><Relationship Id="rId73"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data.census.gov/" TargetMode="External"/><Relationship Id="rId39" Type="http://schemas.openxmlformats.org/officeDocument/2006/relationships/hyperlink" Target="https://seer.cancer.gov/popdata/" TargetMode="External"/><Relationship Id="rId34" Type="http://schemas.openxmlformats.org/officeDocument/2006/relationships/image" Target="media/image10.png"/><Relationship Id="rId50" Type="http://schemas.openxmlformats.org/officeDocument/2006/relationships/image" Target="media/image17.png"/><Relationship Id="rId55" Type="http://schemas.openxmlformats.org/officeDocument/2006/relationships/image" Target="media/image19.png"/><Relationship Id="rId7" Type="http://schemas.openxmlformats.org/officeDocument/2006/relationships/settings" Target="settings.xml"/><Relationship Id="rId71" Type="http://schemas.openxmlformats.org/officeDocument/2006/relationships/image" Target="media/image27.png"/></Relationships>
</file>

<file path=word/_rels/footnotes.xml.rels><?xml version="1.0" encoding="UTF-8" standalone="yes"?>
<Relationships xmlns="http://schemas.openxmlformats.org/package/2006/relationships"><Relationship Id="rId13" Type="http://schemas.openxmlformats.org/officeDocument/2006/relationships/hyperlink" Target="https://seer.cancer.gov/popdata/download.html" TargetMode="External"/><Relationship Id="rId18" Type="http://schemas.openxmlformats.org/officeDocument/2006/relationships/hyperlink" Target="http://www.dhss.delaware.gov/dph/dpc/files/rakingweights_info.pdf" TargetMode="External"/><Relationship Id="rId26" Type="http://schemas.openxmlformats.org/officeDocument/2006/relationships/hyperlink" Target="https://www.census.gov/library/publications/2001/dec/c2kbr01-01.html" TargetMode="External"/><Relationship Id="rId3" Type="http://schemas.openxmlformats.org/officeDocument/2006/relationships/hyperlink" Target="http://delcode.delaware.gov/title16/c032/index.shtml" TargetMode="External"/><Relationship Id="rId21" Type="http://schemas.openxmlformats.org/officeDocument/2006/relationships/hyperlink" Target="http://www.cdc.gov/nchs/data/statnt/statnt20.pdf" TargetMode="External"/><Relationship Id="rId7" Type="http://schemas.openxmlformats.org/officeDocument/2006/relationships/hyperlink" Target="https://surveillance.cancer.gov/cirank/" TargetMode="External"/><Relationship Id="rId12" Type="http://schemas.openxmlformats.org/officeDocument/2006/relationships/hyperlink" Target="http://www.cdc.gov/nchs" TargetMode="External"/><Relationship Id="rId17" Type="http://schemas.openxmlformats.org/officeDocument/2006/relationships/hyperlink" Target="https://www.dhss.delaware.gov/dhss/dph/dpc/brfs_changes2011.html" TargetMode="External"/><Relationship Id="rId25" Type="http://schemas.openxmlformats.org/officeDocument/2006/relationships/hyperlink" Target="https://surveillance.cancer.gov/cirank/" TargetMode="External"/><Relationship Id="rId33" Type="http://schemas.openxmlformats.org/officeDocument/2006/relationships/hyperlink" Target="https://progressreport.cancer.gov/prevention/fruit_vegetable" TargetMode="External"/><Relationship Id="rId2" Type="http://schemas.openxmlformats.org/officeDocument/2006/relationships/hyperlink" Target="https://seer.cancer.gov/statistics/types/mortality.html" TargetMode="External"/><Relationship Id="rId16" Type="http://schemas.openxmlformats.org/officeDocument/2006/relationships/hyperlink" Target="http://www.cdc.gov/brfss/" TargetMode="External"/><Relationship Id="rId20" Type="http://schemas.openxmlformats.org/officeDocument/2006/relationships/hyperlink" Target="http://www.dhss.delaware.gov/dph/dpc/brfsurveys.html" TargetMode="External"/><Relationship Id="rId29" Type="http://schemas.openxmlformats.org/officeDocument/2006/relationships/hyperlink" Target="https://www.cancer.org/cancer/cervical-cancer/detection-diagnosis-staging/screening-tests/pap-test.html%20%20" TargetMode="External"/><Relationship Id="rId1" Type="http://schemas.openxmlformats.org/officeDocument/2006/relationships/hyperlink" Target="https://seer.cancer.gov/statistics/types/incidence.html" TargetMode="External"/><Relationship Id="rId6" Type="http://schemas.openxmlformats.org/officeDocument/2006/relationships/hyperlink" Target="https://seer.cancer.gov/data/covid-impact.html" TargetMode="External"/><Relationship Id="rId11" Type="http://schemas.openxmlformats.org/officeDocument/2006/relationships/hyperlink" Target="https://seer.cancer.gov/data/covid-impact.html" TargetMode="External"/><Relationship Id="rId24" Type="http://schemas.openxmlformats.org/officeDocument/2006/relationships/hyperlink" Target="https://www.cdc.gov/united-states-cancer-statistics/technical-notes/suppression.html?CDC_AAref_Val=https://www.cdc.gov/cancer/uscs/technical_notes/stat_methods/suppression.htm" TargetMode="External"/><Relationship Id="rId32" Type="http://schemas.openxmlformats.org/officeDocument/2006/relationships/hyperlink" Target="https://www.uspreventiveservicestaskforce.org/uspstf/recommendation/prostate-cancer-screening" TargetMode="External"/><Relationship Id="rId5" Type="http://schemas.openxmlformats.org/officeDocument/2006/relationships/hyperlink" Target="https://www.naaccr.org/certification-criteria/" TargetMode="External"/><Relationship Id="rId15" Type="http://schemas.openxmlformats.org/officeDocument/2006/relationships/hyperlink" Target="https://seer.cancer.gov/popdata/download.html" TargetMode="External"/><Relationship Id="rId23" Type="http://schemas.openxmlformats.org/officeDocument/2006/relationships/hyperlink" Target="http://seer.cancer.gov/seerstat/index.html" TargetMode="External"/><Relationship Id="rId28" Type="http://schemas.openxmlformats.org/officeDocument/2006/relationships/hyperlink" Target="https://acsjournals.onlinelibrary.wiley.com/doi/full/10.3322/caac.21628" TargetMode="External"/><Relationship Id="rId10" Type="http://schemas.openxmlformats.org/officeDocument/2006/relationships/hyperlink" Target="http://www.cdc.gov/cancer/dataviz" TargetMode="External"/><Relationship Id="rId19" Type="http://schemas.openxmlformats.org/officeDocument/2006/relationships/hyperlink" Target="https://www.dhss.delaware.gov/dhss/dph/dpc/brfs_changes2011.html" TargetMode="External"/><Relationship Id="rId31" Type="http://schemas.openxmlformats.org/officeDocument/2006/relationships/hyperlink" Target="https://www.uspreventiveservicestaskforce.org/uspstf/recommendation/lung-cancer-screening" TargetMode="External"/><Relationship Id="rId4" Type="http://schemas.openxmlformats.org/officeDocument/2006/relationships/hyperlink" Target="https://www.cdc.gov/national-program-cancer-registries/contact/?CDC_AAref_Val=https://www.cdc.gov/cancer/npcr/registries.htm" TargetMode="External"/><Relationship Id="rId9" Type="http://schemas.openxmlformats.org/officeDocument/2006/relationships/hyperlink" Target="http://www.cdc.gov/cancer/dataviz" TargetMode="External"/><Relationship Id="rId14" Type="http://schemas.openxmlformats.org/officeDocument/2006/relationships/hyperlink" Target="https://gis.cdc.gov/Cancer/USCS/?CDC_AA_refVal=https%3A%2F%2Fwww.cdc.gov%2Fcancer%2Fdataviz%2Findex.htm" TargetMode="External"/><Relationship Id="rId22" Type="http://schemas.openxmlformats.org/officeDocument/2006/relationships/hyperlink" Target="https://surveillance.cancer.gov/joinpoint/" TargetMode="External"/><Relationship Id="rId27" Type="http://schemas.openxmlformats.org/officeDocument/2006/relationships/hyperlink" Target="https://www.cancer.org/cancer/types/breast-cancer/frequently-asked-questions-about-the-american-cancer-society-new-breast-cancer-screening-guideline.html" TargetMode="External"/><Relationship Id="rId30" Type="http://schemas.openxmlformats.org/officeDocument/2006/relationships/hyperlink" Target="https://www.cancer.org/cancer/types/colon-rectal-cancer/detection-diagnosis-staging/acs-recommendations.html" TargetMode="External"/><Relationship Id="rId8" Type="http://schemas.openxmlformats.org/officeDocument/2006/relationships/hyperlink" Target="https://www.cdc.gov/united-states-cancer-statistics/technical-notes/suppression.html?CDC_AAref_Val=https://www.cdc.gov/cancer/uscs/technical_notes/stat_methods/suppression.h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estat.com\dfs\DCR\Epidemiology\I&amp;M%20report\2016-2020\I&amp;M%20census%20table%20and%20graph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309536307961504"/>
          <c:y val="0.15682925051035287"/>
          <c:w val="0.71457130358705157"/>
          <c:h val="0.63759988334791484"/>
        </c:manualLayout>
      </c:layout>
      <c:barChart>
        <c:barDir val="bar"/>
        <c:grouping val="clustered"/>
        <c:varyColors val="0"/>
        <c:ser>
          <c:idx val="1"/>
          <c:order val="0"/>
          <c:tx>
            <c:strRef>
              <c:f>'Census Data Ch 2'!$Q$32</c:f>
              <c:strCache>
                <c:ptCount val="1"/>
                <c:pt idx="0">
                  <c:v>2010-2020</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'Census Data Ch 2'!$L$33:$L$35</c:f>
              <c:strCache>
                <c:ptCount val="3"/>
                <c:pt idx="0">
                  <c:v>Sussex</c:v>
                </c:pt>
                <c:pt idx="1">
                  <c:v>New Castle</c:v>
                </c:pt>
                <c:pt idx="2">
                  <c:v>Kent</c:v>
                </c:pt>
              </c:strCache>
            </c:strRef>
          </c:cat>
          <c:val>
            <c:numRef>
              <c:f>'Census Data Ch 2'!$Q$33:$Q$35</c:f>
              <c:numCache>
                <c:formatCode>0%</c:formatCode>
                <c:ptCount val="3"/>
                <c:pt idx="0">
                  <c:v>0.20407821654112454</c:v>
                </c:pt>
                <c:pt idx="1">
                  <c:v>5.9872344139697185E-2</c:v>
                </c:pt>
                <c:pt idx="2">
                  <c:v>0.12039307497997659</c:v>
                </c:pt>
              </c:numCache>
            </c:numRef>
          </c:val>
          <c:extLst>
            <c:ext xmlns:c16="http://schemas.microsoft.com/office/drawing/2014/chart" uri="{C3380CC4-5D6E-409C-BE32-E72D297353CC}">
              <c16:uniqueId val="{00000000-0E68-477D-9CC7-9717C1670D20}"/>
            </c:ext>
          </c:extLst>
        </c:ser>
        <c:ser>
          <c:idx val="0"/>
          <c:order val="1"/>
          <c:tx>
            <c:strRef>
              <c:f>'Census Data Ch 2'!$P$32</c:f>
              <c:strCache>
                <c:ptCount val="1"/>
                <c:pt idx="0">
                  <c:v>2000-2010</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'Census Data Ch 2'!$L$33:$L$35</c:f>
              <c:strCache>
                <c:ptCount val="3"/>
                <c:pt idx="0">
                  <c:v>Sussex</c:v>
                </c:pt>
                <c:pt idx="1">
                  <c:v>New Castle</c:v>
                </c:pt>
                <c:pt idx="2">
                  <c:v>Kent</c:v>
                </c:pt>
              </c:strCache>
            </c:strRef>
          </c:cat>
          <c:val>
            <c:numRef>
              <c:f>'Census Data Ch 2'!$P$33:$P$35</c:f>
              <c:numCache>
                <c:formatCode>0%</c:formatCode>
                <c:ptCount val="3"/>
                <c:pt idx="0">
                  <c:v>0.25860263792949351</c:v>
                </c:pt>
                <c:pt idx="1">
                  <c:v>7.638751461725285E-2</c:v>
                </c:pt>
                <c:pt idx="2">
                  <c:v>0.28108794999092324</c:v>
                </c:pt>
              </c:numCache>
            </c:numRef>
          </c:val>
          <c:extLst>
            <c:ext xmlns:c16="http://schemas.microsoft.com/office/drawing/2014/chart" uri="{C3380CC4-5D6E-409C-BE32-E72D297353CC}">
              <c16:uniqueId val="{00000001-0E68-477D-9CC7-9717C1670D20}"/>
            </c:ext>
          </c:extLst>
        </c:ser>
        <c:dLbls>
          <c:showLegendKey val="0"/>
          <c:showVal val="0"/>
          <c:showCatName val="0"/>
          <c:showSerName val="0"/>
          <c:showPercent val="0"/>
          <c:showBubbleSize val="0"/>
        </c:dLbls>
        <c:gapWidth val="182"/>
        <c:axId val="79742495"/>
        <c:axId val="1926788543"/>
      </c:barChart>
      <c:catAx>
        <c:axId val="79742495"/>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County</a:t>
                </a:r>
              </a:p>
            </c:rich>
          </c:tx>
          <c:layout>
            <c:manualLayout>
              <c:xMode val="edge"/>
              <c:yMode val="edge"/>
              <c:x val="2.5000000000000001E-2"/>
              <c:y val="0.3946336395450568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926788543"/>
        <c:crosses val="autoZero"/>
        <c:auto val="1"/>
        <c:lblAlgn val="ctr"/>
        <c:lblOffset val="100"/>
        <c:noMultiLvlLbl val="0"/>
      </c:catAx>
      <c:valAx>
        <c:axId val="192678854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Percent Growth</a:t>
                </a:r>
              </a:p>
            </c:rich>
          </c:tx>
          <c:layout>
            <c:manualLayout>
              <c:xMode val="edge"/>
              <c:yMode val="edge"/>
              <c:x val="0.43166213653898244"/>
              <c:y val="0.90819667541557314"/>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7974249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E0BB687872204EB86260E9FA0D0C39" ma:contentTypeVersion="6" ma:contentTypeDescription="Create a new document." ma:contentTypeScope="" ma:versionID="8c7546f7bdcf66d65c7c1cfaac35fd95">
  <xsd:schema xmlns:xsd="http://www.w3.org/2001/XMLSchema" xmlns:xs="http://www.w3.org/2001/XMLSchema" xmlns:p="http://schemas.microsoft.com/office/2006/metadata/properties" xmlns:ns2="709f2a58-86ce-4789-82f4-1a3073175400" xmlns:ns3="75badaa3-879e-4937-844a-18f5206d464a" targetNamespace="http://schemas.microsoft.com/office/2006/metadata/properties" ma:root="true" ma:fieldsID="ab11642b4f1f34a9ad101d90273b3955" ns2:_="" ns3:_="">
    <xsd:import namespace="709f2a58-86ce-4789-82f4-1a3073175400"/>
    <xsd:import namespace="75badaa3-879e-4937-844a-18f5206d46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f2a58-86ce-4789-82f4-1a3073175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adaa3-879e-4937-844a-18f5206d46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FFE93-403E-417D-94E3-CA1942F59684}">
  <ds:schemaRefs>
    <ds:schemaRef ds:uri="http://schemas.microsoft.com/sharepoint/v3/contenttype/forms"/>
  </ds:schemaRefs>
</ds:datastoreItem>
</file>

<file path=customXml/itemProps2.xml><?xml version="1.0" encoding="utf-8"?>
<ds:datastoreItem xmlns:ds="http://schemas.openxmlformats.org/officeDocument/2006/customXml" ds:itemID="{8D5DBD9C-7FD9-4AA7-884C-6D1B30B2E9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712D52-8A20-4C26-83D4-5A502B874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f2a58-86ce-4789-82f4-1a3073175400"/>
    <ds:schemaRef ds:uri="75badaa3-879e-4937-844a-18f5206d4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0CB1D-0DDF-4E05-8ECA-67877057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60</Pages>
  <Words>15886</Words>
  <Characters>90551</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DHSS</Company>
  <LinksUpToDate>false</LinksUpToDate>
  <CharactersWithSpaces>106225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 Zeinab (DHSS)</dc:creator>
  <cp:keywords/>
  <dc:description/>
  <cp:lastModifiedBy>Nagarajan, Sumitha (DHSS)</cp:lastModifiedBy>
  <cp:revision>19</cp:revision>
  <cp:lastPrinted>2024-10-09T17:26:00Z</cp:lastPrinted>
  <dcterms:created xsi:type="dcterms:W3CDTF">2024-10-11T18:42:00Z</dcterms:created>
  <dcterms:modified xsi:type="dcterms:W3CDTF">2024-10-11T20:39:00Z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0x01010015E0BB687872204EB86260E9FA0D0C39</vt:lpwstr>
  </property>
  <property fmtid="{D5CDD505-2E9C-101B-9397-08002B2CF9AE}" pid="3" name="GrammarlyDocumentId">
    <vt:lpwstr>6234abcc2999920ecb5add4847ab2e4127030ab559792bb1f6481945ac221e99</vt:lpwstr>
  </property>
</Properties>
</file>