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430DD" w:rsidP="68028F7F" w:rsidRDefault="00BD33A6" w14:paraId="0BD9CF1B" w14:textId="0B0C0C6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>
        <w:rPr>
          <w:rFonts w:ascii="Arial" w:hAnsi="Arial" w:cs="Arial"/>
          <w:b/>
          <w:bCs/>
          <w:noProof/>
          <w:color w:val="8B0505"/>
          <w:sz w:val="44"/>
          <w:szCs w:val="4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9FE94C6" wp14:editId="5087FDB0">
            <wp:simplePos x="0" y="0"/>
            <wp:positionH relativeFrom="margin">
              <wp:posOffset>304800</wp:posOffset>
            </wp:positionH>
            <wp:positionV relativeFrom="paragraph">
              <wp:posOffset>82550</wp:posOffset>
            </wp:positionV>
            <wp:extent cx="1859280" cy="1304925"/>
            <wp:effectExtent l="0" t="0" r="0" b="0"/>
            <wp:wrapNone/>
            <wp:docPr id="11" name="Picture 11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185928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D33A6" w:rsidR="009430DD" w:rsidP="009430DD" w:rsidRDefault="00BD33A6" w14:paraId="3DEAE300" w14:textId="4E721E95">
      <w:pPr>
        <w:pStyle w:val="paragraph"/>
        <w:spacing w:before="0" w:beforeAutospacing="0" w:after="0" w:afterAutospacing="0"/>
        <w:ind w:left="3600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68028F7F" w:rsidR="00BD33A6"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  <w:t>Human West Nile Virus Cases Reported in Every State Surrounding Delaware</w:t>
      </w:r>
    </w:p>
    <w:p w:rsidRPr="00BD33A6" w:rsidR="009430DD" w:rsidP="68028F7F" w:rsidRDefault="00BD33A6" w14:paraId="77134692" w14:textId="44970412">
      <w:pPr>
        <w:pStyle w:val="Normal"/>
        <w:ind w:left="3600" w:firstLine="0"/>
        <w:rPr>
          <w:rFonts w:cs="Calibri" w:cstheme="minorAscii"/>
          <w:sz w:val="18"/>
          <w:szCs w:val="18"/>
        </w:rPr>
      </w:pPr>
      <w:r w:rsidRPr="68028F7F" w:rsidR="00BD33A6">
        <w:rPr>
          <w:sz w:val="18"/>
          <w:szCs w:val="18"/>
        </w:rPr>
        <w:t xml:space="preserve">According to the Centers for Disease Control and Prevention’s provisional arboviral report, Pennsylvania, </w:t>
      </w:r>
      <w:r w:rsidRPr="68028F7F" w:rsidR="00BD33A6">
        <w:rPr>
          <w:rFonts w:cs="Calibri" w:cstheme="minorAscii"/>
          <w:sz w:val="18"/>
          <w:szCs w:val="18"/>
        </w:rPr>
        <w:t xml:space="preserve">Maryland, New Jersey, and Virginia all reported human West Nile virus </w:t>
      </w:r>
      <w:r w:rsidRPr="68028F7F" w:rsidR="00BD33A6">
        <w:rPr>
          <w:rFonts w:cs="Calibri" w:cstheme="minorAscii"/>
          <w:sz w:val="18"/>
          <w:szCs w:val="18"/>
        </w:rPr>
        <w:t xml:space="preserve">(WNV) </w:t>
      </w:r>
      <w:r w:rsidRPr="68028F7F" w:rsidR="00BD33A6">
        <w:rPr>
          <w:rFonts w:cs="Calibri" w:cstheme="minorAscii"/>
          <w:sz w:val="18"/>
          <w:szCs w:val="18"/>
        </w:rPr>
        <w:t>cases</w:t>
      </w:r>
      <w:r w:rsidRPr="68028F7F" w:rsidR="00BD33A6">
        <w:rPr>
          <w:rFonts w:cs="Calibri" w:cstheme="minorAscii"/>
          <w:sz w:val="18"/>
          <w:szCs w:val="18"/>
        </w:rPr>
        <w:t xml:space="preserve"> in 2024</w:t>
      </w:r>
      <w:r w:rsidRPr="68028F7F" w:rsidR="00BD33A6">
        <w:rPr>
          <w:rFonts w:cs="Calibri" w:cstheme="minorAscii"/>
          <w:sz w:val="18"/>
          <w:szCs w:val="18"/>
        </w:rPr>
        <w:t xml:space="preserve">. While there have been no reported WNV cases yet in humans for 2024 in </w:t>
      </w:r>
      <w:r w:rsidRPr="68028F7F" w:rsidR="00BD33A6">
        <w:rPr>
          <w:rFonts w:cs="Calibri" w:cstheme="minorAscii"/>
          <w:sz w:val="18"/>
          <w:szCs w:val="18"/>
        </w:rPr>
        <w:t>Delaware</w:t>
      </w:r>
      <w:r w:rsidRPr="68028F7F" w:rsidR="00BD33A6">
        <w:rPr>
          <w:rFonts w:cs="Calibri" w:cstheme="minorAscii"/>
          <w:sz w:val="18"/>
          <w:szCs w:val="18"/>
        </w:rPr>
        <w:t>, w</w:t>
      </w:r>
      <w:r w:rsidRPr="68028F7F" w:rsidR="00BD33A6">
        <w:rPr>
          <w:rStyle w:val="eop"/>
          <w:rFonts w:cs="Calibri" w:cstheme="minorAscii"/>
          <w:sz w:val="18"/>
          <w:szCs w:val="18"/>
        </w:rPr>
        <w:t xml:space="preserve">e urge healthcare providers, especially in the emergency department, to be vigilant for such cases and ensure that all hospitalized patients with signs of a neuroinvasive disease undergo </w:t>
      </w:r>
      <w:r w:rsidRPr="68028F7F" w:rsidR="00BD33A6">
        <w:rPr>
          <w:rStyle w:val="eop"/>
          <w:rFonts w:cs="Calibri" w:cstheme="minorAscii"/>
          <w:sz w:val="18"/>
          <w:szCs w:val="18"/>
        </w:rPr>
        <w:t>appropriate testing</w:t>
      </w:r>
      <w:r w:rsidRPr="68028F7F" w:rsidR="00BD33A6">
        <w:rPr>
          <w:rStyle w:val="eop"/>
          <w:rFonts w:cs="Calibri" w:cstheme="minorAscii"/>
          <w:sz w:val="18"/>
          <w:szCs w:val="18"/>
        </w:rPr>
        <w:t xml:space="preserve"> during the mosquito season. </w:t>
      </w:r>
      <w:r w:rsidRPr="68028F7F" w:rsidR="009430DD">
        <w:rPr>
          <w:rStyle w:val="normaltextrun"/>
          <w:rFonts w:ascii="Calibri" w:hAnsi="Calibri" w:cs="Calibri"/>
          <w:b w:val="1"/>
          <w:bCs w:val="1"/>
          <w:i w:val="1"/>
          <w:iCs w:val="1"/>
          <w:sz w:val="18"/>
          <w:szCs w:val="18"/>
        </w:rPr>
        <w:t xml:space="preserve">Continue to </w:t>
      </w:r>
      <w:r w:rsidRPr="68028F7F" w:rsidR="009430DD">
        <w:rPr>
          <w:rStyle w:val="normaltextrun"/>
          <w:rFonts w:ascii="Calibri" w:hAnsi="Calibri" w:cs="Calibri"/>
          <w:b w:val="1"/>
          <w:bCs w:val="1"/>
          <w:i w:val="1"/>
          <w:iCs w:val="1"/>
          <w:sz w:val="18"/>
          <w:szCs w:val="18"/>
        </w:rPr>
        <w:t>article</w:t>
      </w:r>
      <w:r w:rsidRPr="68028F7F" w:rsidR="009430DD">
        <w:rPr>
          <w:rStyle w:val="eop"/>
          <w:rFonts w:ascii="Calibri" w:hAnsi="Calibri" w:cs="Calibri"/>
          <w:sz w:val="18"/>
          <w:szCs w:val="18"/>
        </w:rPr>
        <w:t> </w:t>
      </w:r>
    </w:p>
    <w:p w:rsidR="009430DD" w:rsidP="009430DD" w:rsidRDefault="009430DD" w14:paraId="39874B7F" w14:textId="77777777">
      <w:pPr>
        <w:pStyle w:val="paragraph"/>
        <w:tabs>
          <w:tab w:val="left" w:pos="2997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ab/>
      </w:r>
    </w:p>
    <w:p w:rsidR="009430DD" w:rsidP="009430DD" w:rsidRDefault="009430DD" w14:paraId="166815B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3216BBE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2D32F79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1750321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7A9D9F7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0BFAE07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3282C97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5E78B57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57D5CBF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3FFF0F6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36FFF87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14EB5FE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24CAA14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0C9A909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20A8C7B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06039F4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5402968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0254845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7F64ECC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5DDC172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5F7074E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78419DE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08548F6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2F0E111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49B2CC2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6B4E55A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3739841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348D7A0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328FABF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4CC631B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6A6E691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28C34E6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67A2DF1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6E54645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369B582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00914FC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61AEFC1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110A7E1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430DD" w:rsidP="009430DD" w:rsidRDefault="009430DD" w14:paraId="1A3C779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BD33A6" w:rsidP="68028F7F" w:rsidRDefault="00BD33A6" w14:paraId="7D6DC33F" w14:textId="4CFD22EA">
      <w:pPr>
        <w:rPr>
          <w:rStyle w:val="eop"/>
          <w:rFonts w:cs="Calibri" w:cstheme="minorAscii"/>
        </w:rPr>
      </w:pPr>
      <w:r w:rsidR="00BD33A6">
        <w:rPr/>
        <w:t xml:space="preserve">According to the Centers for Disease Control and Prevention’s provisional arboviral report, Pennsylvania, </w:t>
      </w:r>
      <w:r w:rsidRPr="68028F7F" w:rsidR="00BD33A6">
        <w:rPr>
          <w:rFonts w:cs="Calibri" w:cstheme="minorAscii"/>
        </w:rPr>
        <w:t>Maryland, New Jersey, and Virginia all reported human West Nile virus (WNV) cases in 2024. While there have been no reported WNV cases yet in humans for 2024 in Delaware, w</w:t>
      </w:r>
      <w:r w:rsidRPr="68028F7F" w:rsidR="00BD33A6">
        <w:rPr>
          <w:rStyle w:val="eop"/>
          <w:rFonts w:cs="Calibri" w:cstheme="minorAscii"/>
        </w:rPr>
        <w:t xml:space="preserve">e urge healthcare providers, especially in the emergency department, to be vigilant for such cases and ensure that all hospitalized patients with signs of a neuroinvasive disease undergo </w:t>
      </w:r>
      <w:r w:rsidRPr="68028F7F" w:rsidR="00BD33A6">
        <w:rPr>
          <w:rStyle w:val="eop"/>
          <w:rFonts w:cs="Calibri" w:cstheme="minorAscii"/>
        </w:rPr>
        <w:t>appropriate testing</w:t>
      </w:r>
      <w:r w:rsidRPr="68028F7F" w:rsidR="00BD33A6">
        <w:rPr>
          <w:rStyle w:val="eop"/>
          <w:rFonts w:cs="Calibri" w:cstheme="minorAscii"/>
        </w:rPr>
        <w:t xml:space="preserve"> during the mosquito season. </w:t>
      </w:r>
    </w:p>
    <w:p w:rsidRPr="00BD33A6" w:rsidR="00BD33A6" w:rsidP="00BD33A6" w:rsidRDefault="00BD33A6" w14:paraId="6CF5B11D" w14:textId="3EE7F9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D33A6">
        <w:rPr>
          <w:rStyle w:val="eop"/>
          <w:rFonts w:ascii="Calibri" w:hAnsi="Calibri" w:cs="Calibri"/>
          <w:sz w:val="22"/>
          <w:szCs w:val="22"/>
        </w:rPr>
        <w:t xml:space="preserve">It is also important to keep individuals who are homeless on your radar for neuroinvasive WNV. Individuals who are homeless are exposed to mosquitoes at a higher rate than individuals who are not homeless. They may also have underlying risk factors. </w:t>
      </w:r>
    </w:p>
    <w:p w:rsidRPr="00BD33A6" w:rsidR="00BD33A6" w:rsidP="00BD33A6" w:rsidRDefault="00BD33A6" w14:paraId="2898A95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Pr="00BD33A6" w:rsidR="00BD33A6" w:rsidP="00BD33A6" w:rsidRDefault="00BD33A6" w14:paraId="03A50F3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D33A6">
        <w:rPr>
          <w:rStyle w:val="eop"/>
          <w:rFonts w:ascii="Calibri" w:hAnsi="Calibri" w:cs="Calibri"/>
          <w:sz w:val="22"/>
          <w:szCs w:val="22"/>
        </w:rPr>
        <w:t xml:space="preserve">The preferred diagnostic test for arboviruses is </w:t>
      </w:r>
      <w:hyperlink w:history="1" r:id="rId5">
        <w:r w:rsidRPr="00BD33A6">
          <w:rPr>
            <w:rStyle w:val="Hyperlink"/>
            <w:rFonts w:ascii="Calibri" w:hAnsi="Calibri" w:cs="Calibri"/>
            <w:sz w:val="22"/>
            <w:szCs w:val="22"/>
          </w:rPr>
          <w:t>virus-specific IgM antibodies in serum or cerebrospinal fluid</w:t>
        </w:r>
      </w:hyperlink>
      <w:r w:rsidRPr="00BD33A6">
        <w:rPr>
          <w:rStyle w:val="eop"/>
          <w:rFonts w:ascii="Calibri" w:hAnsi="Calibri" w:cs="Calibri"/>
          <w:sz w:val="22"/>
          <w:szCs w:val="22"/>
        </w:rPr>
        <w:t xml:space="preserve">. WNV-specific IgM antibodies are usually detectable 3 to 8 days after onset of illness and persist for 30 to 90 days, but longer persistence has been documented. Therefore, positive IgM antibodies occasionally may reflect a past infection. If serum is collected within 8 days of illness onset, the absence of detectable virus-specific IgM does not rule out the diagnosis of WNV infection, and the test may need to be repeated on a later sample. Also, it is critical that healthcare providers list all symptoms and exposure history in the patient’s medical charts. </w:t>
      </w:r>
    </w:p>
    <w:p w:rsidRPr="00BD33A6" w:rsidR="00BD33A6" w:rsidP="00BD33A6" w:rsidRDefault="00BD33A6" w14:paraId="6E44F1E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Pr="00BD33A6" w:rsidR="00BD33A6" w:rsidP="00BD33A6" w:rsidRDefault="00BD33A6" w14:paraId="660093E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D33A6">
        <w:rPr>
          <w:rStyle w:val="eop"/>
          <w:rFonts w:ascii="Calibri" w:hAnsi="Calibri" w:cs="Calibri"/>
          <w:sz w:val="22"/>
          <w:szCs w:val="22"/>
        </w:rPr>
        <w:t xml:space="preserve">If you have a confirmed or suspected case, you should report this to DPH by sending labs and a </w:t>
      </w:r>
      <w:hyperlink w:history="1" r:id="rId6">
        <w:r w:rsidRPr="00BD33A6">
          <w:rPr>
            <w:rStyle w:val="Hyperlink"/>
            <w:rFonts w:ascii="Calibri" w:hAnsi="Calibri" w:cs="Calibri"/>
            <w:sz w:val="22"/>
            <w:szCs w:val="22"/>
          </w:rPr>
          <w:t>case report form</w:t>
        </w:r>
      </w:hyperlink>
      <w:r w:rsidRPr="00BD33A6">
        <w:rPr>
          <w:rStyle w:val="eop"/>
          <w:rFonts w:ascii="Calibri" w:hAnsi="Calibri" w:cs="Calibri"/>
          <w:sz w:val="22"/>
          <w:szCs w:val="22"/>
        </w:rPr>
        <w:t xml:space="preserve"> to </w:t>
      </w:r>
      <w:hyperlink w:history="1" r:id="rId7">
        <w:r w:rsidRPr="00BD33A6">
          <w:rPr>
            <w:rStyle w:val="Hyperlink"/>
            <w:rFonts w:ascii="Calibri" w:hAnsi="Calibri" w:cs="Calibri"/>
            <w:sz w:val="22"/>
            <w:szCs w:val="22"/>
          </w:rPr>
          <w:t>reportdisease@delaware.gov</w:t>
        </w:r>
      </w:hyperlink>
      <w:r w:rsidRPr="00BD33A6">
        <w:rPr>
          <w:rStyle w:val="Hyperlink"/>
          <w:rFonts w:ascii="Calibri" w:hAnsi="Calibri" w:cs="Calibri"/>
          <w:sz w:val="22"/>
          <w:szCs w:val="22"/>
        </w:rPr>
        <w:t xml:space="preserve">, </w:t>
      </w:r>
      <w:r w:rsidRPr="00BD33A6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or by calling DPH at (302) 744-4700</w:t>
      </w:r>
      <w:r w:rsidRPr="00BD33A6">
        <w:rPr>
          <w:rStyle w:val="eop"/>
          <w:rFonts w:ascii="Calibri" w:hAnsi="Calibri" w:cs="Calibri"/>
          <w:sz w:val="22"/>
          <w:szCs w:val="22"/>
        </w:rPr>
        <w:t xml:space="preserve">. Timely reporting allows us to promptly notify Delaware Department of Natural Resources and Environmental Control’s Mosquito Control Section who can better focus their mosquito surveillance and control efforts.   </w:t>
      </w:r>
    </w:p>
    <w:p w:rsidRPr="00BD33A6" w:rsidR="00BD33A6" w:rsidP="00BD33A6" w:rsidRDefault="00BD33A6" w14:paraId="3F375AF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:rsidRPr="00BD33A6" w:rsidR="00BD33A6" w:rsidP="00BD33A6" w:rsidRDefault="00BD33A6" w14:paraId="49AA73B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BD33A6">
        <w:rPr>
          <w:rFonts w:asciiTheme="minorHAnsi" w:hAnsiTheme="minorHAnsi" w:cstheme="minorHAnsi"/>
          <w:color w:val="333333"/>
          <w:sz w:val="22"/>
          <w:szCs w:val="22"/>
        </w:rPr>
        <w:t xml:space="preserve">For more information about vector-borne diseases in Delaware, please visit: </w:t>
      </w:r>
      <w:hyperlink w:history="1" r:id="rId8">
        <w:r w:rsidRPr="00BD33A6">
          <w:rPr>
            <w:rStyle w:val="Hyperlink"/>
            <w:rFonts w:asciiTheme="minorHAnsi" w:hAnsiTheme="minorHAnsi" w:cstheme="minorHAnsi"/>
            <w:sz w:val="22"/>
            <w:szCs w:val="22"/>
          </w:rPr>
          <w:t>https://www.dhss.delaware.gov/dhss/dph/epi/vectordisease.html</w:t>
        </w:r>
      </w:hyperlink>
      <w:r w:rsidRPr="00BD33A6">
        <w:rPr>
          <w:rFonts w:asciiTheme="minorHAnsi" w:hAnsiTheme="minorHAnsi" w:cstheme="minorHAnsi"/>
          <w:color w:val="333333"/>
          <w:sz w:val="22"/>
          <w:szCs w:val="22"/>
        </w:rPr>
        <w:t xml:space="preserve">. </w:t>
      </w:r>
    </w:p>
    <w:p w:rsidRPr="00BD33A6" w:rsidR="00BD33A6" w:rsidP="00BD33A6" w:rsidRDefault="00BD33A6" w14:paraId="2B267BE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:rsidRPr="00BD33A6" w:rsidR="00BD33A6" w:rsidP="00BD33A6" w:rsidRDefault="00BD33A6" w14:paraId="7E6C9593" w14:textId="77777777"/>
    <w:p w:rsidR="00891DC0" w:rsidRDefault="00891DC0" w14:paraId="3DBB94E8" w14:textId="77777777"/>
    <w:sectPr w:rsidR="00891DC0" w:rsidSect="009430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720" w:right="720" w:bottom="720" w:left="720" w:header="576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33A6" w:rsidRDefault="00BD33A6" w14:paraId="5084C05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C6FCD" w:rsidR="00BD33A6" w:rsidP="002D7C57" w:rsidRDefault="00BD33A6" w14:paraId="57AD8937" w14:textId="77777777">
    <w:pPr>
      <w:pStyle w:val="Footer"/>
      <w:ind w:left="8640"/>
      <w:rPr>
        <w:b/>
        <w:bCs/>
        <w:sz w:val="24"/>
        <w:szCs w:val="24"/>
      </w:rPr>
    </w:pP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0C69F3C2" wp14:editId="57B922E8">
          <wp:simplePos x="0" y="0"/>
          <wp:positionH relativeFrom="page">
            <wp:align>left</wp:align>
          </wp:positionH>
          <wp:positionV relativeFrom="paragraph">
            <wp:posOffset>-354965</wp:posOffset>
          </wp:positionV>
          <wp:extent cx="1713859" cy="511175"/>
          <wp:effectExtent l="0" t="0" r="1270" b="3175"/>
          <wp:wrapNone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859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w:history="1" r:id="rId2">
      <w:r w:rsidRPr="00A37C8F">
        <w:rPr>
          <w:rStyle w:val="Hyperlink"/>
          <w:b/>
          <w:bCs/>
        </w:rPr>
        <w:t>DE.gov/infectious</w:t>
      </w:r>
    </w:hyperlink>
    <w:r w:rsidRPr="004C6FCD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33A6" w:rsidRDefault="00BD33A6" w14:paraId="7B502D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33A6" w:rsidRDefault="00BD33A6" w14:paraId="114601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BD33A6" w:rsidRDefault="00BD33A6" w14:paraId="3C2E3C0F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F869B44" wp14:editId="39FF263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41540"/>
              <wp:effectExtent l="0" t="0" r="0" b="63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41540"/>
                      </a:xfrm>
                      <a:prstGeom prst="rect">
                        <a:avLst/>
                      </a:prstGeom>
                      <a:solidFill>
                        <a:srgbClr val="6600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 Black" w:hAnsi="Arial Black"/>
                              <w:b/>
                              <w:bCs/>
                              <w:caps/>
                              <w:color w:val="FFFFFF" w:themeColor="background1"/>
                              <w:sz w:val="20"/>
                              <w:szCs w:val="20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Pr="003533D9" w:rsidR="00BD33A6" w:rsidP="003B3B65" w:rsidRDefault="00BD33A6" w14:paraId="2F2A4BE0" w14:textId="7777777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style="position:absolute;margin-left:560.8pt;margin-top:0;width:612pt;height:19pt;z-index:-251657216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top;mso-position-vertical-relative:page;mso-width-percent:0;mso-height-percent:0;mso-width-relative:margin;mso-height-relative:page;v-text-anchor:middle" o:spid="_x0000_s1026" o:allowoverlap="f" fillcolor="#60c" stroked="f" strokeweight="1pt" w14:anchorId="0F869B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">
              <v:textbox>
                <w:txbxContent>
                  <w:sdt>
                    <w:sdtPr>
                      <w:rPr>
                        <w:rFonts w:ascii="Arial Black" w:hAnsi="Arial Black"/>
                        <w:b/>
                        <w:bCs/>
                        <w:caps/>
                        <w:color w:val="FFFFFF" w:themeColor="background1"/>
                        <w:sz w:val="20"/>
                        <w:szCs w:val="20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Pr="003533D9" w:rsidR="00BD33A6" w:rsidP="003B3B65" w:rsidRDefault="00BD33A6" w14:paraId="2F2A4BE0" w14:textId="7777777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 Black" w:hAnsi="Arial Black"/>
                            <w:b/>
                            <w:bCs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33A6" w:rsidRDefault="00BD33A6" w14:paraId="40A22A9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DD"/>
    <w:rsid w:val="00507E60"/>
    <w:rsid w:val="00711C17"/>
    <w:rsid w:val="00891DC0"/>
    <w:rsid w:val="009430DD"/>
    <w:rsid w:val="00A22456"/>
    <w:rsid w:val="00BD33A6"/>
    <w:rsid w:val="68028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5703A"/>
  <w15:chartTrackingRefBased/>
  <w15:docId w15:val="{18E4CB31-E5D8-4E9C-8C22-891597D7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30DD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0D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30D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30D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30D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430DD"/>
    <w:rPr>
      <w:color w:val="0000FF"/>
      <w:u w:val="single"/>
    </w:rPr>
  </w:style>
  <w:style w:type="paragraph" w:styleId="paragraph" w:customStyle="1">
    <w:name w:val="paragraph"/>
    <w:basedOn w:val="Normal"/>
    <w:rsid w:val="009430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430DD"/>
  </w:style>
  <w:style w:type="character" w:styleId="eop" w:customStyle="1">
    <w:name w:val="eop"/>
    <w:basedOn w:val="DefaultParagraphFont"/>
    <w:rsid w:val="009430DD"/>
  </w:style>
  <w:style w:type="character" w:styleId="FollowedHyperlink">
    <w:name w:val="FollowedHyperlink"/>
    <w:basedOn w:val="DefaultParagraphFont"/>
    <w:uiPriority w:val="99"/>
    <w:semiHidden/>
    <w:unhideWhenUsed/>
    <w:rsid w:val="009430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hss.delaware.gov/dhss/dph/epi/vectordisease.html" TargetMode="External" Id="rId8" /><Relationship Type="http://schemas.openxmlformats.org/officeDocument/2006/relationships/header" Target="header3.xml" Id="rId13" /><Relationship Type="http://schemas.openxmlformats.org/officeDocument/2006/relationships/customXml" Target="../customXml/item2.xml" Id="rId18" /><Relationship Type="http://schemas.openxmlformats.org/officeDocument/2006/relationships/webSettings" Target="webSettings.xml" Id="rId3" /><Relationship Type="http://schemas.openxmlformats.org/officeDocument/2006/relationships/hyperlink" Target="mailto:reportdisease@delaware.gov" TargetMode="External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17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hyperlink" Target="chrome-extension://efaidnbmnnnibpcajpcglclefindmkaj/https:/www.dhss.delaware.gov/dhss/dph/epi/files/morbiditycardredesignfillable.pdf" TargetMode="External" Id="rId6" /><Relationship Type="http://schemas.openxmlformats.org/officeDocument/2006/relationships/footer" Target="footer1.xml" Id="rId11" /><Relationship Type="http://schemas.openxmlformats.org/officeDocument/2006/relationships/hyperlink" Target="https://www.cdc.gov/westnile/healthcareproviders/healthCareProviders-Diagnostic.html" TargetMode="Externa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3.xml" Id="rId19" /><Relationship Type="http://schemas.openxmlformats.org/officeDocument/2006/relationships/image" Target="media/image1.png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hss.delaware.gov/dhss/dph/epi/epi.htm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BBAE20D7474E8DE13EDFC48AB419" ma:contentTypeVersion="15" ma:contentTypeDescription="Create a new document." ma:contentTypeScope="" ma:versionID="0094827ec2c8adc8e2d3685e348c8058">
  <xsd:schema xmlns:xsd="http://www.w3.org/2001/XMLSchema" xmlns:xs="http://www.w3.org/2001/XMLSchema" xmlns:p="http://schemas.microsoft.com/office/2006/metadata/properties" xmlns:ns2="7bb098a6-fa5b-48ec-864b-d6a2308d149e" xmlns:ns3="55003446-12bc-4e21-ad93-2650d6f23c48" targetNamespace="http://schemas.microsoft.com/office/2006/metadata/properties" ma:root="true" ma:fieldsID="5fe141011ad1b3b4eccea024dcb90307" ns2:_="" ns3:_="">
    <xsd:import namespace="7bb098a6-fa5b-48ec-864b-d6a2308d149e"/>
    <xsd:import namespace="55003446-12bc-4e21-ad93-2650d6f23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098a6-fa5b-48ec-864b-d6a2308d1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3446-12bc-4e21-ad93-2650d6f23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557d46a-1d4f-49f5-9dcf-40100c2e2a59}" ma:internalName="TaxCatchAll" ma:showField="CatchAllData" ma:web="55003446-12bc-4e21-ad93-2650d6f23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003446-12bc-4e21-ad93-2650d6f23c48" xsi:nil="true"/>
    <lcf76f155ced4ddcb4097134ff3c332f xmlns="7bb098a6-fa5b-48ec-864b-d6a2308d1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65D646-0B7E-4763-86AC-C967BC7924E5}"/>
</file>

<file path=customXml/itemProps2.xml><?xml version="1.0" encoding="utf-8"?>
<ds:datastoreItem xmlns:ds="http://schemas.openxmlformats.org/officeDocument/2006/customXml" ds:itemID="{D60AF5D7-A10B-493F-BE0B-F9BB86D1FF5C}"/>
</file>

<file path=customXml/itemProps3.xml><?xml version="1.0" encoding="utf-8"?>
<ds:datastoreItem xmlns:ds="http://schemas.openxmlformats.org/officeDocument/2006/customXml" ds:itemID="{631023D3-FC9A-4F8C-8210-0174B40CCF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Antonio J (DHSS)</dc:creator>
  <cp:keywords/>
  <dc:description/>
  <cp:lastModifiedBy>Alvarado, Antonio J (DHSS)</cp:lastModifiedBy>
  <cp:revision>3</cp:revision>
  <dcterms:created xsi:type="dcterms:W3CDTF">2024-08-07T15:55:00Z</dcterms:created>
  <dcterms:modified xsi:type="dcterms:W3CDTF">2024-08-07T16:04:16Z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0x0101003D55BBAE20D7474E8DE13EDFC48AB419</vt:lpwstr>
  </property>
  <property fmtid="{D5CDD505-2E9C-101B-9397-08002B2CF9AE}" pid="3" name="MediaServiceImageTags">
    <vt:lpwstr/>
  </property>
</Properties>
</file>