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BEBA" w14:textId="6C5978A8" w:rsidR="00A663EA" w:rsidRPr="005738C2" w:rsidRDefault="00A663EA" w:rsidP="00A663EA">
      <w:pPr>
        <w:rPr>
          <w:sz w:val="22"/>
        </w:rPr>
      </w:pPr>
    </w:p>
    <w:p w14:paraId="390A2CE0" w14:textId="01E3805D" w:rsidR="00CC31CA" w:rsidRPr="005738C2" w:rsidRDefault="00CC31CA" w:rsidP="004D3A9C">
      <w:pPr>
        <w:rPr>
          <w:sz w:val="22"/>
          <w:u w:val="single"/>
        </w:rPr>
      </w:pPr>
      <w:r w:rsidRPr="005738C2">
        <w:rPr>
          <w:sz w:val="22"/>
          <w:u w:val="single"/>
        </w:rPr>
        <w:t>SLIDE #1</w:t>
      </w:r>
    </w:p>
    <w:p w14:paraId="7B66F335" w14:textId="69383C59" w:rsidR="00CA737F" w:rsidRDefault="00CA737F" w:rsidP="004D3A9C">
      <w:pPr>
        <w:rPr>
          <w:sz w:val="22"/>
          <w:u w:val="single"/>
        </w:rPr>
      </w:pPr>
    </w:p>
    <w:p w14:paraId="5389CBD0" w14:textId="77777777" w:rsidR="0098066E" w:rsidRPr="00C748E7" w:rsidRDefault="0098066E" w:rsidP="004D3A9C">
      <w:pPr>
        <w:rPr>
          <w:sz w:val="22"/>
        </w:rPr>
      </w:pPr>
      <w:r w:rsidRPr="00C748E7">
        <w:rPr>
          <w:sz w:val="22"/>
        </w:rPr>
        <w:t xml:space="preserve">The Community of Practice for Supporting Families of Individuals with Intellectual &amp; Developmental Disabilities exists to enhance and drive policy, practice, and system transformation to support people with intellectual/developmental disabilities within the context of their families and communities. </w:t>
      </w:r>
    </w:p>
    <w:p w14:paraId="49B97729" w14:textId="77777777" w:rsidR="0098066E" w:rsidRPr="00C748E7" w:rsidRDefault="0098066E" w:rsidP="004D3A9C">
      <w:pPr>
        <w:rPr>
          <w:sz w:val="22"/>
        </w:rPr>
      </w:pPr>
    </w:p>
    <w:p w14:paraId="2D70102E" w14:textId="163F88B0" w:rsidR="00350CC2" w:rsidRPr="00C748E7" w:rsidRDefault="0098066E" w:rsidP="004D3A9C">
      <w:pPr>
        <w:rPr>
          <w:sz w:val="22"/>
        </w:rPr>
      </w:pPr>
      <w:r w:rsidRPr="00C748E7">
        <w:rPr>
          <w:sz w:val="22"/>
        </w:rPr>
        <w:t xml:space="preserve">Nineteen member states are committed to developing systems of support for families of people with intellectual and developmental disabilities (I/DD) </w:t>
      </w:r>
      <w:r w:rsidR="006641FF" w:rsidRPr="00C748E7">
        <w:rPr>
          <w:sz w:val="22"/>
        </w:rPr>
        <w:t>throughout the lifespan</w:t>
      </w:r>
      <w:r w:rsidRPr="00C748E7">
        <w:rPr>
          <w:sz w:val="22"/>
        </w:rPr>
        <w:t>, and receive technical assistance, products, opportunities for shared learning, and support from a National Team to integrate innovative practices into existing and ongoing state systems change efforts.</w:t>
      </w:r>
    </w:p>
    <w:p w14:paraId="3432783B" w14:textId="5B5FA95C" w:rsidR="00350CC2" w:rsidRDefault="00350CC2" w:rsidP="004D3A9C">
      <w:pPr>
        <w:rPr>
          <w:sz w:val="22"/>
        </w:rPr>
      </w:pPr>
    </w:p>
    <w:p w14:paraId="7FF11FB6" w14:textId="77777777" w:rsidR="0098066E" w:rsidRPr="00350CC2" w:rsidRDefault="0098066E" w:rsidP="004D3A9C">
      <w:pPr>
        <w:rPr>
          <w:sz w:val="22"/>
        </w:rPr>
      </w:pPr>
    </w:p>
    <w:p w14:paraId="0DD8CE45" w14:textId="2F661CAD" w:rsidR="00E26A8A" w:rsidRPr="005738C2" w:rsidRDefault="00E26A8A" w:rsidP="004D3A9C">
      <w:pPr>
        <w:rPr>
          <w:sz w:val="22"/>
          <w:u w:val="single"/>
        </w:rPr>
      </w:pPr>
      <w:r w:rsidRPr="005738C2">
        <w:rPr>
          <w:sz w:val="22"/>
          <w:u w:val="single"/>
        </w:rPr>
        <w:t>SLIDE #</w:t>
      </w:r>
      <w:r w:rsidR="00CA737F" w:rsidRPr="005738C2">
        <w:rPr>
          <w:sz w:val="22"/>
          <w:u w:val="single"/>
        </w:rPr>
        <w:t>2</w:t>
      </w:r>
    </w:p>
    <w:p w14:paraId="5ED32BE7" w14:textId="77777777" w:rsidR="00C55BC3" w:rsidRPr="005738C2" w:rsidRDefault="00C55BC3" w:rsidP="004D3A9C">
      <w:pPr>
        <w:rPr>
          <w:sz w:val="22"/>
        </w:rPr>
      </w:pPr>
    </w:p>
    <w:p w14:paraId="601B766B" w14:textId="2446D7BA" w:rsidR="007C5ECA" w:rsidRDefault="00A52E56" w:rsidP="004D3A9C">
      <w:pPr>
        <w:rPr>
          <w:sz w:val="22"/>
        </w:rPr>
      </w:pPr>
      <w:r w:rsidRPr="00A52E56">
        <w:rPr>
          <w:sz w:val="22"/>
        </w:rPr>
        <w:t>The Community of Practice for Supporting Families</w:t>
      </w:r>
      <w:r>
        <w:rPr>
          <w:sz w:val="22"/>
        </w:rPr>
        <w:t xml:space="preserve"> is a partnership between the University of Missouri </w:t>
      </w:r>
      <w:r w:rsidR="008F2C55">
        <w:rPr>
          <w:sz w:val="22"/>
        </w:rPr>
        <w:t>- K</w:t>
      </w:r>
      <w:r>
        <w:rPr>
          <w:sz w:val="22"/>
        </w:rPr>
        <w:t>ansas City Institute for Human Development and the National Association of State Directors of Developmental Disabilities Services (NASDDDS).</w:t>
      </w:r>
    </w:p>
    <w:p w14:paraId="3EEF0FC0" w14:textId="0759B56C" w:rsidR="00A52E56" w:rsidRDefault="00A52E56" w:rsidP="004D3A9C">
      <w:pPr>
        <w:rPr>
          <w:sz w:val="22"/>
        </w:rPr>
      </w:pPr>
    </w:p>
    <w:p w14:paraId="00D1B7EB" w14:textId="088971B0" w:rsidR="000A6748" w:rsidRDefault="000A6748" w:rsidP="000A6748">
      <w:pPr>
        <w:rPr>
          <w:sz w:val="22"/>
          <w:u w:val="single"/>
        </w:rPr>
      </w:pPr>
    </w:p>
    <w:p w14:paraId="1BDB3313" w14:textId="368D7B6E" w:rsidR="000A6748" w:rsidRPr="000A6748" w:rsidRDefault="00FD1695" w:rsidP="000A6748">
      <w:pPr>
        <w:rPr>
          <w:sz w:val="22"/>
        </w:rPr>
      </w:pPr>
      <w:r>
        <w:rPr>
          <w:sz w:val="22"/>
        </w:rPr>
        <w:t>The Community of Practice network supports states in</w:t>
      </w:r>
    </w:p>
    <w:p w14:paraId="13C32E10" w14:textId="77777777" w:rsidR="008E7CF9" w:rsidRPr="008E7CF9" w:rsidRDefault="008E7CF9" w:rsidP="008E7CF9">
      <w:pPr>
        <w:numPr>
          <w:ilvl w:val="0"/>
          <w:numId w:val="6"/>
        </w:numPr>
        <w:shd w:val="clear" w:color="auto" w:fill="FFFFFF"/>
        <w:spacing w:before="100" w:beforeAutospacing="1" w:after="100" w:afterAutospacing="1"/>
        <w:rPr>
          <w:sz w:val="22"/>
        </w:rPr>
      </w:pPr>
      <w:r w:rsidRPr="008E7CF9">
        <w:rPr>
          <w:sz w:val="22"/>
        </w:rPr>
        <w:t>Listening to and learning from families of people who have disabilities about the way that systems can best change to support people across the lifespan</w:t>
      </w:r>
    </w:p>
    <w:p w14:paraId="41CACBD7" w14:textId="77777777" w:rsidR="008E7CF9" w:rsidRPr="008E7CF9" w:rsidRDefault="008E7CF9" w:rsidP="008E7CF9">
      <w:pPr>
        <w:numPr>
          <w:ilvl w:val="0"/>
          <w:numId w:val="6"/>
        </w:numPr>
        <w:shd w:val="clear" w:color="auto" w:fill="FFFFFF"/>
        <w:spacing w:before="100" w:beforeAutospacing="1" w:after="100" w:afterAutospacing="1"/>
        <w:rPr>
          <w:sz w:val="22"/>
        </w:rPr>
      </w:pPr>
      <w:r w:rsidRPr="008E7CF9">
        <w:rPr>
          <w:sz w:val="22"/>
        </w:rPr>
        <w:t>Creating a feedback loop with the system to cultivate mutual support and accountability between the system and grassroots (families and self-advocates)</w:t>
      </w:r>
    </w:p>
    <w:p w14:paraId="1BFAE182" w14:textId="77777777" w:rsidR="008E7CF9" w:rsidRPr="008E7CF9" w:rsidRDefault="008E7CF9" w:rsidP="008E7CF9">
      <w:pPr>
        <w:numPr>
          <w:ilvl w:val="0"/>
          <w:numId w:val="6"/>
        </w:numPr>
        <w:shd w:val="clear" w:color="auto" w:fill="FFFFFF"/>
        <w:spacing w:before="100" w:beforeAutospacing="1" w:after="100" w:afterAutospacing="1"/>
        <w:rPr>
          <w:sz w:val="22"/>
        </w:rPr>
      </w:pPr>
      <w:r w:rsidRPr="008E7CF9">
        <w:rPr>
          <w:sz w:val="22"/>
        </w:rPr>
        <w:t>Leveraging partnership that enable systems to have growth and connectivity to effectuate culture change for systems innovation</w:t>
      </w:r>
    </w:p>
    <w:p w14:paraId="02A9E902" w14:textId="77777777" w:rsidR="008E7CF9" w:rsidRPr="008E7CF9" w:rsidRDefault="008E7CF9" w:rsidP="008E7CF9">
      <w:pPr>
        <w:numPr>
          <w:ilvl w:val="0"/>
          <w:numId w:val="6"/>
        </w:numPr>
        <w:shd w:val="clear" w:color="auto" w:fill="FFFFFF"/>
        <w:spacing w:before="100" w:beforeAutospacing="1"/>
        <w:rPr>
          <w:sz w:val="22"/>
        </w:rPr>
      </w:pPr>
      <w:r w:rsidRPr="008E7CF9">
        <w:rPr>
          <w:sz w:val="22"/>
        </w:rPr>
        <w:t>Innovating and sharing learning about best and promising practices, innovations, and implementation strategies for person- and family-centered practices and policy enhancement</w:t>
      </w:r>
    </w:p>
    <w:p w14:paraId="04EB2BC4" w14:textId="28ED7ED6" w:rsidR="007C5ECA" w:rsidRDefault="007C5ECA" w:rsidP="004D3A9C">
      <w:pPr>
        <w:rPr>
          <w:sz w:val="22"/>
        </w:rPr>
      </w:pPr>
    </w:p>
    <w:p w14:paraId="3A2790EA" w14:textId="640E9D47" w:rsidR="008E7CF9" w:rsidRDefault="008E7CF9" w:rsidP="004D3A9C">
      <w:pPr>
        <w:rPr>
          <w:sz w:val="22"/>
        </w:rPr>
      </w:pPr>
    </w:p>
    <w:p w14:paraId="6C5E5DDB" w14:textId="0AE78716" w:rsidR="00F647EC" w:rsidRDefault="00F647EC" w:rsidP="00F647EC">
      <w:pPr>
        <w:rPr>
          <w:sz w:val="22"/>
          <w:u w:val="single"/>
        </w:rPr>
      </w:pPr>
      <w:r w:rsidRPr="005738C2">
        <w:rPr>
          <w:sz w:val="22"/>
          <w:u w:val="single"/>
        </w:rPr>
        <w:t>SLIDE #</w:t>
      </w:r>
      <w:r w:rsidR="00767530">
        <w:rPr>
          <w:sz w:val="22"/>
          <w:u w:val="single"/>
        </w:rPr>
        <w:t>3</w:t>
      </w:r>
    </w:p>
    <w:p w14:paraId="1FB48BA8" w14:textId="77777777" w:rsidR="00F647EC" w:rsidRDefault="00F647EC" w:rsidP="004D3A9C">
      <w:pPr>
        <w:rPr>
          <w:sz w:val="22"/>
        </w:rPr>
      </w:pPr>
    </w:p>
    <w:p w14:paraId="51FB8969" w14:textId="77777777" w:rsidR="00F647EC" w:rsidRDefault="00F647EC" w:rsidP="004D3A9C">
      <w:pPr>
        <w:rPr>
          <w:sz w:val="22"/>
        </w:rPr>
      </w:pPr>
      <w:r w:rsidRPr="00F647EC">
        <w:rPr>
          <w:sz w:val="22"/>
        </w:rPr>
        <w:t xml:space="preserve">Supporting people with disabilities to live and fully participate in their communities throughout their lives has emerged as a fundamental right and consideration in disability policy and practices. Because of the role that families continue to play in the lives of their family members, future policies and practices must reflect the family as part of the system of support. Supporting the family is defined as a set of strategies targeting the family unit but that ultimately benefit the individual with I/DD. </w:t>
      </w:r>
    </w:p>
    <w:p w14:paraId="7CFFDF96" w14:textId="77777777" w:rsidR="00F647EC" w:rsidRDefault="00F647EC" w:rsidP="004D3A9C">
      <w:pPr>
        <w:rPr>
          <w:sz w:val="22"/>
        </w:rPr>
      </w:pPr>
    </w:p>
    <w:p w14:paraId="363C4BBC" w14:textId="39D35F68" w:rsidR="000A5EFC" w:rsidRDefault="00F647EC" w:rsidP="004D3A9C">
      <w:pPr>
        <w:rPr>
          <w:sz w:val="22"/>
        </w:rPr>
      </w:pPr>
      <w:r w:rsidRPr="00F647EC">
        <w:rPr>
          <w:sz w:val="22"/>
        </w:rPr>
        <w:t>Supporting the family strategies are intended to assist family members who have a key role in the provision of support and guidance of their family member with I/DD to address the emotional, physical</w:t>
      </w:r>
      <w:r>
        <w:rPr>
          <w:sz w:val="22"/>
        </w:rPr>
        <w:t>,</w:t>
      </w:r>
      <w:r w:rsidRPr="00F647EC">
        <w:rPr>
          <w:sz w:val="22"/>
        </w:rPr>
        <w:t xml:space="preserve"> and material well-being of the entire family. Strategies must be designed, implemented</w:t>
      </w:r>
      <w:r>
        <w:rPr>
          <w:sz w:val="22"/>
        </w:rPr>
        <w:t>,</w:t>
      </w:r>
      <w:r w:rsidRPr="00F647EC">
        <w:rPr>
          <w:sz w:val="22"/>
        </w:rPr>
        <w:t xml:space="preserve"> and funded in a manner directed by the family unit. They should be flexible, comprehensive, and coordinated.</w:t>
      </w:r>
    </w:p>
    <w:p w14:paraId="1D25E64E" w14:textId="68EE703A" w:rsidR="000A5EFC" w:rsidRDefault="000A5EFC" w:rsidP="004D3A9C">
      <w:pPr>
        <w:rPr>
          <w:sz w:val="22"/>
        </w:rPr>
      </w:pPr>
    </w:p>
    <w:p w14:paraId="1E5458F5" w14:textId="77777777" w:rsidR="002D1B49" w:rsidRPr="005738C2" w:rsidRDefault="002D1B49" w:rsidP="004D3A9C">
      <w:pPr>
        <w:rPr>
          <w:sz w:val="22"/>
        </w:rPr>
      </w:pPr>
    </w:p>
    <w:p w14:paraId="7BA31A86" w14:textId="0550E562" w:rsidR="00C55BC3" w:rsidRPr="005738C2" w:rsidRDefault="00C55BC3" w:rsidP="004D3A9C">
      <w:pPr>
        <w:rPr>
          <w:sz w:val="22"/>
          <w:u w:val="single"/>
        </w:rPr>
      </w:pPr>
      <w:r w:rsidRPr="005738C2">
        <w:rPr>
          <w:sz w:val="22"/>
          <w:u w:val="single"/>
        </w:rPr>
        <w:t>SLIDE #</w:t>
      </w:r>
      <w:r w:rsidR="00767530">
        <w:rPr>
          <w:sz w:val="22"/>
          <w:u w:val="single"/>
        </w:rPr>
        <w:t>4</w:t>
      </w:r>
    </w:p>
    <w:p w14:paraId="25FE8F46" w14:textId="77777777" w:rsidR="00C55BC3" w:rsidRPr="005738C2" w:rsidRDefault="00C55BC3" w:rsidP="004D3A9C">
      <w:pPr>
        <w:rPr>
          <w:sz w:val="22"/>
          <w:u w:val="single"/>
        </w:rPr>
      </w:pPr>
    </w:p>
    <w:p w14:paraId="4FFAE2F0" w14:textId="7A1D9900" w:rsidR="00F6735C" w:rsidRDefault="00645BFE" w:rsidP="00645BFE">
      <w:pPr>
        <w:pStyle w:val="Default"/>
        <w:rPr>
          <w:rFonts w:ascii="Arial" w:hAnsi="Arial" w:cstheme="minorBidi"/>
          <w:color w:val="auto"/>
          <w:sz w:val="22"/>
          <w:szCs w:val="22"/>
        </w:rPr>
      </w:pPr>
      <w:r w:rsidRPr="00645BFE">
        <w:rPr>
          <w:rFonts w:ascii="Arial" w:hAnsi="Arial" w:cstheme="minorBidi"/>
          <w:color w:val="auto"/>
          <w:sz w:val="22"/>
          <w:szCs w:val="22"/>
        </w:rPr>
        <w:t>DDDS became a member of the Supporting Families Community of Practice in 2016. DDDS has held state-wide annual “kick-off” events with support from the national CoP team since that time to engage individuals, their families, case managers, and providers to become more familiar with this new person</w:t>
      </w:r>
      <w:r>
        <w:rPr>
          <w:rFonts w:ascii="Arial" w:hAnsi="Arial" w:cstheme="minorBidi"/>
          <w:color w:val="auto"/>
          <w:sz w:val="22"/>
          <w:szCs w:val="22"/>
        </w:rPr>
        <w:t>-</w:t>
      </w:r>
      <w:r w:rsidRPr="00645BFE">
        <w:rPr>
          <w:rFonts w:ascii="Arial" w:hAnsi="Arial" w:cstheme="minorBidi"/>
          <w:color w:val="auto"/>
          <w:sz w:val="22"/>
          <w:szCs w:val="22"/>
        </w:rPr>
        <w:t xml:space="preserve">centered planning philosophy. </w:t>
      </w:r>
    </w:p>
    <w:p w14:paraId="5C0FEF73" w14:textId="77777777" w:rsidR="00F6735C" w:rsidRDefault="00F6735C" w:rsidP="00645BFE">
      <w:pPr>
        <w:pStyle w:val="Default"/>
        <w:rPr>
          <w:rFonts w:ascii="Arial" w:hAnsi="Arial" w:cstheme="minorBidi"/>
          <w:color w:val="auto"/>
          <w:sz w:val="22"/>
          <w:szCs w:val="22"/>
        </w:rPr>
      </w:pPr>
    </w:p>
    <w:p w14:paraId="2C6A7DFC" w14:textId="6FFE7A0C" w:rsidR="00645BFE" w:rsidRPr="00645BFE" w:rsidRDefault="00645BFE" w:rsidP="00645BFE">
      <w:pPr>
        <w:pStyle w:val="Default"/>
        <w:rPr>
          <w:rFonts w:ascii="Arial" w:hAnsi="Arial" w:cstheme="minorBidi"/>
          <w:color w:val="auto"/>
          <w:sz w:val="22"/>
          <w:szCs w:val="22"/>
        </w:rPr>
      </w:pPr>
      <w:r w:rsidRPr="00645BFE">
        <w:rPr>
          <w:rFonts w:ascii="Arial" w:hAnsi="Arial" w:cstheme="minorBidi"/>
          <w:color w:val="auto"/>
          <w:sz w:val="22"/>
          <w:szCs w:val="22"/>
        </w:rPr>
        <w:t xml:space="preserve">DDDS continues to use its annual National CoP </w:t>
      </w:r>
      <w:r w:rsidR="00A05930">
        <w:rPr>
          <w:rFonts w:ascii="Arial" w:hAnsi="Arial" w:cstheme="minorBidi"/>
          <w:color w:val="auto"/>
          <w:sz w:val="22"/>
          <w:szCs w:val="22"/>
        </w:rPr>
        <w:t>technical assistance</w:t>
      </w:r>
      <w:r w:rsidRPr="00645BFE">
        <w:rPr>
          <w:rFonts w:ascii="Arial" w:hAnsi="Arial" w:cstheme="minorBidi"/>
          <w:color w:val="auto"/>
          <w:sz w:val="22"/>
          <w:szCs w:val="22"/>
        </w:rPr>
        <w:t xml:space="preserve"> hours to engage provider agencies, service recipients, families, and other external stakeholders to continue to grow the Delaware C</w:t>
      </w:r>
      <w:r w:rsidR="00A05930">
        <w:rPr>
          <w:rFonts w:ascii="Arial" w:hAnsi="Arial" w:cstheme="minorBidi"/>
          <w:color w:val="auto"/>
          <w:sz w:val="22"/>
          <w:szCs w:val="22"/>
        </w:rPr>
        <w:t xml:space="preserve">ommunity </w:t>
      </w:r>
      <w:r w:rsidRPr="00645BFE">
        <w:rPr>
          <w:rFonts w:ascii="Arial" w:hAnsi="Arial" w:cstheme="minorBidi"/>
          <w:color w:val="auto"/>
          <w:sz w:val="22"/>
          <w:szCs w:val="22"/>
        </w:rPr>
        <w:t>o</w:t>
      </w:r>
      <w:r w:rsidR="00A05930">
        <w:rPr>
          <w:rFonts w:ascii="Arial" w:hAnsi="Arial" w:cstheme="minorBidi"/>
          <w:color w:val="auto"/>
          <w:sz w:val="22"/>
          <w:szCs w:val="22"/>
        </w:rPr>
        <w:t xml:space="preserve">f </w:t>
      </w:r>
      <w:r w:rsidRPr="00645BFE">
        <w:rPr>
          <w:rFonts w:ascii="Arial" w:hAnsi="Arial" w:cstheme="minorBidi"/>
          <w:color w:val="auto"/>
          <w:sz w:val="22"/>
          <w:szCs w:val="22"/>
        </w:rPr>
        <w:t>P</w:t>
      </w:r>
      <w:r w:rsidR="00A05930">
        <w:rPr>
          <w:rFonts w:ascii="Arial" w:hAnsi="Arial" w:cstheme="minorBidi"/>
          <w:color w:val="auto"/>
          <w:sz w:val="22"/>
          <w:szCs w:val="22"/>
        </w:rPr>
        <w:t>ractice</w:t>
      </w:r>
      <w:r w:rsidRPr="00645BFE">
        <w:rPr>
          <w:rFonts w:ascii="Arial" w:hAnsi="Arial" w:cstheme="minorBidi"/>
          <w:color w:val="auto"/>
          <w:sz w:val="22"/>
          <w:szCs w:val="22"/>
        </w:rPr>
        <w:t xml:space="preserve">. </w:t>
      </w:r>
    </w:p>
    <w:p w14:paraId="57059915" w14:textId="77777777" w:rsidR="003A5E2A" w:rsidRDefault="003A5E2A" w:rsidP="00A663EA">
      <w:pPr>
        <w:rPr>
          <w:szCs w:val="20"/>
        </w:rPr>
      </w:pPr>
    </w:p>
    <w:p w14:paraId="3199039F" w14:textId="77777777" w:rsidR="0061449C" w:rsidRDefault="0061449C" w:rsidP="00A663EA">
      <w:pPr>
        <w:rPr>
          <w:szCs w:val="20"/>
        </w:rPr>
      </w:pPr>
    </w:p>
    <w:p w14:paraId="7581AE2E" w14:textId="475A7D24" w:rsidR="00E30043" w:rsidRPr="00E30043" w:rsidRDefault="00E30043" w:rsidP="00A663EA">
      <w:pPr>
        <w:rPr>
          <w:sz w:val="22"/>
          <w:u w:val="single"/>
        </w:rPr>
      </w:pPr>
      <w:r w:rsidRPr="00E30043">
        <w:rPr>
          <w:sz w:val="22"/>
          <w:u w:val="single"/>
        </w:rPr>
        <w:t>SLIDE #</w:t>
      </w:r>
      <w:r w:rsidR="00767530">
        <w:rPr>
          <w:sz w:val="22"/>
          <w:u w:val="single"/>
        </w:rPr>
        <w:t>5</w:t>
      </w:r>
    </w:p>
    <w:p w14:paraId="40FF667C" w14:textId="77777777" w:rsidR="00E30043" w:rsidRDefault="00E30043" w:rsidP="00A663EA">
      <w:pPr>
        <w:rPr>
          <w:szCs w:val="20"/>
        </w:rPr>
      </w:pPr>
    </w:p>
    <w:p w14:paraId="58358358" w14:textId="1CDD729E" w:rsidR="00E86EF3" w:rsidRPr="00E86EF3" w:rsidRDefault="00E86EF3" w:rsidP="00A663EA">
      <w:pPr>
        <w:rPr>
          <w:sz w:val="22"/>
        </w:rPr>
      </w:pPr>
      <w:r w:rsidRPr="00E86EF3">
        <w:rPr>
          <w:sz w:val="22"/>
        </w:rPr>
        <w:t>The Charting the LifeCourse framework evolved as the model framework that members of the CoP used to think and speak differently about people with IDD, their families, what they needed, and how systems of support might align along a new paradigm.</w:t>
      </w:r>
    </w:p>
    <w:p w14:paraId="7682D80F" w14:textId="77777777" w:rsidR="00E86EF3" w:rsidRDefault="00E86EF3" w:rsidP="00A663EA">
      <w:pPr>
        <w:rPr>
          <w:sz w:val="22"/>
        </w:rPr>
      </w:pPr>
    </w:p>
    <w:p w14:paraId="7FC526D1" w14:textId="6314FCBB" w:rsidR="00056639" w:rsidRDefault="0004140A" w:rsidP="00A663EA">
      <w:pPr>
        <w:rPr>
          <w:sz w:val="22"/>
        </w:rPr>
      </w:pPr>
      <w:r>
        <w:rPr>
          <w:sz w:val="22"/>
        </w:rPr>
        <w:t>Delaware has fully integrated the Charting the LifeCourse</w:t>
      </w:r>
      <w:r w:rsidR="00D77FD9">
        <w:rPr>
          <w:sz w:val="22"/>
        </w:rPr>
        <w:t xml:space="preserve"> framework in the person-centered planning process. </w:t>
      </w:r>
      <w:r w:rsidR="00F6735C" w:rsidRPr="00645BFE">
        <w:rPr>
          <w:sz w:val="22"/>
        </w:rPr>
        <w:t>DDDS now uses tools from the LifeCourse toolkit to assist and encourage individuals and their families to develop their plans in accordance with their vision for their “good life”.</w:t>
      </w:r>
    </w:p>
    <w:p w14:paraId="449B417B" w14:textId="0BA4E49B" w:rsidR="00056639" w:rsidRDefault="00056639" w:rsidP="00A663EA">
      <w:pPr>
        <w:rPr>
          <w:sz w:val="22"/>
        </w:rPr>
      </w:pPr>
    </w:p>
    <w:p w14:paraId="3501AD51" w14:textId="403E160E" w:rsidR="00113679" w:rsidRDefault="00833700" w:rsidP="00A663EA">
      <w:pPr>
        <w:rPr>
          <w:sz w:val="22"/>
        </w:rPr>
      </w:pPr>
      <w:r w:rsidRPr="00833700">
        <w:rPr>
          <w:sz w:val="22"/>
        </w:rPr>
        <w:t>The Charting the LifeCourse framework was created to help individuals and families of all abilities and all ages develop a vision for a good life, think about what they need to know and do, identify how to find or develop supports, and discover what it takes to live the lives they want to live. The framework is the keystone for supporting a community of learning that champions transformational change through knowledge exchange, capacity building, and collaborative engagement.</w:t>
      </w:r>
    </w:p>
    <w:p w14:paraId="3B64215B" w14:textId="77777777" w:rsidR="004A26A0" w:rsidRDefault="004A26A0" w:rsidP="00A663EA">
      <w:pPr>
        <w:rPr>
          <w:sz w:val="22"/>
        </w:rPr>
      </w:pPr>
    </w:p>
    <w:p w14:paraId="11A8771E" w14:textId="06EE87C1" w:rsidR="005738C2" w:rsidRDefault="005738C2" w:rsidP="00A663EA">
      <w:pPr>
        <w:rPr>
          <w:sz w:val="22"/>
        </w:rPr>
      </w:pPr>
    </w:p>
    <w:p w14:paraId="48FE5EE0" w14:textId="4051647B" w:rsidR="00360F14" w:rsidRPr="005738C2" w:rsidRDefault="00360F14" w:rsidP="00A663EA">
      <w:pPr>
        <w:rPr>
          <w:sz w:val="22"/>
          <w:u w:val="single"/>
        </w:rPr>
      </w:pPr>
      <w:r w:rsidRPr="005738C2">
        <w:rPr>
          <w:sz w:val="22"/>
          <w:u w:val="single"/>
        </w:rPr>
        <w:t>SLIDE #</w:t>
      </w:r>
      <w:r w:rsidR="00A315C5">
        <w:rPr>
          <w:sz w:val="22"/>
          <w:u w:val="single"/>
        </w:rPr>
        <w:t>6</w:t>
      </w:r>
    </w:p>
    <w:p w14:paraId="742B02B2" w14:textId="0D5B0548" w:rsidR="004103F6" w:rsidRPr="005738C2" w:rsidRDefault="004103F6" w:rsidP="00A663EA">
      <w:pPr>
        <w:rPr>
          <w:sz w:val="22"/>
        </w:rPr>
      </w:pPr>
    </w:p>
    <w:p w14:paraId="3313F51B" w14:textId="1C8D8986" w:rsidR="005738C2" w:rsidRDefault="00063E4A" w:rsidP="00A663EA">
      <w:pPr>
        <w:rPr>
          <w:sz w:val="22"/>
        </w:rPr>
      </w:pPr>
      <w:r>
        <w:rPr>
          <w:sz w:val="22"/>
        </w:rPr>
        <w:t xml:space="preserve">The Charting the LifeCourse framework consists of </w:t>
      </w:r>
      <w:r w:rsidR="0032361D">
        <w:rPr>
          <w:sz w:val="22"/>
        </w:rPr>
        <w:t>8</w:t>
      </w:r>
      <w:r>
        <w:rPr>
          <w:sz w:val="22"/>
        </w:rPr>
        <w:t xml:space="preserve"> key </w:t>
      </w:r>
      <w:r w:rsidR="0032361D">
        <w:rPr>
          <w:sz w:val="22"/>
        </w:rPr>
        <w:t xml:space="preserve">guiding </w:t>
      </w:r>
      <w:r>
        <w:rPr>
          <w:sz w:val="22"/>
        </w:rPr>
        <w:t>principles:</w:t>
      </w:r>
    </w:p>
    <w:p w14:paraId="7DD6A54E" w14:textId="2E908CDC" w:rsidR="00063E4A" w:rsidRDefault="00063E4A" w:rsidP="00A663EA">
      <w:pPr>
        <w:rPr>
          <w:sz w:val="22"/>
        </w:rPr>
      </w:pPr>
    </w:p>
    <w:p w14:paraId="4FBE9F8D" w14:textId="77777777" w:rsidR="000365D0" w:rsidRPr="00C43684" w:rsidRDefault="000365D0" w:rsidP="00063E4A">
      <w:pPr>
        <w:pStyle w:val="ListParagraph"/>
        <w:numPr>
          <w:ilvl w:val="0"/>
          <w:numId w:val="7"/>
        </w:numPr>
        <w:rPr>
          <w:b/>
          <w:bCs/>
          <w:sz w:val="22"/>
        </w:rPr>
      </w:pPr>
      <w:r w:rsidRPr="00C43684">
        <w:rPr>
          <w:b/>
          <w:bCs/>
          <w:sz w:val="22"/>
        </w:rPr>
        <w:t>Focusing on All People</w:t>
      </w:r>
    </w:p>
    <w:p w14:paraId="7A78A092" w14:textId="56E5FA42" w:rsidR="00063E4A" w:rsidRPr="001F5C8E" w:rsidRDefault="001F5C8E" w:rsidP="000365D0">
      <w:pPr>
        <w:pStyle w:val="ListParagraph"/>
        <w:ind w:left="360"/>
        <w:rPr>
          <w:sz w:val="22"/>
        </w:rPr>
      </w:pPr>
      <w:r w:rsidRPr="003B5AF0">
        <w:rPr>
          <w:sz w:val="22"/>
        </w:rPr>
        <w:t>All people, regardless of age, ability, or family role, are considered in our vision, values, policies, and practices for supporting individuals and families. All families have choices and access to the supports they need.</w:t>
      </w:r>
    </w:p>
    <w:p w14:paraId="328F2764" w14:textId="77777777" w:rsidR="000365D0" w:rsidRPr="000365D0" w:rsidRDefault="000365D0" w:rsidP="000365D0">
      <w:pPr>
        <w:pStyle w:val="ListParagraph"/>
        <w:ind w:left="360"/>
        <w:rPr>
          <w:sz w:val="22"/>
        </w:rPr>
      </w:pPr>
    </w:p>
    <w:p w14:paraId="6700FC88" w14:textId="6186E09B" w:rsidR="003B5AF0" w:rsidRPr="00C43684" w:rsidRDefault="003B5AF0" w:rsidP="00063E4A">
      <w:pPr>
        <w:pStyle w:val="ListParagraph"/>
        <w:numPr>
          <w:ilvl w:val="0"/>
          <w:numId w:val="7"/>
        </w:numPr>
        <w:rPr>
          <w:b/>
          <w:bCs/>
          <w:sz w:val="22"/>
        </w:rPr>
      </w:pPr>
      <w:r w:rsidRPr="00C43684">
        <w:rPr>
          <w:b/>
          <w:bCs/>
          <w:sz w:val="22"/>
        </w:rPr>
        <w:t>Recognizing the Person Within the Context of Their Family</w:t>
      </w:r>
    </w:p>
    <w:p w14:paraId="22A83A2F" w14:textId="50126CFC" w:rsidR="001F5C8E" w:rsidRPr="001F5C8E" w:rsidRDefault="001F5C8E" w:rsidP="003B5AF0">
      <w:pPr>
        <w:pStyle w:val="ListParagraph"/>
        <w:ind w:left="360"/>
        <w:rPr>
          <w:sz w:val="22"/>
        </w:rPr>
      </w:pPr>
      <w:r w:rsidRPr="003B5AF0">
        <w:rPr>
          <w:sz w:val="22"/>
        </w:rPr>
        <w:t>People exist and have reciprocal roles within a family system</w:t>
      </w:r>
      <w:r w:rsidR="00C43684">
        <w:rPr>
          <w:sz w:val="22"/>
        </w:rPr>
        <w:t xml:space="preserve"> </w:t>
      </w:r>
      <w:r w:rsidRPr="003B5AF0">
        <w:rPr>
          <w:sz w:val="22"/>
        </w:rPr>
        <w:t>defined by that individual. Roles adjust as the individual members of the family system change and age. The entire family, individually and as a whole, needs support to ensure they all are able to successfully live their good life.</w:t>
      </w:r>
    </w:p>
    <w:p w14:paraId="00DAB662" w14:textId="77777777" w:rsidR="00C43684" w:rsidRDefault="00C43684" w:rsidP="00C43684">
      <w:pPr>
        <w:pStyle w:val="ListParagraph"/>
        <w:ind w:left="360"/>
        <w:rPr>
          <w:sz w:val="22"/>
        </w:rPr>
      </w:pPr>
    </w:p>
    <w:p w14:paraId="652361C6" w14:textId="6C93BA58" w:rsidR="003B5AF0" w:rsidRPr="00C43684" w:rsidRDefault="00C43684" w:rsidP="00063E4A">
      <w:pPr>
        <w:pStyle w:val="ListParagraph"/>
        <w:numPr>
          <w:ilvl w:val="0"/>
          <w:numId w:val="7"/>
        </w:numPr>
        <w:rPr>
          <w:b/>
          <w:bCs/>
          <w:sz w:val="22"/>
        </w:rPr>
      </w:pPr>
      <w:r w:rsidRPr="00C43684">
        <w:rPr>
          <w:b/>
          <w:bCs/>
          <w:sz w:val="22"/>
        </w:rPr>
        <w:t>Trajectory of Li</w:t>
      </w:r>
      <w:r w:rsidR="00D9103B">
        <w:rPr>
          <w:b/>
          <w:bCs/>
          <w:sz w:val="22"/>
        </w:rPr>
        <w:t>f</w:t>
      </w:r>
      <w:r w:rsidRPr="00C43684">
        <w:rPr>
          <w:b/>
          <w:bCs/>
          <w:sz w:val="22"/>
        </w:rPr>
        <w:t>e Experiences Across the Lifespan</w:t>
      </w:r>
    </w:p>
    <w:p w14:paraId="585C9C36" w14:textId="2635484C" w:rsidR="001F5C8E" w:rsidRPr="00032A18" w:rsidRDefault="00032A18" w:rsidP="00C43684">
      <w:pPr>
        <w:pStyle w:val="ListParagraph"/>
        <w:ind w:left="360"/>
        <w:rPr>
          <w:sz w:val="22"/>
        </w:rPr>
      </w:pPr>
      <w:r w:rsidRPr="003B5AF0">
        <w:rPr>
          <w:sz w:val="22"/>
        </w:rPr>
        <w:t>Individuals and families can focus on a specific life stage, with an awareness of how prior, current, and future life stages impact and influence their trajectory. It is important to have a</w:t>
      </w:r>
      <w:r>
        <w:rPr>
          <w:rFonts w:ascii="Open Sans" w:hAnsi="Open Sans" w:cs="Open Sans"/>
          <w:color w:val="000000"/>
          <w:shd w:val="clear" w:color="auto" w:fill="FFFFFF"/>
        </w:rPr>
        <w:t xml:space="preserve"> </w:t>
      </w:r>
      <w:r w:rsidRPr="00967CF4">
        <w:rPr>
          <w:sz w:val="22"/>
        </w:rPr>
        <w:t>vision for a good, quality life and have opportunities, experiences, and support to move the life trajectory in a positive direction.</w:t>
      </w:r>
    </w:p>
    <w:p w14:paraId="4C6CC64B" w14:textId="0D8891BD" w:rsidR="00967CF4" w:rsidRDefault="00967CF4" w:rsidP="00967CF4">
      <w:pPr>
        <w:pStyle w:val="ListParagraph"/>
        <w:ind w:left="360"/>
        <w:rPr>
          <w:sz w:val="22"/>
        </w:rPr>
      </w:pPr>
    </w:p>
    <w:p w14:paraId="4B4BA4F9" w14:textId="3004CFD5" w:rsidR="00A315C5" w:rsidRDefault="00A315C5" w:rsidP="00967CF4">
      <w:pPr>
        <w:pStyle w:val="ListParagraph"/>
        <w:ind w:left="360"/>
        <w:rPr>
          <w:sz w:val="22"/>
        </w:rPr>
      </w:pPr>
    </w:p>
    <w:p w14:paraId="43A5DD05" w14:textId="77777777" w:rsidR="00A315C5" w:rsidRDefault="00A315C5" w:rsidP="00967CF4">
      <w:pPr>
        <w:pStyle w:val="ListParagraph"/>
        <w:ind w:left="360"/>
        <w:rPr>
          <w:sz w:val="22"/>
        </w:rPr>
      </w:pPr>
    </w:p>
    <w:p w14:paraId="647C7AC1" w14:textId="3FC6E5DB" w:rsidR="00C43684" w:rsidRPr="00967CF4" w:rsidRDefault="00967CF4" w:rsidP="00063E4A">
      <w:pPr>
        <w:pStyle w:val="ListParagraph"/>
        <w:numPr>
          <w:ilvl w:val="0"/>
          <w:numId w:val="7"/>
        </w:numPr>
        <w:rPr>
          <w:b/>
          <w:bCs/>
          <w:sz w:val="22"/>
        </w:rPr>
      </w:pPr>
      <w:r w:rsidRPr="00967CF4">
        <w:rPr>
          <w:b/>
          <w:bCs/>
          <w:sz w:val="22"/>
        </w:rPr>
        <w:t>Achieving Life Outcomes</w:t>
      </w:r>
    </w:p>
    <w:p w14:paraId="43E5BC5D" w14:textId="41228606" w:rsidR="00032A18" w:rsidRPr="00063E4A" w:rsidRDefault="00032A18" w:rsidP="00967CF4">
      <w:pPr>
        <w:pStyle w:val="ListParagraph"/>
        <w:ind w:left="360"/>
        <w:rPr>
          <w:sz w:val="22"/>
        </w:rPr>
      </w:pPr>
      <w:r w:rsidRPr="00967CF4">
        <w:rPr>
          <w:sz w:val="22"/>
        </w:rPr>
        <w:t>Individuals and families plan for the present and future life outcomes that take into account all facets of life and have opportunities for life experiences that build self-determination, social capital, economic sufficiency, and community inclusion.</w:t>
      </w:r>
    </w:p>
    <w:p w14:paraId="784ADA18" w14:textId="7CE18F53" w:rsidR="00BE19C7" w:rsidRDefault="00BE19C7" w:rsidP="00A663EA">
      <w:pPr>
        <w:rPr>
          <w:sz w:val="22"/>
        </w:rPr>
      </w:pPr>
    </w:p>
    <w:p w14:paraId="74446573" w14:textId="77777777" w:rsidR="0032361D" w:rsidRPr="005738C2" w:rsidRDefault="0032361D" w:rsidP="00A663EA">
      <w:pPr>
        <w:rPr>
          <w:sz w:val="22"/>
        </w:rPr>
      </w:pPr>
    </w:p>
    <w:p w14:paraId="42E32D08" w14:textId="6755A288" w:rsidR="00BE19C7" w:rsidRPr="005738C2" w:rsidRDefault="00BE19C7" w:rsidP="00A663EA">
      <w:pPr>
        <w:rPr>
          <w:sz w:val="22"/>
          <w:u w:val="single"/>
        </w:rPr>
      </w:pPr>
      <w:r w:rsidRPr="005738C2">
        <w:rPr>
          <w:sz w:val="22"/>
          <w:u w:val="single"/>
        </w:rPr>
        <w:t>SLIDE #</w:t>
      </w:r>
      <w:r w:rsidR="00A315C5">
        <w:rPr>
          <w:sz w:val="22"/>
          <w:u w:val="single"/>
        </w:rPr>
        <w:t>7</w:t>
      </w:r>
    </w:p>
    <w:p w14:paraId="08A9B9ED" w14:textId="77777777" w:rsidR="00FD4264" w:rsidRPr="005738C2" w:rsidRDefault="00FD4264" w:rsidP="00A663EA">
      <w:pPr>
        <w:rPr>
          <w:sz w:val="22"/>
        </w:rPr>
      </w:pPr>
    </w:p>
    <w:p w14:paraId="748204B9" w14:textId="77777777" w:rsidR="00102F79" w:rsidRPr="00767530" w:rsidRDefault="00102F79" w:rsidP="00102F79">
      <w:pPr>
        <w:pStyle w:val="ListParagraph"/>
        <w:numPr>
          <w:ilvl w:val="0"/>
          <w:numId w:val="7"/>
        </w:numPr>
        <w:rPr>
          <w:b/>
          <w:bCs/>
          <w:sz w:val="22"/>
        </w:rPr>
      </w:pPr>
      <w:r w:rsidRPr="00767530">
        <w:rPr>
          <w:b/>
          <w:bCs/>
          <w:sz w:val="22"/>
        </w:rPr>
        <w:t>Holistic Focus Across Life Domains</w:t>
      </w:r>
    </w:p>
    <w:p w14:paraId="3AFC217F" w14:textId="77777777" w:rsidR="00102F79" w:rsidRPr="00767530" w:rsidRDefault="00102F79" w:rsidP="00102F79">
      <w:pPr>
        <w:pStyle w:val="ListParagraph"/>
        <w:ind w:left="360"/>
        <w:rPr>
          <w:sz w:val="22"/>
        </w:rPr>
      </w:pPr>
      <w:r w:rsidRPr="00767530">
        <w:rPr>
          <w:sz w:val="22"/>
        </w:rPr>
        <w:t>People lead whole lives made up of specific, connected, and integrated life domains that are important to a good quality of life. Life domains are the different aspects and experiences of life that we all consider as we age and grow.</w:t>
      </w:r>
    </w:p>
    <w:p w14:paraId="759DDB60" w14:textId="7AC3B8C1" w:rsidR="00102F79" w:rsidRPr="00767530" w:rsidRDefault="00102F79" w:rsidP="00102F79">
      <w:pPr>
        <w:pStyle w:val="ListParagraph"/>
        <w:ind w:left="360"/>
        <w:rPr>
          <w:sz w:val="22"/>
        </w:rPr>
      </w:pPr>
      <w:r w:rsidRPr="00767530">
        <w:rPr>
          <w:sz w:val="22"/>
        </w:rPr>
        <w:t>These include:</w:t>
      </w:r>
      <w:r w:rsidRPr="00767530">
        <w:rPr>
          <w:sz w:val="22"/>
        </w:rPr>
        <w:br/>
        <w:t>• Daily Life &amp; Employment</w:t>
      </w:r>
      <w:r w:rsidRPr="00767530">
        <w:rPr>
          <w:sz w:val="22"/>
        </w:rPr>
        <w:br/>
        <w:t>• Community Living</w:t>
      </w:r>
      <w:r w:rsidRPr="00767530">
        <w:rPr>
          <w:sz w:val="22"/>
        </w:rPr>
        <w:br/>
        <w:t>• Safety &amp; Security</w:t>
      </w:r>
      <w:r w:rsidRPr="00767530">
        <w:rPr>
          <w:sz w:val="22"/>
        </w:rPr>
        <w:br/>
        <w:t>• Healthy Living</w:t>
      </w:r>
      <w:r w:rsidRPr="00767530">
        <w:rPr>
          <w:sz w:val="22"/>
        </w:rPr>
        <w:br/>
        <w:t>• Social &amp; Spirituality</w:t>
      </w:r>
      <w:r w:rsidRPr="00767530">
        <w:rPr>
          <w:sz w:val="22"/>
        </w:rPr>
        <w:br/>
        <w:t>• Advocacy and Engagement</w:t>
      </w:r>
    </w:p>
    <w:p w14:paraId="76AEF0BA" w14:textId="186F22CC" w:rsidR="00102F79" w:rsidRDefault="00102F79" w:rsidP="00102F79">
      <w:pPr>
        <w:rPr>
          <w:rFonts w:ascii="Open Sans" w:hAnsi="Open Sans" w:cs="Open Sans"/>
          <w:color w:val="000000"/>
          <w:shd w:val="clear" w:color="auto" w:fill="FFFFFF"/>
        </w:rPr>
      </w:pPr>
    </w:p>
    <w:p w14:paraId="7A96B2B0" w14:textId="2F5406BF" w:rsidR="00102F79" w:rsidRPr="00767530" w:rsidRDefault="00B46979" w:rsidP="00102F79">
      <w:pPr>
        <w:pStyle w:val="ListParagraph"/>
        <w:numPr>
          <w:ilvl w:val="0"/>
          <w:numId w:val="7"/>
        </w:numPr>
        <w:rPr>
          <w:b/>
          <w:bCs/>
          <w:sz w:val="22"/>
        </w:rPr>
      </w:pPr>
      <w:r w:rsidRPr="00767530">
        <w:rPr>
          <w:b/>
          <w:bCs/>
          <w:sz w:val="22"/>
        </w:rPr>
        <w:t>Supporting the Three Buckets of Need</w:t>
      </w:r>
    </w:p>
    <w:p w14:paraId="3508872D" w14:textId="77777777" w:rsidR="00B46979" w:rsidRPr="00767530" w:rsidRDefault="00B46979" w:rsidP="00B46979">
      <w:pPr>
        <w:pStyle w:val="ListParagraph"/>
        <w:ind w:left="360"/>
        <w:rPr>
          <w:sz w:val="22"/>
        </w:rPr>
      </w:pPr>
      <w:r w:rsidRPr="00767530">
        <w:rPr>
          <w:sz w:val="22"/>
        </w:rPr>
        <w:t>The three strategies for supporting individuals and their families can be organized into three categories (or buckets):</w:t>
      </w:r>
    </w:p>
    <w:p w14:paraId="2336AA15" w14:textId="77777777" w:rsidR="00B46979" w:rsidRPr="00767530" w:rsidRDefault="00B46979" w:rsidP="00767530">
      <w:pPr>
        <w:pStyle w:val="ListParagraph"/>
        <w:numPr>
          <w:ilvl w:val="0"/>
          <w:numId w:val="10"/>
        </w:numPr>
        <w:rPr>
          <w:sz w:val="22"/>
        </w:rPr>
      </w:pPr>
      <w:r w:rsidRPr="00767530">
        <w:rPr>
          <w:sz w:val="22"/>
        </w:rPr>
        <w:t>Discovery and Navigation: having the information and tools you need to navigate life</w:t>
      </w:r>
    </w:p>
    <w:p w14:paraId="0327AE37" w14:textId="77777777" w:rsidR="00B46979" w:rsidRPr="00767530" w:rsidRDefault="00B46979" w:rsidP="00767530">
      <w:pPr>
        <w:pStyle w:val="ListParagraph"/>
        <w:numPr>
          <w:ilvl w:val="0"/>
          <w:numId w:val="10"/>
        </w:numPr>
        <w:rPr>
          <w:sz w:val="22"/>
        </w:rPr>
      </w:pPr>
      <w:r w:rsidRPr="00767530">
        <w:rPr>
          <w:sz w:val="22"/>
        </w:rPr>
        <w:t>Connecting and Networking: making connections with peers and resources to help you navigate</w:t>
      </w:r>
    </w:p>
    <w:p w14:paraId="24532B81" w14:textId="4B9B89DA" w:rsidR="00B46979" w:rsidRPr="00767530" w:rsidRDefault="00B46979" w:rsidP="00767530">
      <w:pPr>
        <w:pStyle w:val="ListParagraph"/>
        <w:numPr>
          <w:ilvl w:val="0"/>
          <w:numId w:val="10"/>
        </w:numPr>
        <w:rPr>
          <w:sz w:val="22"/>
        </w:rPr>
      </w:pPr>
      <w:r w:rsidRPr="00767530">
        <w:rPr>
          <w:sz w:val="22"/>
        </w:rPr>
        <w:t>Goods and Services: the day-to-day tangible items you buy or use from public and private organizations in your community</w:t>
      </w:r>
    </w:p>
    <w:p w14:paraId="29044B03" w14:textId="0C205523" w:rsidR="00B46979" w:rsidRDefault="00B46979" w:rsidP="00B46979">
      <w:pPr>
        <w:rPr>
          <w:rFonts w:ascii="Open Sans" w:hAnsi="Open Sans" w:cs="Open Sans"/>
          <w:color w:val="000000"/>
          <w:shd w:val="clear" w:color="auto" w:fill="FFFFFF"/>
        </w:rPr>
      </w:pPr>
    </w:p>
    <w:p w14:paraId="4F6ECF25" w14:textId="60E106AD" w:rsidR="00B46979" w:rsidRPr="00767530" w:rsidRDefault="00B46979" w:rsidP="00B46979">
      <w:pPr>
        <w:pStyle w:val="ListParagraph"/>
        <w:numPr>
          <w:ilvl w:val="0"/>
          <w:numId w:val="7"/>
        </w:numPr>
        <w:rPr>
          <w:b/>
          <w:bCs/>
          <w:sz w:val="22"/>
        </w:rPr>
      </w:pPr>
      <w:r w:rsidRPr="00767530">
        <w:rPr>
          <w:b/>
          <w:bCs/>
          <w:sz w:val="22"/>
        </w:rPr>
        <w:t>Integrated Services and Supports Across the LifeCourse</w:t>
      </w:r>
    </w:p>
    <w:p w14:paraId="4593ACC5" w14:textId="2AB857F8" w:rsidR="00B46979" w:rsidRPr="00767530" w:rsidRDefault="009F46F6" w:rsidP="00B46979">
      <w:pPr>
        <w:pStyle w:val="ListParagraph"/>
        <w:ind w:left="360"/>
        <w:rPr>
          <w:sz w:val="22"/>
        </w:rPr>
      </w:pPr>
      <w:r w:rsidRPr="00767530">
        <w:rPr>
          <w:sz w:val="22"/>
        </w:rPr>
        <w:t>Individuals and families access an array of integrated supports to achieve their envisioned good life. These include those that are publicly or privately funded and based upon eligibility; community supports that are available to anyone; relationship-based supports; technology; and the personal strengths and assets of the individual and their family.</w:t>
      </w:r>
    </w:p>
    <w:p w14:paraId="5C25D67A" w14:textId="23388F4A" w:rsidR="009F46F6" w:rsidRDefault="009F46F6" w:rsidP="009F46F6">
      <w:pPr>
        <w:rPr>
          <w:rFonts w:ascii="Open Sans" w:hAnsi="Open Sans" w:cs="Open Sans"/>
          <w:color w:val="000000"/>
          <w:shd w:val="clear" w:color="auto" w:fill="FFFFFF"/>
        </w:rPr>
      </w:pPr>
    </w:p>
    <w:p w14:paraId="4BDDC527" w14:textId="02CEB5A7" w:rsidR="009F46F6" w:rsidRPr="00767530" w:rsidRDefault="009F46F6" w:rsidP="009F46F6">
      <w:pPr>
        <w:pStyle w:val="ListParagraph"/>
        <w:numPr>
          <w:ilvl w:val="0"/>
          <w:numId w:val="7"/>
        </w:numPr>
        <w:rPr>
          <w:b/>
          <w:bCs/>
          <w:sz w:val="22"/>
        </w:rPr>
      </w:pPr>
      <w:r w:rsidRPr="00767530">
        <w:rPr>
          <w:b/>
          <w:bCs/>
          <w:sz w:val="22"/>
        </w:rPr>
        <w:t>Transformational Policy and Systems Change</w:t>
      </w:r>
    </w:p>
    <w:p w14:paraId="4F1B7FA4" w14:textId="32EF355D" w:rsidR="009F46F6" w:rsidRPr="00767530" w:rsidRDefault="006325DA" w:rsidP="009F46F6">
      <w:pPr>
        <w:pStyle w:val="ListParagraph"/>
        <w:ind w:left="360"/>
        <w:rPr>
          <w:sz w:val="22"/>
        </w:rPr>
      </w:pPr>
      <w:r w:rsidRPr="00767530">
        <w:rPr>
          <w:sz w:val="22"/>
        </w:rPr>
        <w:t>Individuals and families are truly involved in policy making so that they influence planning, policy, implementation, research, and revision of the practices that affect them. Every program, organization, system, and policymaker must think about a person within the context of family and community.</w:t>
      </w:r>
    </w:p>
    <w:p w14:paraId="5FE29F0E" w14:textId="048C4FAD" w:rsidR="00A97153" w:rsidRPr="0032361D" w:rsidRDefault="00A97153" w:rsidP="00102F79">
      <w:pPr>
        <w:pStyle w:val="ListParagraph"/>
        <w:ind w:left="360"/>
        <w:rPr>
          <w:sz w:val="22"/>
        </w:rPr>
      </w:pPr>
    </w:p>
    <w:p w14:paraId="5C303149" w14:textId="7712E3B3" w:rsidR="0032361D" w:rsidRDefault="0032361D" w:rsidP="00A663EA">
      <w:pPr>
        <w:rPr>
          <w:sz w:val="22"/>
        </w:rPr>
      </w:pPr>
    </w:p>
    <w:p w14:paraId="606D0B75" w14:textId="68266831" w:rsidR="002D1B49" w:rsidRPr="005738C2" w:rsidRDefault="002D1B49" w:rsidP="002D1B49">
      <w:pPr>
        <w:rPr>
          <w:sz w:val="22"/>
          <w:u w:val="single"/>
        </w:rPr>
      </w:pPr>
      <w:r w:rsidRPr="005738C2">
        <w:rPr>
          <w:sz w:val="22"/>
          <w:u w:val="single"/>
        </w:rPr>
        <w:t>SLIDE #</w:t>
      </w:r>
      <w:r>
        <w:rPr>
          <w:sz w:val="22"/>
          <w:u w:val="single"/>
        </w:rPr>
        <w:t>8</w:t>
      </w:r>
    </w:p>
    <w:p w14:paraId="2AB62FA2" w14:textId="2A4E1905" w:rsidR="00967CF4" w:rsidRDefault="00967CF4" w:rsidP="00A663EA">
      <w:pPr>
        <w:rPr>
          <w:sz w:val="22"/>
        </w:rPr>
      </w:pPr>
    </w:p>
    <w:p w14:paraId="3EBAA6E2" w14:textId="4A03D157" w:rsidR="0007358B" w:rsidRDefault="0007358B" w:rsidP="00A663EA">
      <w:pPr>
        <w:rPr>
          <w:sz w:val="22"/>
        </w:rPr>
      </w:pPr>
      <w:r>
        <w:rPr>
          <w:sz w:val="22"/>
        </w:rPr>
        <w:t xml:space="preserve">The Charting the LifeCourse framework uses </w:t>
      </w:r>
      <w:r w:rsidR="00563736">
        <w:rPr>
          <w:sz w:val="22"/>
        </w:rPr>
        <w:t>a set of tools to help individuals discover and move toward their good life.</w:t>
      </w:r>
    </w:p>
    <w:p w14:paraId="0F82CAFA" w14:textId="77777777" w:rsidR="00563736" w:rsidRDefault="00563736" w:rsidP="00A663EA">
      <w:pPr>
        <w:rPr>
          <w:sz w:val="22"/>
        </w:rPr>
      </w:pPr>
    </w:p>
    <w:p w14:paraId="11228D04" w14:textId="4308ABFB" w:rsidR="00967CF4" w:rsidRDefault="008D70F9" w:rsidP="00A663EA">
      <w:pPr>
        <w:rPr>
          <w:sz w:val="22"/>
        </w:rPr>
      </w:pPr>
      <w:r w:rsidRPr="008D70F9">
        <w:rPr>
          <w:sz w:val="22"/>
        </w:rPr>
        <w:lastRenderedPageBreak/>
        <w:t xml:space="preserve">Life is a journey for everyone. </w:t>
      </w:r>
      <w:r w:rsidR="00460826">
        <w:rPr>
          <w:sz w:val="22"/>
        </w:rPr>
        <w:t>E</w:t>
      </w:r>
      <w:r w:rsidRPr="008D70F9">
        <w:rPr>
          <w:sz w:val="22"/>
        </w:rPr>
        <w:t>ach stage of life pav</w:t>
      </w:r>
      <w:r w:rsidR="00460826">
        <w:rPr>
          <w:sz w:val="22"/>
        </w:rPr>
        <w:t>es</w:t>
      </w:r>
      <w:r w:rsidRPr="008D70F9">
        <w:rPr>
          <w:sz w:val="22"/>
        </w:rPr>
        <w:t xml:space="preserve"> a path that leads towards a vision for the future. This path or Trajectory will have ups and downs where there is a need to stop and consider what to do next. The Trajectory Principle and tool help</w:t>
      </w:r>
      <w:r w:rsidR="00460826">
        <w:rPr>
          <w:sz w:val="22"/>
        </w:rPr>
        <w:t>s</w:t>
      </w:r>
      <w:r w:rsidRPr="008D70F9">
        <w:rPr>
          <w:sz w:val="22"/>
        </w:rPr>
        <w:t xml:space="preserve"> </w:t>
      </w:r>
      <w:r w:rsidR="00460826">
        <w:rPr>
          <w:sz w:val="22"/>
        </w:rPr>
        <w:t xml:space="preserve">to </w:t>
      </w:r>
      <w:r w:rsidRPr="008D70F9">
        <w:rPr>
          <w:sz w:val="22"/>
        </w:rPr>
        <w:t xml:space="preserve">define </w:t>
      </w:r>
      <w:r w:rsidR="00BF43FB">
        <w:rPr>
          <w:sz w:val="22"/>
        </w:rPr>
        <w:t>a person’s</w:t>
      </w:r>
      <w:r w:rsidRPr="008D70F9">
        <w:rPr>
          <w:sz w:val="22"/>
        </w:rPr>
        <w:t xml:space="preserve"> vision and how </w:t>
      </w:r>
      <w:r w:rsidR="00BF43FB">
        <w:rPr>
          <w:sz w:val="22"/>
        </w:rPr>
        <w:t>their</w:t>
      </w:r>
      <w:r w:rsidRPr="008D70F9">
        <w:rPr>
          <w:sz w:val="22"/>
        </w:rPr>
        <w:t xml:space="preserve"> past experiences have helped or hindered </w:t>
      </w:r>
      <w:r w:rsidR="00BF43FB">
        <w:rPr>
          <w:sz w:val="22"/>
        </w:rPr>
        <w:t>them</w:t>
      </w:r>
      <w:r w:rsidRPr="008D70F9">
        <w:rPr>
          <w:sz w:val="22"/>
        </w:rPr>
        <w:t xml:space="preserve"> in meeting </w:t>
      </w:r>
      <w:r w:rsidR="00BF43FB">
        <w:rPr>
          <w:sz w:val="22"/>
        </w:rPr>
        <w:t>their</w:t>
      </w:r>
      <w:r w:rsidRPr="008D70F9">
        <w:rPr>
          <w:sz w:val="22"/>
        </w:rPr>
        <w:t xml:space="preserve"> goals. </w:t>
      </w:r>
      <w:r w:rsidR="00BF43FB">
        <w:rPr>
          <w:sz w:val="22"/>
        </w:rPr>
        <w:t>They</w:t>
      </w:r>
      <w:r w:rsidRPr="008D70F9">
        <w:rPr>
          <w:sz w:val="22"/>
        </w:rPr>
        <w:t xml:space="preserve"> will be able to set goals and list out what may get in </w:t>
      </w:r>
      <w:r w:rsidR="00BF43FB">
        <w:rPr>
          <w:sz w:val="22"/>
        </w:rPr>
        <w:t>their</w:t>
      </w:r>
      <w:r w:rsidRPr="008D70F9">
        <w:rPr>
          <w:sz w:val="22"/>
        </w:rPr>
        <w:t xml:space="preserve"> way. The higher the expectations, the more opportunities and experiences will be possible, and will lead toward achieving goals and dreams</w:t>
      </w:r>
      <w:r>
        <w:rPr>
          <w:sz w:val="22"/>
        </w:rPr>
        <w:t>.</w:t>
      </w:r>
    </w:p>
    <w:p w14:paraId="12D9FDE0" w14:textId="77777777" w:rsidR="00967CF4" w:rsidRPr="005738C2" w:rsidRDefault="00967CF4" w:rsidP="00A663EA">
      <w:pPr>
        <w:rPr>
          <w:sz w:val="22"/>
        </w:rPr>
      </w:pPr>
    </w:p>
    <w:p w14:paraId="5418750C" w14:textId="29EF2CB4" w:rsidR="00B47FD1" w:rsidRPr="005738C2" w:rsidRDefault="008F1BC7" w:rsidP="00B47FD1">
      <w:pPr>
        <w:rPr>
          <w:sz w:val="22"/>
        </w:rPr>
      </w:pPr>
      <w:r w:rsidRPr="003756E3">
        <w:rPr>
          <w:sz w:val="22"/>
        </w:rPr>
        <w:t>The Trajectory is a strengths-based concept designed to help think about life, both short and long term. It can also be used to promote discussion, self-awareness, shared knowledge and facilitate planning with a person and their support team</w:t>
      </w:r>
      <w:r w:rsidR="003756E3">
        <w:rPr>
          <w:sz w:val="22"/>
        </w:rPr>
        <w:t>.</w:t>
      </w:r>
      <w:r w:rsidR="00B47FD1">
        <w:rPr>
          <w:sz w:val="22"/>
        </w:rPr>
        <w:t xml:space="preserve"> It is </w:t>
      </w:r>
      <w:r w:rsidR="00B47FD1" w:rsidRPr="003756E3">
        <w:rPr>
          <w:sz w:val="22"/>
        </w:rPr>
        <w:t>a visual aid to guide and help a person explore and plan things in their life.</w:t>
      </w:r>
    </w:p>
    <w:p w14:paraId="5048F540" w14:textId="494F34E9" w:rsidR="00065553" w:rsidRDefault="00065553" w:rsidP="00A663EA">
      <w:pPr>
        <w:rPr>
          <w:sz w:val="22"/>
        </w:rPr>
      </w:pPr>
    </w:p>
    <w:p w14:paraId="778ACC3F" w14:textId="77777777" w:rsidR="005738C2" w:rsidRPr="005738C2" w:rsidRDefault="005738C2" w:rsidP="00A663EA">
      <w:pPr>
        <w:rPr>
          <w:sz w:val="22"/>
        </w:rPr>
      </w:pPr>
    </w:p>
    <w:p w14:paraId="00FF34F0" w14:textId="46F1E656" w:rsidR="00360F14" w:rsidRPr="005738C2" w:rsidRDefault="00360F14" w:rsidP="00A663EA">
      <w:pPr>
        <w:rPr>
          <w:sz w:val="22"/>
        </w:rPr>
      </w:pPr>
    </w:p>
    <w:p w14:paraId="2A14E016" w14:textId="53D2EF86" w:rsidR="008351A8" w:rsidRPr="005738C2" w:rsidRDefault="008351A8" w:rsidP="008351A8">
      <w:pPr>
        <w:rPr>
          <w:sz w:val="22"/>
          <w:u w:val="single"/>
        </w:rPr>
      </w:pPr>
      <w:r w:rsidRPr="005738C2">
        <w:rPr>
          <w:sz w:val="22"/>
          <w:u w:val="single"/>
        </w:rPr>
        <w:t>SLIDE #</w:t>
      </w:r>
      <w:r w:rsidR="00F62C25">
        <w:rPr>
          <w:sz w:val="22"/>
          <w:u w:val="single"/>
        </w:rPr>
        <w:t>9</w:t>
      </w:r>
    </w:p>
    <w:p w14:paraId="0114F533" w14:textId="5E3BBE98" w:rsidR="00D83E20" w:rsidRDefault="00D83E20">
      <w:pPr>
        <w:rPr>
          <w:sz w:val="22"/>
        </w:rPr>
      </w:pPr>
    </w:p>
    <w:p w14:paraId="350BC208" w14:textId="7D2B25DD" w:rsidR="00F62C25" w:rsidRDefault="00F62C25">
      <w:pPr>
        <w:rPr>
          <w:sz w:val="22"/>
        </w:rPr>
      </w:pPr>
      <w:r w:rsidRPr="00F62C25">
        <w:rPr>
          <w:sz w:val="22"/>
        </w:rPr>
        <w:t>Forming a vision and beginning to plan for the future in each of the life domains helps plot a trajectory for a full, inclusive, quality life in the community. This tool is to help individuals of all ages start to think about a more specific vision for life in the future and narrow down what life domain(s) to focus on</w:t>
      </w:r>
      <w:r w:rsidR="00B57EB0">
        <w:rPr>
          <w:sz w:val="22"/>
        </w:rPr>
        <w:t>.</w:t>
      </w:r>
      <w:r w:rsidRPr="00F62C25">
        <w:rPr>
          <w:sz w:val="22"/>
        </w:rPr>
        <w:t xml:space="preserve"> </w:t>
      </w:r>
    </w:p>
    <w:p w14:paraId="6EE4340C" w14:textId="43AD9E47" w:rsidR="00BE7B70" w:rsidRPr="00BE7B70" w:rsidRDefault="00BE7B70" w:rsidP="00BE7B70">
      <w:pPr>
        <w:rPr>
          <w:sz w:val="22"/>
        </w:rPr>
      </w:pPr>
    </w:p>
    <w:p w14:paraId="769DF59D" w14:textId="24E4707D" w:rsidR="00BE7B70" w:rsidRDefault="00BE7B70" w:rsidP="00BE7B70">
      <w:pPr>
        <w:rPr>
          <w:sz w:val="22"/>
        </w:rPr>
      </w:pPr>
    </w:p>
    <w:p w14:paraId="4F302E2B" w14:textId="0A28103D" w:rsidR="00BE7B70" w:rsidRDefault="00BE7B70" w:rsidP="00BE7B70">
      <w:pPr>
        <w:rPr>
          <w:sz w:val="22"/>
          <w:u w:val="single"/>
        </w:rPr>
      </w:pPr>
      <w:r w:rsidRPr="005738C2">
        <w:rPr>
          <w:sz w:val="22"/>
          <w:u w:val="single"/>
        </w:rPr>
        <w:t>SLIDE #</w:t>
      </w:r>
      <w:r>
        <w:rPr>
          <w:sz w:val="22"/>
          <w:u w:val="single"/>
        </w:rPr>
        <w:t>1</w:t>
      </w:r>
      <w:r w:rsidR="000C6C04">
        <w:rPr>
          <w:sz w:val="22"/>
          <w:u w:val="single"/>
        </w:rPr>
        <w:t>0</w:t>
      </w:r>
    </w:p>
    <w:p w14:paraId="4DFA8D18" w14:textId="2003B6BA" w:rsidR="00BE7B70" w:rsidRDefault="00BE7B70" w:rsidP="00BE7B70">
      <w:pPr>
        <w:rPr>
          <w:sz w:val="22"/>
          <w:u w:val="single"/>
        </w:rPr>
      </w:pPr>
    </w:p>
    <w:p w14:paraId="4985B6D1" w14:textId="2910D8E7" w:rsidR="00BE7B70" w:rsidRPr="001867B8" w:rsidRDefault="001867B8" w:rsidP="00BE7B70">
      <w:pPr>
        <w:rPr>
          <w:sz w:val="22"/>
        </w:rPr>
      </w:pPr>
      <w:r w:rsidRPr="001867B8">
        <w:rPr>
          <w:sz w:val="22"/>
        </w:rPr>
        <w:t xml:space="preserve">The Reciprocal Roles tool will help </w:t>
      </w:r>
      <w:r>
        <w:rPr>
          <w:sz w:val="22"/>
        </w:rPr>
        <w:t>individuals</w:t>
      </w:r>
      <w:r w:rsidRPr="001867B8">
        <w:rPr>
          <w:sz w:val="22"/>
        </w:rPr>
        <w:t xml:space="preserve"> identify the people in </w:t>
      </w:r>
      <w:r>
        <w:rPr>
          <w:sz w:val="22"/>
        </w:rPr>
        <w:t>their</w:t>
      </w:r>
      <w:r w:rsidRPr="001867B8">
        <w:rPr>
          <w:sz w:val="22"/>
        </w:rPr>
        <w:t xml:space="preserve"> life and ways they support </w:t>
      </w:r>
      <w:r>
        <w:rPr>
          <w:sz w:val="22"/>
        </w:rPr>
        <w:t>the individual</w:t>
      </w:r>
      <w:r w:rsidRPr="001867B8">
        <w:rPr>
          <w:sz w:val="22"/>
        </w:rPr>
        <w:t xml:space="preserve">. It also helps </w:t>
      </w:r>
      <w:r>
        <w:rPr>
          <w:sz w:val="22"/>
        </w:rPr>
        <w:t>the individual</w:t>
      </w:r>
      <w:r w:rsidRPr="001867B8">
        <w:rPr>
          <w:sz w:val="22"/>
        </w:rPr>
        <w:t xml:space="preserve"> explore ways that </w:t>
      </w:r>
      <w:r>
        <w:rPr>
          <w:sz w:val="22"/>
        </w:rPr>
        <w:t>they</w:t>
      </w:r>
      <w:r w:rsidRPr="001867B8">
        <w:rPr>
          <w:sz w:val="22"/>
        </w:rPr>
        <w:t xml:space="preserve"> support other people and roles </w:t>
      </w:r>
      <w:r>
        <w:rPr>
          <w:sz w:val="22"/>
        </w:rPr>
        <w:t>each individual</w:t>
      </w:r>
      <w:r w:rsidRPr="001867B8">
        <w:rPr>
          <w:sz w:val="22"/>
        </w:rPr>
        <w:t xml:space="preserve"> play in their lives. It can identify gaps as well as the potential for building even stronger relationships.</w:t>
      </w:r>
    </w:p>
    <w:p w14:paraId="6ABC26FA" w14:textId="5288F24C" w:rsidR="00BE7B70" w:rsidRDefault="00BE7B70" w:rsidP="00BE7B70">
      <w:pPr>
        <w:rPr>
          <w:sz w:val="22"/>
        </w:rPr>
      </w:pPr>
    </w:p>
    <w:p w14:paraId="6AC41EAE" w14:textId="00D9E796" w:rsidR="00B57EB0" w:rsidRDefault="00B57EB0" w:rsidP="00BE7B70">
      <w:pPr>
        <w:rPr>
          <w:sz w:val="22"/>
        </w:rPr>
      </w:pPr>
    </w:p>
    <w:p w14:paraId="42960809" w14:textId="10E37296" w:rsidR="00B57EB0" w:rsidRDefault="00B57EB0" w:rsidP="00BE7B70">
      <w:pPr>
        <w:rPr>
          <w:sz w:val="22"/>
          <w:u w:val="single"/>
        </w:rPr>
      </w:pPr>
      <w:r w:rsidRPr="005738C2">
        <w:rPr>
          <w:sz w:val="22"/>
          <w:u w:val="single"/>
        </w:rPr>
        <w:t>SLIDE #</w:t>
      </w:r>
      <w:r>
        <w:rPr>
          <w:sz w:val="22"/>
          <w:u w:val="single"/>
        </w:rPr>
        <w:t>11</w:t>
      </w:r>
    </w:p>
    <w:p w14:paraId="00AF9413" w14:textId="6AD05D7D" w:rsidR="00756F3C" w:rsidRDefault="00756F3C" w:rsidP="00756F3C">
      <w:pPr>
        <w:rPr>
          <w:sz w:val="22"/>
        </w:rPr>
      </w:pPr>
    </w:p>
    <w:p w14:paraId="569F7447" w14:textId="133361B9" w:rsidR="00756F3C" w:rsidRPr="00971BBA" w:rsidRDefault="006378F1" w:rsidP="00756F3C">
      <w:pPr>
        <w:rPr>
          <w:sz w:val="22"/>
        </w:rPr>
      </w:pPr>
      <w:r w:rsidRPr="00971BBA">
        <w:rPr>
          <w:sz w:val="22"/>
        </w:rPr>
        <w:t>This principle serves as a reminder that everyone accesses a variety of supports to meet their day-to-day needs, support the achievement of long-term or short-term goals, solve problems, or enhance their quality of life.</w:t>
      </w:r>
    </w:p>
    <w:p w14:paraId="3538A44A" w14:textId="5903798E" w:rsidR="006378F1" w:rsidRPr="00971BBA" w:rsidRDefault="006378F1" w:rsidP="006378F1">
      <w:pPr>
        <w:rPr>
          <w:sz w:val="22"/>
        </w:rPr>
      </w:pPr>
    </w:p>
    <w:p w14:paraId="3551EF1F" w14:textId="3AC33CF3" w:rsidR="00971BBA" w:rsidRPr="00971BBA" w:rsidRDefault="00971BBA" w:rsidP="006378F1">
      <w:pPr>
        <w:rPr>
          <w:sz w:val="22"/>
        </w:rPr>
      </w:pPr>
      <w:r w:rsidRPr="00971BBA">
        <w:rPr>
          <w:sz w:val="22"/>
        </w:rPr>
        <w:t>Historically, planning for a person’s and/or family’s supports focused mainly on the government-funded or specialized services available and often left out the many assets and resources that could be leveraged to meet a person’s needs.</w:t>
      </w:r>
    </w:p>
    <w:p w14:paraId="6F05F85D" w14:textId="77777777" w:rsidR="00971BBA" w:rsidRPr="00971BBA" w:rsidRDefault="00971BBA" w:rsidP="006378F1">
      <w:pPr>
        <w:rPr>
          <w:sz w:val="22"/>
        </w:rPr>
      </w:pPr>
    </w:p>
    <w:p w14:paraId="4AA2C458" w14:textId="77777777" w:rsidR="00CD073C" w:rsidRDefault="006378F1" w:rsidP="006378F1">
      <w:pPr>
        <w:rPr>
          <w:sz w:val="22"/>
        </w:rPr>
      </w:pPr>
      <w:r w:rsidRPr="00971BBA">
        <w:rPr>
          <w:sz w:val="22"/>
        </w:rPr>
        <w:t xml:space="preserve">The Integrated Supports Star encourages accessing five main areas of supports: </w:t>
      </w:r>
    </w:p>
    <w:p w14:paraId="69A15043" w14:textId="77777777" w:rsidR="00CD073C" w:rsidRDefault="006378F1" w:rsidP="00CD073C">
      <w:pPr>
        <w:pStyle w:val="ListParagraph"/>
        <w:numPr>
          <w:ilvl w:val="0"/>
          <w:numId w:val="11"/>
        </w:numPr>
        <w:rPr>
          <w:sz w:val="22"/>
        </w:rPr>
      </w:pPr>
      <w:r w:rsidRPr="00CD073C">
        <w:rPr>
          <w:sz w:val="22"/>
        </w:rPr>
        <w:t xml:space="preserve">Public or privately funded based on eligibility </w:t>
      </w:r>
    </w:p>
    <w:p w14:paraId="497CE17E" w14:textId="77777777" w:rsidR="00CD073C" w:rsidRDefault="006378F1" w:rsidP="00CD073C">
      <w:pPr>
        <w:pStyle w:val="ListParagraph"/>
        <w:numPr>
          <w:ilvl w:val="0"/>
          <w:numId w:val="11"/>
        </w:numPr>
        <w:rPr>
          <w:sz w:val="22"/>
        </w:rPr>
      </w:pPr>
      <w:r w:rsidRPr="00CD073C">
        <w:rPr>
          <w:sz w:val="22"/>
        </w:rPr>
        <w:t xml:space="preserve">Community places and services that are available to anyone </w:t>
      </w:r>
    </w:p>
    <w:p w14:paraId="6B5A34AF" w14:textId="77777777" w:rsidR="00CD073C" w:rsidRDefault="006378F1" w:rsidP="00CD073C">
      <w:pPr>
        <w:pStyle w:val="ListParagraph"/>
        <w:numPr>
          <w:ilvl w:val="0"/>
          <w:numId w:val="11"/>
        </w:numPr>
        <w:rPr>
          <w:sz w:val="22"/>
        </w:rPr>
      </w:pPr>
      <w:r w:rsidRPr="00CD073C">
        <w:rPr>
          <w:sz w:val="22"/>
        </w:rPr>
        <w:t xml:space="preserve">Relationships </w:t>
      </w:r>
    </w:p>
    <w:p w14:paraId="425F451E" w14:textId="77777777" w:rsidR="00CD073C" w:rsidRDefault="006378F1" w:rsidP="00CD073C">
      <w:pPr>
        <w:pStyle w:val="ListParagraph"/>
        <w:numPr>
          <w:ilvl w:val="0"/>
          <w:numId w:val="11"/>
        </w:numPr>
        <w:rPr>
          <w:sz w:val="22"/>
        </w:rPr>
      </w:pPr>
      <w:r w:rsidRPr="00CD073C">
        <w:rPr>
          <w:sz w:val="22"/>
        </w:rPr>
        <w:t xml:space="preserve">Day-to-day and adaptive technology </w:t>
      </w:r>
    </w:p>
    <w:p w14:paraId="755B3225" w14:textId="72304F4E" w:rsidR="006378F1" w:rsidRPr="00CD073C" w:rsidRDefault="00CD073C" w:rsidP="00CD073C">
      <w:pPr>
        <w:pStyle w:val="ListParagraph"/>
        <w:numPr>
          <w:ilvl w:val="0"/>
          <w:numId w:val="11"/>
        </w:numPr>
        <w:rPr>
          <w:sz w:val="22"/>
        </w:rPr>
      </w:pPr>
      <w:r>
        <w:rPr>
          <w:sz w:val="22"/>
        </w:rPr>
        <w:t>T</w:t>
      </w:r>
      <w:r w:rsidR="006378F1" w:rsidRPr="00CD073C">
        <w:rPr>
          <w:sz w:val="22"/>
        </w:rPr>
        <w:t>he assets and strengths of the individual and family</w:t>
      </w:r>
      <w:r w:rsidR="00611C3C" w:rsidRPr="00CD073C">
        <w:rPr>
          <w:sz w:val="22"/>
        </w:rPr>
        <w:t>.</w:t>
      </w:r>
    </w:p>
    <w:p w14:paraId="442E053F" w14:textId="348C1C2D" w:rsidR="005D0C83" w:rsidRPr="005D0C83" w:rsidRDefault="005D0C83" w:rsidP="005D0C83">
      <w:pPr>
        <w:rPr>
          <w:sz w:val="22"/>
        </w:rPr>
      </w:pPr>
    </w:p>
    <w:p w14:paraId="7E21BF76" w14:textId="6FBB1F41" w:rsidR="005D0C83" w:rsidRPr="005D0C83" w:rsidRDefault="005D0C83" w:rsidP="005D0C83">
      <w:pPr>
        <w:rPr>
          <w:sz w:val="22"/>
        </w:rPr>
      </w:pPr>
    </w:p>
    <w:p w14:paraId="78AAF785" w14:textId="7FC12064" w:rsidR="005D0C83" w:rsidRDefault="005D0C83" w:rsidP="005D0C83">
      <w:pPr>
        <w:rPr>
          <w:sz w:val="22"/>
        </w:rPr>
      </w:pPr>
    </w:p>
    <w:p w14:paraId="2F049650" w14:textId="5E0749D0" w:rsidR="00512080" w:rsidRDefault="00512080" w:rsidP="005D0C83">
      <w:pPr>
        <w:rPr>
          <w:sz w:val="22"/>
        </w:rPr>
      </w:pPr>
    </w:p>
    <w:p w14:paraId="58A786BB" w14:textId="77777777" w:rsidR="00512080" w:rsidRDefault="00512080" w:rsidP="005D0C83">
      <w:pPr>
        <w:rPr>
          <w:sz w:val="22"/>
        </w:rPr>
      </w:pPr>
    </w:p>
    <w:p w14:paraId="1A89137A" w14:textId="3AADE8E4" w:rsidR="005D0C83" w:rsidRPr="005D0C83" w:rsidRDefault="005D0C83" w:rsidP="005D0C83">
      <w:pPr>
        <w:rPr>
          <w:sz w:val="22"/>
          <w:u w:val="single"/>
        </w:rPr>
      </w:pPr>
      <w:r w:rsidRPr="005D0C83">
        <w:rPr>
          <w:sz w:val="22"/>
          <w:u w:val="single"/>
        </w:rPr>
        <w:t>SLIDE #12</w:t>
      </w:r>
    </w:p>
    <w:p w14:paraId="3CCC5117" w14:textId="054FA62B" w:rsidR="005D0C83" w:rsidRDefault="005D0C83" w:rsidP="005D0C83">
      <w:pPr>
        <w:rPr>
          <w:sz w:val="22"/>
        </w:rPr>
      </w:pPr>
    </w:p>
    <w:p w14:paraId="5BA665AF" w14:textId="55A2D775" w:rsidR="005D0C83" w:rsidRPr="005D0C83" w:rsidRDefault="003A1911" w:rsidP="005D0C83">
      <w:pPr>
        <w:rPr>
          <w:sz w:val="22"/>
        </w:rPr>
      </w:pPr>
      <w:r>
        <w:rPr>
          <w:sz w:val="22"/>
        </w:rPr>
        <w:t>The Lifespan Waiver provider network supports the work of the Community of Practice</w:t>
      </w:r>
      <w:r w:rsidR="002C397A">
        <w:rPr>
          <w:sz w:val="22"/>
        </w:rPr>
        <w:t xml:space="preserve"> by integrating person-centered care into all aspects of service delivery, by supporting the </w:t>
      </w:r>
      <w:r w:rsidR="00F3644E">
        <w:rPr>
          <w:sz w:val="22"/>
        </w:rPr>
        <w:t xml:space="preserve">efforts of the network to enhance policy and service delivery system, and by </w:t>
      </w:r>
      <w:r w:rsidR="00F07ADC">
        <w:rPr>
          <w:sz w:val="22"/>
        </w:rPr>
        <w:t xml:space="preserve">joining with DDDS to </w:t>
      </w:r>
      <w:r w:rsidR="00CB384D">
        <w:rPr>
          <w:sz w:val="22"/>
        </w:rPr>
        <w:t xml:space="preserve">create a robust network that supports the best lives for </w:t>
      </w:r>
      <w:r w:rsidR="006E5FC4">
        <w:rPr>
          <w:sz w:val="22"/>
        </w:rPr>
        <w:t>our participants and their families.</w:t>
      </w:r>
    </w:p>
    <w:sectPr w:rsidR="005D0C83" w:rsidRPr="005D0C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FDE2" w14:textId="77777777" w:rsidR="006902CE" w:rsidRDefault="006902CE" w:rsidP="00D83E20">
      <w:r>
        <w:separator/>
      </w:r>
    </w:p>
  </w:endnote>
  <w:endnote w:type="continuationSeparator" w:id="0">
    <w:p w14:paraId="1BE6AFDF" w14:textId="77777777" w:rsidR="006902CE" w:rsidRDefault="006902CE" w:rsidP="00D8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77068"/>
      <w:docPartObj>
        <w:docPartGallery w:val="Page Numbers (Bottom of Page)"/>
        <w:docPartUnique/>
      </w:docPartObj>
    </w:sdtPr>
    <w:sdtEndPr/>
    <w:sdtContent>
      <w:sdt>
        <w:sdtPr>
          <w:id w:val="1728636285"/>
          <w:docPartObj>
            <w:docPartGallery w:val="Page Numbers (Top of Page)"/>
            <w:docPartUnique/>
          </w:docPartObj>
        </w:sdtPr>
        <w:sdtEndPr/>
        <w:sdtContent>
          <w:p w14:paraId="31D1185F" w14:textId="5A44C4F5" w:rsidR="00D83E20" w:rsidRDefault="00D83E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B706FA" w14:textId="77777777" w:rsidR="00D83E20" w:rsidRDefault="00D8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A2F3" w14:textId="77777777" w:rsidR="006902CE" w:rsidRDefault="006902CE" w:rsidP="00D83E20">
      <w:r>
        <w:separator/>
      </w:r>
    </w:p>
  </w:footnote>
  <w:footnote w:type="continuationSeparator" w:id="0">
    <w:p w14:paraId="322A253A" w14:textId="77777777" w:rsidR="006902CE" w:rsidRDefault="006902CE" w:rsidP="00D8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FA88" w14:textId="1527B017" w:rsidR="00D83E20" w:rsidRPr="005738C2" w:rsidRDefault="00D83E20" w:rsidP="00D83E20">
    <w:pPr>
      <w:pStyle w:val="Header"/>
      <w:jc w:val="center"/>
      <w:rPr>
        <w:b/>
        <w:bCs/>
        <w:sz w:val="22"/>
      </w:rPr>
    </w:pPr>
    <w:r w:rsidRPr="005738C2">
      <w:rPr>
        <w:b/>
        <w:bCs/>
        <w:sz w:val="22"/>
      </w:rPr>
      <w:t>Information Gathering Session</w:t>
    </w:r>
  </w:p>
  <w:p w14:paraId="20B217AA" w14:textId="2C385620" w:rsidR="00D83E20" w:rsidRDefault="005D303D" w:rsidP="005D303D">
    <w:pPr>
      <w:pStyle w:val="Header"/>
      <w:jc w:val="center"/>
    </w:pPr>
    <w:r>
      <w:rPr>
        <w:b/>
        <w:bCs/>
        <w:sz w:val="22"/>
      </w:rPr>
      <w:t>Community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0E30"/>
    <w:multiLevelType w:val="hybridMultilevel"/>
    <w:tmpl w:val="D81C2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824EC"/>
    <w:multiLevelType w:val="hybridMultilevel"/>
    <w:tmpl w:val="37F62002"/>
    <w:lvl w:ilvl="0" w:tplc="63C4BF82">
      <w:start w:val="1"/>
      <w:numFmt w:val="bullet"/>
      <w:lvlText w:val=""/>
      <w:lvlJc w:val="left"/>
      <w:pPr>
        <w:tabs>
          <w:tab w:val="num" w:pos="720"/>
        </w:tabs>
        <w:ind w:left="720" w:hanging="360"/>
      </w:pPr>
      <w:rPr>
        <w:rFonts w:ascii="Wingdings" w:hAnsi="Wingdings" w:hint="default"/>
      </w:rPr>
    </w:lvl>
    <w:lvl w:ilvl="1" w:tplc="86782C2C" w:tentative="1">
      <w:start w:val="1"/>
      <w:numFmt w:val="bullet"/>
      <w:lvlText w:val=""/>
      <w:lvlJc w:val="left"/>
      <w:pPr>
        <w:tabs>
          <w:tab w:val="num" w:pos="1440"/>
        </w:tabs>
        <w:ind w:left="1440" w:hanging="360"/>
      </w:pPr>
      <w:rPr>
        <w:rFonts w:ascii="Wingdings" w:hAnsi="Wingdings" w:hint="default"/>
      </w:rPr>
    </w:lvl>
    <w:lvl w:ilvl="2" w:tplc="E500BC92" w:tentative="1">
      <w:start w:val="1"/>
      <w:numFmt w:val="bullet"/>
      <w:lvlText w:val=""/>
      <w:lvlJc w:val="left"/>
      <w:pPr>
        <w:tabs>
          <w:tab w:val="num" w:pos="2160"/>
        </w:tabs>
        <w:ind w:left="2160" w:hanging="360"/>
      </w:pPr>
      <w:rPr>
        <w:rFonts w:ascii="Wingdings" w:hAnsi="Wingdings" w:hint="default"/>
      </w:rPr>
    </w:lvl>
    <w:lvl w:ilvl="3" w:tplc="E0AA5E90" w:tentative="1">
      <w:start w:val="1"/>
      <w:numFmt w:val="bullet"/>
      <w:lvlText w:val=""/>
      <w:lvlJc w:val="left"/>
      <w:pPr>
        <w:tabs>
          <w:tab w:val="num" w:pos="2880"/>
        </w:tabs>
        <w:ind w:left="2880" w:hanging="360"/>
      </w:pPr>
      <w:rPr>
        <w:rFonts w:ascii="Wingdings" w:hAnsi="Wingdings" w:hint="default"/>
      </w:rPr>
    </w:lvl>
    <w:lvl w:ilvl="4" w:tplc="2BEA1D96" w:tentative="1">
      <w:start w:val="1"/>
      <w:numFmt w:val="bullet"/>
      <w:lvlText w:val=""/>
      <w:lvlJc w:val="left"/>
      <w:pPr>
        <w:tabs>
          <w:tab w:val="num" w:pos="3600"/>
        </w:tabs>
        <w:ind w:left="3600" w:hanging="360"/>
      </w:pPr>
      <w:rPr>
        <w:rFonts w:ascii="Wingdings" w:hAnsi="Wingdings" w:hint="default"/>
      </w:rPr>
    </w:lvl>
    <w:lvl w:ilvl="5" w:tplc="47C0F6EA" w:tentative="1">
      <w:start w:val="1"/>
      <w:numFmt w:val="bullet"/>
      <w:lvlText w:val=""/>
      <w:lvlJc w:val="left"/>
      <w:pPr>
        <w:tabs>
          <w:tab w:val="num" w:pos="4320"/>
        </w:tabs>
        <w:ind w:left="4320" w:hanging="360"/>
      </w:pPr>
      <w:rPr>
        <w:rFonts w:ascii="Wingdings" w:hAnsi="Wingdings" w:hint="default"/>
      </w:rPr>
    </w:lvl>
    <w:lvl w:ilvl="6" w:tplc="2D8484C8" w:tentative="1">
      <w:start w:val="1"/>
      <w:numFmt w:val="bullet"/>
      <w:lvlText w:val=""/>
      <w:lvlJc w:val="left"/>
      <w:pPr>
        <w:tabs>
          <w:tab w:val="num" w:pos="5040"/>
        </w:tabs>
        <w:ind w:left="5040" w:hanging="360"/>
      </w:pPr>
      <w:rPr>
        <w:rFonts w:ascii="Wingdings" w:hAnsi="Wingdings" w:hint="default"/>
      </w:rPr>
    </w:lvl>
    <w:lvl w:ilvl="7" w:tplc="7F4AD23A" w:tentative="1">
      <w:start w:val="1"/>
      <w:numFmt w:val="bullet"/>
      <w:lvlText w:val=""/>
      <w:lvlJc w:val="left"/>
      <w:pPr>
        <w:tabs>
          <w:tab w:val="num" w:pos="5760"/>
        </w:tabs>
        <w:ind w:left="5760" w:hanging="360"/>
      </w:pPr>
      <w:rPr>
        <w:rFonts w:ascii="Wingdings" w:hAnsi="Wingdings" w:hint="default"/>
      </w:rPr>
    </w:lvl>
    <w:lvl w:ilvl="8" w:tplc="97EA54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6487D"/>
    <w:multiLevelType w:val="hybridMultilevel"/>
    <w:tmpl w:val="36EA1758"/>
    <w:lvl w:ilvl="0" w:tplc="772EB8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63E5F"/>
    <w:multiLevelType w:val="multilevel"/>
    <w:tmpl w:val="2940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A0E4B"/>
    <w:multiLevelType w:val="hybridMultilevel"/>
    <w:tmpl w:val="1FC6500A"/>
    <w:lvl w:ilvl="0" w:tplc="E73A1F48">
      <w:start w:val="1"/>
      <w:numFmt w:val="bullet"/>
      <w:lvlText w:val=""/>
      <w:lvlJc w:val="left"/>
      <w:pPr>
        <w:tabs>
          <w:tab w:val="num" w:pos="720"/>
        </w:tabs>
        <w:ind w:left="720" w:hanging="360"/>
      </w:pPr>
      <w:rPr>
        <w:rFonts w:ascii="Wingdings" w:hAnsi="Wingdings" w:hint="default"/>
      </w:rPr>
    </w:lvl>
    <w:lvl w:ilvl="1" w:tplc="892A9086" w:tentative="1">
      <w:start w:val="1"/>
      <w:numFmt w:val="bullet"/>
      <w:lvlText w:val=""/>
      <w:lvlJc w:val="left"/>
      <w:pPr>
        <w:tabs>
          <w:tab w:val="num" w:pos="1440"/>
        </w:tabs>
        <w:ind w:left="1440" w:hanging="360"/>
      </w:pPr>
      <w:rPr>
        <w:rFonts w:ascii="Wingdings" w:hAnsi="Wingdings" w:hint="default"/>
      </w:rPr>
    </w:lvl>
    <w:lvl w:ilvl="2" w:tplc="D36C5FF6" w:tentative="1">
      <w:start w:val="1"/>
      <w:numFmt w:val="bullet"/>
      <w:lvlText w:val=""/>
      <w:lvlJc w:val="left"/>
      <w:pPr>
        <w:tabs>
          <w:tab w:val="num" w:pos="2160"/>
        </w:tabs>
        <w:ind w:left="2160" w:hanging="360"/>
      </w:pPr>
      <w:rPr>
        <w:rFonts w:ascii="Wingdings" w:hAnsi="Wingdings" w:hint="default"/>
      </w:rPr>
    </w:lvl>
    <w:lvl w:ilvl="3" w:tplc="E460C79A" w:tentative="1">
      <w:start w:val="1"/>
      <w:numFmt w:val="bullet"/>
      <w:lvlText w:val=""/>
      <w:lvlJc w:val="left"/>
      <w:pPr>
        <w:tabs>
          <w:tab w:val="num" w:pos="2880"/>
        </w:tabs>
        <w:ind w:left="2880" w:hanging="360"/>
      </w:pPr>
      <w:rPr>
        <w:rFonts w:ascii="Wingdings" w:hAnsi="Wingdings" w:hint="default"/>
      </w:rPr>
    </w:lvl>
    <w:lvl w:ilvl="4" w:tplc="04325D62" w:tentative="1">
      <w:start w:val="1"/>
      <w:numFmt w:val="bullet"/>
      <w:lvlText w:val=""/>
      <w:lvlJc w:val="left"/>
      <w:pPr>
        <w:tabs>
          <w:tab w:val="num" w:pos="3600"/>
        </w:tabs>
        <w:ind w:left="3600" w:hanging="360"/>
      </w:pPr>
      <w:rPr>
        <w:rFonts w:ascii="Wingdings" w:hAnsi="Wingdings" w:hint="default"/>
      </w:rPr>
    </w:lvl>
    <w:lvl w:ilvl="5" w:tplc="E31060FE" w:tentative="1">
      <w:start w:val="1"/>
      <w:numFmt w:val="bullet"/>
      <w:lvlText w:val=""/>
      <w:lvlJc w:val="left"/>
      <w:pPr>
        <w:tabs>
          <w:tab w:val="num" w:pos="4320"/>
        </w:tabs>
        <w:ind w:left="4320" w:hanging="360"/>
      </w:pPr>
      <w:rPr>
        <w:rFonts w:ascii="Wingdings" w:hAnsi="Wingdings" w:hint="default"/>
      </w:rPr>
    </w:lvl>
    <w:lvl w:ilvl="6" w:tplc="78E451E4" w:tentative="1">
      <w:start w:val="1"/>
      <w:numFmt w:val="bullet"/>
      <w:lvlText w:val=""/>
      <w:lvlJc w:val="left"/>
      <w:pPr>
        <w:tabs>
          <w:tab w:val="num" w:pos="5040"/>
        </w:tabs>
        <w:ind w:left="5040" w:hanging="360"/>
      </w:pPr>
      <w:rPr>
        <w:rFonts w:ascii="Wingdings" w:hAnsi="Wingdings" w:hint="default"/>
      </w:rPr>
    </w:lvl>
    <w:lvl w:ilvl="7" w:tplc="26144448" w:tentative="1">
      <w:start w:val="1"/>
      <w:numFmt w:val="bullet"/>
      <w:lvlText w:val=""/>
      <w:lvlJc w:val="left"/>
      <w:pPr>
        <w:tabs>
          <w:tab w:val="num" w:pos="5760"/>
        </w:tabs>
        <w:ind w:left="5760" w:hanging="360"/>
      </w:pPr>
      <w:rPr>
        <w:rFonts w:ascii="Wingdings" w:hAnsi="Wingdings" w:hint="default"/>
      </w:rPr>
    </w:lvl>
    <w:lvl w:ilvl="8" w:tplc="00C606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F021F"/>
    <w:multiLevelType w:val="hybridMultilevel"/>
    <w:tmpl w:val="36281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2417D"/>
    <w:multiLevelType w:val="hybridMultilevel"/>
    <w:tmpl w:val="42FE7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52536D"/>
    <w:multiLevelType w:val="hybridMultilevel"/>
    <w:tmpl w:val="7EC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86CF2"/>
    <w:multiLevelType w:val="hybridMultilevel"/>
    <w:tmpl w:val="2BC2F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DA0A74"/>
    <w:multiLevelType w:val="hybridMultilevel"/>
    <w:tmpl w:val="7CEE5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0009BF"/>
    <w:multiLevelType w:val="hybridMultilevel"/>
    <w:tmpl w:val="ED6CD78E"/>
    <w:lvl w:ilvl="0" w:tplc="772EB828">
      <w:start w:val="1"/>
      <w:numFmt w:val="bullet"/>
      <w:lvlText w:val=""/>
      <w:lvlJc w:val="left"/>
      <w:pPr>
        <w:tabs>
          <w:tab w:val="num" w:pos="720"/>
        </w:tabs>
        <w:ind w:left="720" w:hanging="360"/>
      </w:pPr>
      <w:rPr>
        <w:rFonts w:ascii="Wingdings" w:hAnsi="Wingdings" w:hint="default"/>
      </w:rPr>
    </w:lvl>
    <w:lvl w:ilvl="1" w:tplc="5D2AB1B4" w:tentative="1">
      <w:start w:val="1"/>
      <w:numFmt w:val="bullet"/>
      <w:lvlText w:val=""/>
      <w:lvlJc w:val="left"/>
      <w:pPr>
        <w:tabs>
          <w:tab w:val="num" w:pos="1440"/>
        </w:tabs>
        <w:ind w:left="1440" w:hanging="360"/>
      </w:pPr>
      <w:rPr>
        <w:rFonts w:ascii="Wingdings" w:hAnsi="Wingdings" w:hint="default"/>
      </w:rPr>
    </w:lvl>
    <w:lvl w:ilvl="2" w:tplc="DAB85354" w:tentative="1">
      <w:start w:val="1"/>
      <w:numFmt w:val="bullet"/>
      <w:lvlText w:val=""/>
      <w:lvlJc w:val="left"/>
      <w:pPr>
        <w:tabs>
          <w:tab w:val="num" w:pos="2160"/>
        </w:tabs>
        <w:ind w:left="2160" w:hanging="360"/>
      </w:pPr>
      <w:rPr>
        <w:rFonts w:ascii="Wingdings" w:hAnsi="Wingdings" w:hint="default"/>
      </w:rPr>
    </w:lvl>
    <w:lvl w:ilvl="3" w:tplc="251CE7CE" w:tentative="1">
      <w:start w:val="1"/>
      <w:numFmt w:val="bullet"/>
      <w:lvlText w:val=""/>
      <w:lvlJc w:val="left"/>
      <w:pPr>
        <w:tabs>
          <w:tab w:val="num" w:pos="2880"/>
        </w:tabs>
        <w:ind w:left="2880" w:hanging="360"/>
      </w:pPr>
      <w:rPr>
        <w:rFonts w:ascii="Wingdings" w:hAnsi="Wingdings" w:hint="default"/>
      </w:rPr>
    </w:lvl>
    <w:lvl w:ilvl="4" w:tplc="54C0CAEC" w:tentative="1">
      <w:start w:val="1"/>
      <w:numFmt w:val="bullet"/>
      <w:lvlText w:val=""/>
      <w:lvlJc w:val="left"/>
      <w:pPr>
        <w:tabs>
          <w:tab w:val="num" w:pos="3600"/>
        </w:tabs>
        <w:ind w:left="3600" w:hanging="360"/>
      </w:pPr>
      <w:rPr>
        <w:rFonts w:ascii="Wingdings" w:hAnsi="Wingdings" w:hint="default"/>
      </w:rPr>
    </w:lvl>
    <w:lvl w:ilvl="5" w:tplc="5734C8C0" w:tentative="1">
      <w:start w:val="1"/>
      <w:numFmt w:val="bullet"/>
      <w:lvlText w:val=""/>
      <w:lvlJc w:val="left"/>
      <w:pPr>
        <w:tabs>
          <w:tab w:val="num" w:pos="4320"/>
        </w:tabs>
        <w:ind w:left="4320" w:hanging="360"/>
      </w:pPr>
      <w:rPr>
        <w:rFonts w:ascii="Wingdings" w:hAnsi="Wingdings" w:hint="default"/>
      </w:rPr>
    </w:lvl>
    <w:lvl w:ilvl="6" w:tplc="0F5A7002" w:tentative="1">
      <w:start w:val="1"/>
      <w:numFmt w:val="bullet"/>
      <w:lvlText w:val=""/>
      <w:lvlJc w:val="left"/>
      <w:pPr>
        <w:tabs>
          <w:tab w:val="num" w:pos="5040"/>
        </w:tabs>
        <w:ind w:left="5040" w:hanging="360"/>
      </w:pPr>
      <w:rPr>
        <w:rFonts w:ascii="Wingdings" w:hAnsi="Wingdings" w:hint="default"/>
      </w:rPr>
    </w:lvl>
    <w:lvl w:ilvl="7" w:tplc="75CA2C96" w:tentative="1">
      <w:start w:val="1"/>
      <w:numFmt w:val="bullet"/>
      <w:lvlText w:val=""/>
      <w:lvlJc w:val="left"/>
      <w:pPr>
        <w:tabs>
          <w:tab w:val="num" w:pos="5760"/>
        </w:tabs>
        <w:ind w:left="5760" w:hanging="360"/>
      </w:pPr>
      <w:rPr>
        <w:rFonts w:ascii="Wingdings" w:hAnsi="Wingdings" w:hint="default"/>
      </w:rPr>
    </w:lvl>
    <w:lvl w:ilvl="8" w:tplc="CB44968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2"/>
  </w:num>
  <w:num w:numId="6">
    <w:abstractNumId w:val="3"/>
  </w:num>
  <w:num w:numId="7">
    <w:abstractNumId w:val="8"/>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20"/>
    <w:rsid w:val="0000610C"/>
    <w:rsid w:val="000266D4"/>
    <w:rsid w:val="00032A18"/>
    <w:rsid w:val="000365D0"/>
    <w:rsid w:val="0004140A"/>
    <w:rsid w:val="00042226"/>
    <w:rsid w:val="000545DD"/>
    <w:rsid w:val="00056639"/>
    <w:rsid w:val="00056888"/>
    <w:rsid w:val="00063E4A"/>
    <w:rsid w:val="00064657"/>
    <w:rsid w:val="00065553"/>
    <w:rsid w:val="0007358B"/>
    <w:rsid w:val="000821EF"/>
    <w:rsid w:val="000A5EFC"/>
    <w:rsid w:val="000A6748"/>
    <w:rsid w:val="000C6C04"/>
    <w:rsid w:val="000C766F"/>
    <w:rsid w:val="000D14A3"/>
    <w:rsid w:val="000D14CB"/>
    <w:rsid w:val="000F4830"/>
    <w:rsid w:val="00102F79"/>
    <w:rsid w:val="0010396B"/>
    <w:rsid w:val="00113679"/>
    <w:rsid w:val="001867B8"/>
    <w:rsid w:val="001A5FA8"/>
    <w:rsid w:val="001B5A4E"/>
    <w:rsid w:val="001C795E"/>
    <w:rsid w:val="001F5C8E"/>
    <w:rsid w:val="00201299"/>
    <w:rsid w:val="00230148"/>
    <w:rsid w:val="0023147E"/>
    <w:rsid w:val="00233CF7"/>
    <w:rsid w:val="00264A4C"/>
    <w:rsid w:val="002B18B4"/>
    <w:rsid w:val="002C397A"/>
    <w:rsid w:val="002D0169"/>
    <w:rsid w:val="002D1B49"/>
    <w:rsid w:val="00315CC3"/>
    <w:rsid w:val="0032361D"/>
    <w:rsid w:val="00347646"/>
    <w:rsid w:val="00350CC2"/>
    <w:rsid w:val="003538CE"/>
    <w:rsid w:val="00360F14"/>
    <w:rsid w:val="003756E3"/>
    <w:rsid w:val="003A1911"/>
    <w:rsid w:val="003A4E5E"/>
    <w:rsid w:val="003A5E2A"/>
    <w:rsid w:val="003B5AF0"/>
    <w:rsid w:val="003F3DED"/>
    <w:rsid w:val="004103F6"/>
    <w:rsid w:val="004552D2"/>
    <w:rsid w:val="00460826"/>
    <w:rsid w:val="00461764"/>
    <w:rsid w:val="004672C3"/>
    <w:rsid w:val="004A26A0"/>
    <w:rsid w:val="004A2C44"/>
    <w:rsid w:val="004B1B5C"/>
    <w:rsid w:val="004B53F1"/>
    <w:rsid w:val="004D3A9C"/>
    <w:rsid w:val="00504CAD"/>
    <w:rsid w:val="0050614C"/>
    <w:rsid w:val="00512080"/>
    <w:rsid w:val="005210FD"/>
    <w:rsid w:val="005241EF"/>
    <w:rsid w:val="005254AD"/>
    <w:rsid w:val="00525762"/>
    <w:rsid w:val="005272E9"/>
    <w:rsid w:val="00545105"/>
    <w:rsid w:val="00562A24"/>
    <w:rsid w:val="00563736"/>
    <w:rsid w:val="00564D17"/>
    <w:rsid w:val="0056569A"/>
    <w:rsid w:val="005701D0"/>
    <w:rsid w:val="005738C2"/>
    <w:rsid w:val="005829BE"/>
    <w:rsid w:val="00593382"/>
    <w:rsid w:val="00594EE5"/>
    <w:rsid w:val="005D0C83"/>
    <w:rsid w:val="005D303D"/>
    <w:rsid w:val="00611C3C"/>
    <w:rsid w:val="0061449C"/>
    <w:rsid w:val="006250B2"/>
    <w:rsid w:val="006325DA"/>
    <w:rsid w:val="006378F1"/>
    <w:rsid w:val="00645BFE"/>
    <w:rsid w:val="00650219"/>
    <w:rsid w:val="00654BA8"/>
    <w:rsid w:val="006641FF"/>
    <w:rsid w:val="00687808"/>
    <w:rsid w:val="006902CE"/>
    <w:rsid w:val="006E33CE"/>
    <w:rsid w:val="006E5FC4"/>
    <w:rsid w:val="006F34DB"/>
    <w:rsid w:val="0071437A"/>
    <w:rsid w:val="00756F3C"/>
    <w:rsid w:val="00767530"/>
    <w:rsid w:val="007A74C4"/>
    <w:rsid w:val="007C5ECA"/>
    <w:rsid w:val="007D4EC2"/>
    <w:rsid w:val="00801DE9"/>
    <w:rsid w:val="00833700"/>
    <w:rsid w:val="008351A8"/>
    <w:rsid w:val="00845D81"/>
    <w:rsid w:val="0088231E"/>
    <w:rsid w:val="00897992"/>
    <w:rsid w:val="008A404C"/>
    <w:rsid w:val="008B0C8B"/>
    <w:rsid w:val="008C3141"/>
    <w:rsid w:val="008C36A3"/>
    <w:rsid w:val="008D70F9"/>
    <w:rsid w:val="008E10FA"/>
    <w:rsid w:val="008E742A"/>
    <w:rsid w:val="008E7CF9"/>
    <w:rsid w:val="008F1BC7"/>
    <w:rsid w:val="008F2C55"/>
    <w:rsid w:val="00907483"/>
    <w:rsid w:val="00951608"/>
    <w:rsid w:val="00953FE5"/>
    <w:rsid w:val="00954007"/>
    <w:rsid w:val="00967CF4"/>
    <w:rsid w:val="00971BBA"/>
    <w:rsid w:val="009767B4"/>
    <w:rsid w:val="0098066E"/>
    <w:rsid w:val="00995F34"/>
    <w:rsid w:val="009B79BA"/>
    <w:rsid w:val="009F46F6"/>
    <w:rsid w:val="00A05930"/>
    <w:rsid w:val="00A315C5"/>
    <w:rsid w:val="00A50490"/>
    <w:rsid w:val="00A52E56"/>
    <w:rsid w:val="00A663EA"/>
    <w:rsid w:val="00A94302"/>
    <w:rsid w:val="00A94655"/>
    <w:rsid w:val="00A97153"/>
    <w:rsid w:val="00AE346A"/>
    <w:rsid w:val="00AE7734"/>
    <w:rsid w:val="00B24F9B"/>
    <w:rsid w:val="00B33A4D"/>
    <w:rsid w:val="00B409B8"/>
    <w:rsid w:val="00B4174B"/>
    <w:rsid w:val="00B46979"/>
    <w:rsid w:val="00B47FD1"/>
    <w:rsid w:val="00B57EB0"/>
    <w:rsid w:val="00B745E5"/>
    <w:rsid w:val="00BB3590"/>
    <w:rsid w:val="00BE19C7"/>
    <w:rsid w:val="00BE7B70"/>
    <w:rsid w:val="00BF43FB"/>
    <w:rsid w:val="00C020BF"/>
    <w:rsid w:val="00C272B6"/>
    <w:rsid w:val="00C42A6C"/>
    <w:rsid w:val="00C43684"/>
    <w:rsid w:val="00C436FD"/>
    <w:rsid w:val="00C55BC3"/>
    <w:rsid w:val="00C748E7"/>
    <w:rsid w:val="00C95521"/>
    <w:rsid w:val="00CA737F"/>
    <w:rsid w:val="00CB384D"/>
    <w:rsid w:val="00CC31CA"/>
    <w:rsid w:val="00CD073C"/>
    <w:rsid w:val="00CE7167"/>
    <w:rsid w:val="00CF472E"/>
    <w:rsid w:val="00D03906"/>
    <w:rsid w:val="00D15F12"/>
    <w:rsid w:val="00D15FB6"/>
    <w:rsid w:val="00D31D68"/>
    <w:rsid w:val="00D37FF7"/>
    <w:rsid w:val="00D472E1"/>
    <w:rsid w:val="00D77FD9"/>
    <w:rsid w:val="00D83E20"/>
    <w:rsid w:val="00D9103B"/>
    <w:rsid w:val="00DE7D38"/>
    <w:rsid w:val="00DF5502"/>
    <w:rsid w:val="00E013EC"/>
    <w:rsid w:val="00E24BD5"/>
    <w:rsid w:val="00E26A8A"/>
    <w:rsid w:val="00E30043"/>
    <w:rsid w:val="00E312A4"/>
    <w:rsid w:val="00E34152"/>
    <w:rsid w:val="00E75F32"/>
    <w:rsid w:val="00E86EF3"/>
    <w:rsid w:val="00E97BCC"/>
    <w:rsid w:val="00EF01D2"/>
    <w:rsid w:val="00F07ADC"/>
    <w:rsid w:val="00F3644E"/>
    <w:rsid w:val="00F55D21"/>
    <w:rsid w:val="00F62C25"/>
    <w:rsid w:val="00F647EC"/>
    <w:rsid w:val="00F6735C"/>
    <w:rsid w:val="00FA14CA"/>
    <w:rsid w:val="00FB791B"/>
    <w:rsid w:val="00FC2B6C"/>
    <w:rsid w:val="00FC70E9"/>
    <w:rsid w:val="00FD099F"/>
    <w:rsid w:val="00FD1695"/>
    <w:rsid w:val="00FD30D4"/>
    <w:rsid w:val="00FD4264"/>
    <w:rsid w:val="00FD7CAE"/>
    <w:rsid w:val="00F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5C96"/>
  <w15:chartTrackingRefBased/>
  <w15:docId w15:val="{9A94FD41-8C75-4364-8C40-94F083B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2F7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20"/>
    <w:pPr>
      <w:tabs>
        <w:tab w:val="center" w:pos="4680"/>
        <w:tab w:val="right" w:pos="9360"/>
      </w:tabs>
    </w:pPr>
  </w:style>
  <w:style w:type="character" w:customStyle="1" w:styleId="HeaderChar">
    <w:name w:val="Header Char"/>
    <w:basedOn w:val="DefaultParagraphFont"/>
    <w:link w:val="Header"/>
    <w:uiPriority w:val="99"/>
    <w:rsid w:val="00D83E20"/>
  </w:style>
  <w:style w:type="paragraph" w:styleId="Footer">
    <w:name w:val="footer"/>
    <w:basedOn w:val="Normal"/>
    <w:link w:val="FooterChar"/>
    <w:uiPriority w:val="99"/>
    <w:unhideWhenUsed/>
    <w:rsid w:val="00D83E20"/>
    <w:pPr>
      <w:tabs>
        <w:tab w:val="center" w:pos="4680"/>
        <w:tab w:val="right" w:pos="9360"/>
      </w:tabs>
    </w:pPr>
  </w:style>
  <w:style w:type="character" w:customStyle="1" w:styleId="FooterChar">
    <w:name w:val="Footer Char"/>
    <w:basedOn w:val="DefaultParagraphFont"/>
    <w:link w:val="Footer"/>
    <w:uiPriority w:val="99"/>
    <w:rsid w:val="00D83E20"/>
  </w:style>
  <w:style w:type="table" w:styleId="TableGrid">
    <w:name w:val="Table Grid"/>
    <w:basedOn w:val="TableNormal"/>
    <w:uiPriority w:val="39"/>
    <w:rsid w:val="00D8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382"/>
    <w:pPr>
      <w:ind w:left="720"/>
      <w:contextualSpacing/>
    </w:pPr>
  </w:style>
  <w:style w:type="character" w:styleId="CommentReference">
    <w:name w:val="annotation reference"/>
    <w:basedOn w:val="DefaultParagraphFont"/>
    <w:uiPriority w:val="99"/>
    <w:semiHidden/>
    <w:unhideWhenUsed/>
    <w:rsid w:val="006E33CE"/>
    <w:rPr>
      <w:sz w:val="16"/>
      <w:szCs w:val="16"/>
    </w:rPr>
  </w:style>
  <w:style w:type="paragraph" w:styleId="CommentText">
    <w:name w:val="annotation text"/>
    <w:basedOn w:val="Normal"/>
    <w:link w:val="CommentTextChar"/>
    <w:uiPriority w:val="99"/>
    <w:semiHidden/>
    <w:unhideWhenUsed/>
    <w:rsid w:val="006E33CE"/>
    <w:pPr>
      <w:spacing w:after="160"/>
      <w:ind w:left="1872"/>
    </w:pPr>
    <w:rPr>
      <w:rFonts w:asciiTheme="minorHAnsi" w:hAnsiTheme="minorHAnsi"/>
      <w:szCs w:val="20"/>
    </w:rPr>
  </w:style>
  <w:style w:type="character" w:customStyle="1" w:styleId="CommentTextChar">
    <w:name w:val="Comment Text Char"/>
    <w:basedOn w:val="DefaultParagraphFont"/>
    <w:link w:val="CommentText"/>
    <w:uiPriority w:val="99"/>
    <w:semiHidden/>
    <w:rsid w:val="006E33CE"/>
    <w:rPr>
      <w:rFonts w:asciiTheme="minorHAnsi" w:hAnsiTheme="minorHAnsi"/>
      <w:szCs w:val="20"/>
    </w:rPr>
  </w:style>
  <w:style w:type="character" w:styleId="Hyperlink">
    <w:name w:val="Hyperlink"/>
    <w:basedOn w:val="DefaultParagraphFont"/>
    <w:uiPriority w:val="99"/>
    <w:unhideWhenUsed/>
    <w:rsid w:val="00845D81"/>
    <w:rPr>
      <w:color w:val="0000FF"/>
      <w:u w:val="single"/>
    </w:rPr>
  </w:style>
  <w:style w:type="paragraph" w:customStyle="1" w:styleId="Default">
    <w:name w:val="Default"/>
    <w:rsid w:val="00645BFE"/>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102F79"/>
    <w:rPr>
      <w:rFonts w:ascii="Times New Roman" w:eastAsia="Times New Roman" w:hAnsi="Times New Roman" w:cs="Times New Roman"/>
      <w:b/>
      <w:bCs/>
      <w:sz w:val="27"/>
      <w:szCs w:val="27"/>
    </w:rPr>
  </w:style>
  <w:style w:type="character" w:styleId="Strong">
    <w:name w:val="Strong"/>
    <w:basedOn w:val="DefaultParagraphFont"/>
    <w:uiPriority w:val="22"/>
    <w:qFormat/>
    <w:rsid w:val="00102F79"/>
    <w:rPr>
      <w:b/>
      <w:bCs/>
    </w:rPr>
  </w:style>
  <w:style w:type="paragraph" w:styleId="NormalWeb">
    <w:name w:val="Normal (Web)"/>
    <w:basedOn w:val="Normal"/>
    <w:uiPriority w:val="99"/>
    <w:semiHidden/>
    <w:unhideWhenUsed/>
    <w:rsid w:val="00102F7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286">
      <w:bodyDiv w:val="1"/>
      <w:marLeft w:val="0"/>
      <w:marRight w:val="0"/>
      <w:marTop w:val="0"/>
      <w:marBottom w:val="0"/>
      <w:divBdr>
        <w:top w:val="none" w:sz="0" w:space="0" w:color="auto"/>
        <w:left w:val="none" w:sz="0" w:space="0" w:color="auto"/>
        <w:bottom w:val="none" w:sz="0" w:space="0" w:color="auto"/>
        <w:right w:val="none" w:sz="0" w:space="0" w:color="auto"/>
      </w:divBdr>
      <w:divsChild>
        <w:div w:id="167600908">
          <w:marLeft w:val="547"/>
          <w:marRight w:val="0"/>
          <w:marTop w:val="0"/>
          <w:marBottom w:val="0"/>
          <w:divBdr>
            <w:top w:val="none" w:sz="0" w:space="0" w:color="auto"/>
            <w:left w:val="none" w:sz="0" w:space="0" w:color="auto"/>
            <w:bottom w:val="none" w:sz="0" w:space="0" w:color="auto"/>
            <w:right w:val="none" w:sz="0" w:space="0" w:color="auto"/>
          </w:divBdr>
        </w:div>
        <w:div w:id="1150026706">
          <w:marLeft w:val="547"/>
          <w:marRight w:val="0"/>
          <w:marTop w:val="0"/>
          <w:marBottom w:val="0"/>
          <w:divBdr>
            <w:top w:val="none" w:sz="0" w:space="0" w:color="auto"/>
            <w:left w:val="none" w:sz="0" w:space="0" w:color="auto"/>
            <w:bottom w:val="none" w:sz="0" w:space="0" w:color="auto"/>
            <w:right w:val="none" w:sz="0" w:space="0" w:color="auto"/>
          </w:divBdr>
        </w:div>
        <w:div w:id="446588523">
          <w:marLeft w:val="547"/>
          <w:marRight w:val="0"/>
          <w:marTop w:val="0"/>
          <w:marBottom w:val="0"/>
          <w:divBdr>
            <w:top w:val="none" w:sz="0" w:space="0" w:color="auto"/>
            <w:left w:val="none" w:sz="0" w:space="0" w:color="auto"/>
            <w:bottom w:val="none" w:sz="0" w:space="0" w:color="auto"/>
            <w:right w:val="none" w:sz="0" w:space="0" w:color="auto"/>
          </w:divBdr>
        </w:div>
        <w:div w:id="188495472">
          <w:marLeft w:val="547"/>
          <w:marRight w:val="0"/>
          <w:marTop w:val="0"/>
          <w:marBottom w:val="0"/>
          <w:divBdr>
            <w:top w:val="none" w:sz="0" w:space="0" w:color="auto"/>
            <w:left w:val="none" w:sz="0" w:space="0" w:color="auto"/>
            <w:bottom w:val="none" w:sz="0" w:space="0" w:color="auto"/>
            <w:right w:val="none" w:sz="0" w:space="0" w:color="auto"/>
          </w:divBdr>
        </w:div>
      </w:divsChild>
    </w:div>
    <w:div w:id="227620071">
      <w:bodyDiv w:val="1"/>
      <w:marLeft w:val="0"/>
      <w:marRight w:val="0"/>
      <w:marTop w:val="0"/>
      <w:marBottom w:val="0"/>
      <w:divBdr>
        <w:top w:val="none" w:sz="0" w:space="0" w:color="auto"/>
        <w:left w:val="none" w:sz="0" w:space="0" w:color="auto"/>
        <w:bottom w:val="none" w:sz="0" w:space="0" w:color="auto"/>
        <w:right w:val="none" w:sz="0" w:space="0" w:color="auto"/>
      </w:divBdr>
    </w:div>
    <w:div w:id="394547017">
      <w:bodyDiv w:val="1"/>
      <w:marLeft w:val="0"/>
      <w:marRight w:val="0"/>
      <w:marTop w:val="0"/>
      <w:marBottom w:val="0"/>
      <w:divBdr>
        <w:top w:val="none" w:sz="0" w:space="0" w:color="auto"/>
        <w:left w:val="none" w:sz="0" w:space="0" w:color="auto"/>
        <w:bottom w:val="none" w:sz="0" w:space="0" w:color="auto"/>
        <w:right w:val="none" w:sz="0" w:space="0" w:color="auto"/>
      </w:divBdr>
    </w:div>
    <w:div w:id="432364737">
      <w:bodyDiv w:val="1"/>
      <w:marLeft w:val="0"/>
      <w:marRight w:val="0"/>
      <w:marTop w:val="0"/>
      <w:marBottom w:val="0"/>
      <w:divBdr>
        <w:top w:val="none" w:sz="0" w:space="0" w:color="auto"/>
        <w:left w:val="none" w:sz="0" w:space="0" w:color="auto"/>
        <w:bottom w:val="none" w:sz="0" w:space="0" w:color="auto"/>
        <w:right w:val="none" w:sz="0" w:space="0" w:color="auto"/>
      </w:divBdr>
      <w:divsChild>
        <w:div w:id="1245916935">
          <w:marLeft w:val="547"/>
          <w:marRight w:val="216"/>
          <w:marTop w:val="1"/>
          <w:marBottom w:val="0"/>
          <w:divBdr>
            <w:top w:val="none" w:sz="0" w:space="0" w:color="auto"/>
            <w:left w:val="none" w:sz="0" w:space="0" w:color="auto"/>
            <w:bottom w:val="none" w:sz="0" w:space="0" w:color="auto"/>
            <w:right w:val="none" w:sz="0" w:space="0" w:color="auto"/>
          </w:divBdr>
        </w:div>
        <w:div w:id="1714042999">
          <w:marLeft w:val="547"/>
          <w:marRight w:val="331"/>
          <w:marTop w:val="1"/>
          <w:marBottom w:val="0"/>
          <w:divBdr>
            <w:top w:val="none" w:sz="0" w:space="0" w:color="auto"/>
            <w:left w:val="none" w:sz="0" w:space="0" w:color="auto"/>
            <w:bottom w:val="none" w:sz="0" w:space="0" w:color="auto"/>
            <w:right w:val="none" w:sz="0" w:space="0" w:color="auto"/>
          </w:divBdr>
        </w:div>
        <w:div w:id="94907153">
          <w:marLeft w:val="547"/>
          <w:marRight w:val="0"/>
          <w:marTop w:val="1"/>
          <w:marBottom w:val="0"/>
          <w:divBdr>
            <w:top w:val="none" w:sz="0" w:space="0" w:color="auto"/>
            <w:left w:val="none" w:sz="0" w:space="0" w:color="auto"/>
            <w:bottom w:val="none" w:sz="0" w:space="0" w:color="auto"/>
            <w:right w:val="none" w:sz="0" w:space="0" w:color="auto"/>
          </w:divBdr>
        </w:div>
        <w:div w:id="1910067406">
          <w:marLeft w:val="547"/>
          <w:marRight w:val="0"/>
          <w:marTop w:val="0"/>
          <w:marBottom w:val="0"/>
          <w:divBdr>
            <w:top w:val="none" w:sz="0" w:space="0" w:color="auto"/>
            <w:left w:val="none" w:sz="0" w:space="0" w:color="auto"/>
            <w:bottom w:val="none" w:sz="0" w:space="0" w:color="auto"/>
            <w:right w:val="none" w:sz="0" w:space="0" w:color="auto"/>
          </w:divBdr>
        </w:div>
      </w:divsChild>
    </w:div>
    <w:div w:id="8018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E96A-26F1-40D3-963E-5177558A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Giglio, Kamin (DHSS)</cp:lastModifiedBy>
  <cp:revision>74</cp:revision>
  <dcterms:created xsi:type="dcterms:W3CDTF">2022-11-21T16:14:00Z</dcterms:created>
  <dcterms:modified xsi:type="dcterms:W3CDTF">2022-12-02T19:44:00Z</dcterms:modified>
</cp:coreProperties>
</file>