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BEBA" w14:textId="6C5978A8" w:rsidR="00A663EA" w:rsidRPr="005738C2" w:rsidRDefault="00A663EA" w:rsidP="00A663EA">
      <w:pPr>
        <w:rPr>
          <w:sz w:val="22"/>
        </w:rPr>
      </w:pPr>
    </w:p>
    <w:p w14:paraId="390A2CE0" w14:textId="01E3805D" w:rsidR="00CC31CA" w:rsidRPr="005738C2" w:rsidRDefault="00CC31CA" w:rsidP="004D3A9C">
      <w:pPr>
        <w:rPr>
          <w:sz w:val="22"/>
          <w:u w:val="single"/>
        </w:rPr>
      </w:pPr>
      <w:r w:rsidRPr="005738C2">
        <w:rPr>
          <w:sz w:val="22"/>
          <w:u w:val="single"/>
        </w:rPr>
        <w:t>SLIDE #1</w:t>
      </w:r>
    </w:p>
    <w:p w14:paraId="0F54FB89" w14:textId="5F0921B0" w:rsidR="004103F6" w:rsidRDefault="004103F6" w:rsidP="004D3A9C">
      <w:pPr>
        <w:rPr>
          <w:sz w:val="22"/>
        </w:rPr>
      </w:pPr>
    </w:p>
    <w:p w14:paraId="24D5361F" w14:textId="77777777" w:rsidR="00365D58" w:rsidRDefault="00A73691" w:rsidP="008241C8">
      <w:pPr>
        <w:rPr>
          <w:sz w:val="22"/>
        </w:rPr>
      </w:pPr>
      <w:r>
        <w:rPr>
          <w:sz w:val="22"/>
        </w:rPr>
        <w:t xml:space="preserve">The state has an obligation to ensure </w:t>
      </w:r>
      <w:r w:rsidR="0012274D">
        <w:rPr>
          <w:sz w:val="22"/>
        </w:rPr>
        <w:t xml:space="preserve">that </w:t>
      </w:r>
      <w:r w:rsidR="002D1894">
        <w:rPr>
          <w:sz w:val="22"/>
        </w:rPr>
        <w:t>enough</w:t>
      </w:r>
      <w:r w:rsidR="0012274D">
        <w:rPr>
          <w:sz w:val="22"/>
        </w:rPr>
        <w:t xml:space="preserve"> highly</w:t>
      </w:r>
      <w:r w:rsidR="002D1894">
        <w:rPr>
          <w:sz w:val="22"/>
        </w:rPr>
        <w:t xml:space="preserve"> </w:t>
      </w:r>
      <w:r w:rsidR="0012274D">
        <w:rPr>
          <w:sz w:val="22"/>
        </w:rPr>
        <w:t xml:space="preserve">qualified providers exist within the Medicaid network to serve Delaware families.  </w:t>
      </w:r>
      <w:r w:rsidR="00B87C61">
        <w:rPr>
          <w:sz w:val="22"/>
        </w:rPr>
        <w:t xml:space="preserve">The waiver’s design must </w:t>
      </w:r>
      <w:r w:rsidR="00B00796">
        <w:rPr>
          <w:sz w:val="22"/>
        </w:rPr>
        <w:t>specify the qualifications of waiver providers to ensure the health and welfare of waiver participants</w:t>
      </w:r>
      <w:r w:rsidR="00557512">
        <w:rPr>
          <w:sz w:val="22"/>
        </w:rPr>
        <w:t xml:space="preserve"> and must verify that providers continuously meet these qualifications.</w:t>
      </w:r>
      <w:r w:rsidR="00FC3163">
        <w:rPr>
          <w:sz w:val="22"/>
        </w:rPr>
        <w:t xml:space="preserve"> </w:t>
      </w:r>
    </w:p>
    <w:p w14:paraId="225B3BDE" w14:textId="77777777" w:rsidR="00365D58" w:rsidRDefault="00365D58" w:rsidP="008241C8">
      <w:pPr>
        <w:rPr>
          <w:sz w:val="22"/>
        </w:rPr>
      </w:pPr>
    </w:p>
    <w:p w14:paraId="2A515F6E" w14:textId="0EF58425" w:rsidR="00365D58" w:rsidRDefault="00365D58" w:rsidP="008241C8">
      <w:pPr>
        <w:rPr>
          <w:sz w:val="22"/>
        </w:rPr>
      </w:pPr>
    </w:p>
    <w:p w14:paraId="2212407F" w14:textId="77777777" w:rsidR="00365D58" w:rsidRDefault="00365D58" w:rsidP="00365D58">
      <w:pPr>
        <w:rPr>
          <w:sz w:val="22"/>
          <w:u w:val="single"/>
        </w:rPr>
      </w:pPr>
      <w:r w:rsidRPr="00163E42">
        <w:rPr>
          <w:sz w:val="22"/>
          <w:u w:val="single"/>
        </w:rPr>
        <w:t>SLIDE #</w:t>
      </w:r>
      <w:r>
        <w:rPr>
          <w:sz w:val="22"/>
          <w:u w:val="single"/>
        </w:rPr>
        <w:t>2</w:t>
      </w:r>
    </w:p>
    <w:p w14:paraId="7BDB2B1F" w14:textId="314101E8" w:rsidR="00365D58" w:rsidRDefault="00365D58" w:rsidP="008241C8">
      <w:pPr>
        <w:rPr>
          <w:sz w:val="22"/>
        </w:rPr>
      </w:pPr>
    </w:p>
    <w:p w14:paraId="78A64E32" w14:textId="21147ECE" w:rsidR="006E3819" w:rsidRDefault="00FC3163" w:rsidP="008241C8">
      <w:pPr>
        <w:rPr>
          <w:sz w:val="22"/>
        </w:rPr>
      </w:pPr>
      <w:r>
        <w:rPr>
          <w:sz w:val="22"/>
        </w:rPr>
        <w:t xml:space="preserve">CMS gives states the latitude </w:t>
      </w:r>
      <w:r w:rsidR="00115DF3">
        <w:rPr>
          <w:sz w:val="22"/>
        </w:rPr>
        <w:t>in establishing qualifications to ensure that providers possess the requisite skills and competencies to meet the needs of the waiver target population.</w:t>
      </w:r>
    </w:p>
    <w:p w14:paraId="316400B8" w14:textId="77777777" w:rsidR="006E3819" w:rsidRDefault="006E3819" w:rsidP="008241C8">
      <w:pPr>
        <w:rPr>
          <w:sz w:val="22"/>
        </w:rPr>
      </w:pPr>
    </w:p>
    <w:p w14:paraId="19A7F7EC" w14:textId="4029537C" w:rsidR="00D940D6" w:rsidRDefault="006E3819" w:rsidP="008241C8">
      <w:pPr>
        <w:rPr>
          <w:sz w:val="22"/>
        </w:rPr>
      </w:pPr>
      <w:r>
        <w:rPr>
          <w:sz w:val="22"/>
        </w:rPr>
        <w:t>Medicaid beneficiaries</w:t>
      </w:r>
      <w:r w:rsidR="00467F69">
        <w:rPr>
          <w:sz w:val="22"/>
        </w:rPr>
        <w:t xml:space="preserve"> must be allowed to obtain services from any willing and qualified provider of a service.  A willing provider is a provider who agrees to accept a state’s </w:t>
      </w:r>
      <w:r w:rsidR="000F435E">
        <w:rPr>
          <w:sz w:val="22"/>
        </w:rPr>
        <w:t>payment as payment in full for rendering a service and to abide by all other Medicaid provider requirements, including executing a provider agreement.  A qualified waiver provider means an individual or entity that meets the qualifications specified</w:t>
      </w:r>
      <w:r w:rsidR="00242CC0">
        <w:rPr>
          <w:sz w:val="22"/>
        </w:rPr>
        <w:t xml:space="preserve"> by the state in Appendix C that the provider renders.  </w:t>
      </w:r>
    </w:p>
    <w:p w14:paraId="0C749A03" w14:textId="70451005" w:rsidR="00AB0927" w:rsidRDefault="00AB0927" w:rsidP="008241C8">
      <w:pPr>
        <w:rPr>
          <w:sz w:val="22"/>
        </w:rPr>
      </w:pPr>
    </w:p>
    <w:p w14:paraId="24849318" w14:textId="14707AF8" w:rsidR="00AB0927" w:rsidRDefault="00AB0927" w:rsidP="008241C8">
      <w:pPr>
        <w:rPr>
          <w:sz w:val="22"/>
        </w:rPr>
      </w:pPr>
      <w:r>
        <w:rPr>
          <w:sz w:val="22"/>
        </w:rPr>
        <w:t xml:space="preserve">Providers must </w:t>
      </w:r>
      <w:r w:rsidR="00A77395">
        <w:rPr>
          <w:sz w:val="22"/>
        </w:rPr>
        <w:t>execute a contract with DDDS and enroll as a Medicaid provider with DMMA.</w:t>
      </w:r>
    </w:p>
    <w:p w14:paraId="40B5CDE1" w14:textId="674C07AE" w:rsidR="00D940D6" w:rsidRDefault="00D940D6" w:rsidP="004D3A9C">
      <w:pPr>
        <w:rPr>
          <w:sz w:val="22"/>
        </w:rPr>
      </w:pPr>
    </w:p>
    <w:p w14:paraId="6ACF7E6B" w14:textId="77777777" w:rsidR="00EE27C8" w:rsidRDefault="00EE27C8" w:rsidP="004D3A9C">
      <w:pPr>
        <w:rPr>
          <w:sz w:val="22"/>
        </w:rPr>
      </w:pPr>
    </w:p>
    <w:p w14:paraId="068F01D4" w14:textId="77777777" w:rsidR="00365D58" w:rsidRPr="00785AE2" w:rsidRDefault="00365D58" w:rsidP="00365D58">
      <w:pPr>
        <w:rPr>
          <w:sz w:val="22"/>
          <w:u w:val="single"/>
        </w:rPr>
      </w:pPr>
      <w:r w:rsidRPr="00785AE2">
        <w:rPr>
          <w:sz w:val="22"/>
          <w:u w:val="single"/>
        </w:rPr>
        <w:t>SLIDE #3</w:t>
      </w:r>
    </w:p>
    <w:p w14:paraId="2B380AC0" w14:textId="20012D23" w:rsidR="00163E42" w:rsidRDefault="00163E42" w:rsidP="004D3A9C">
      <w:pPr>
        <w:rPr>
          <w:sz w:val="22"/>
          <w:u w:val="single"/>
        </w:rPr>
      </w:pPr>
    </w:p>
    <w:p w14:paraId="342E4869" w14:textId="409B2762" w:rsidR="00383E43" w:rsidRDefault="00013941" w:rsidP="004D3A9C">
      <w:pPr>
        <w:rPr>
          <w:sz w:val="22"/>
        </w:rPr>
      </w:pPr>
      <w:r>
        <w:rPr>
          <w:sz w:val="22"/>
        </w:rPr>
        <w:t xml:space="preserve">Agencies </w:t>
      </w:r>
      <w:r w:rsidR="007353BD">
        <w:rPr>
          <w:sz w:val="22"/>
        </w:rPr>
        <w:t xml:space="preserve">wishing to provide services under the Lifespan Waiver and/or the Pathways to Employment State Plan Amendment must </w:t>
      </w:r>
      <w:r w:rsidR="003B5D53">
        <w:rPr>
          <w:sz w:val="22"/>
        </w:rPr>
        <w:t>apply</w:t>
      </w:r>
      <w:r w:rsidR="00DF60B3">
        <w:rPr>
          <w:sz w:val="22"/>
        </w:rPr>
        <w:t xml:space="preserve"> to DDDS.  </w:t>
      </w:r>
      <w:r w:rsidR="003F78A8">
        <w:rPr>
          <w:sz w:val="22"/>
        </w:rPr>
        <w:t>DDDS has 2 types of applications: the application to provide DDDS HCBS Services and an application to provide Non-recurring HCBS Services. Each application packet</w:t>
      </w:r>
      <w:r w:rsidR="00DF60B3">
        <w:rPr>
          <w:sz w:val="22"/>
        </w:rPr>
        <w:t xml:space="preserve"> co</w:t>
      </w:r>
      <w:r w:rsidR="00514297">
        <w:rPr>
          <w:sz w:val="22"/>
        </w:rPr>
        <w:t>nsists of 3 documents:</w:t>
      </w:r>
    </w:p>
    <w:p w14:paraId="713AADA7" w14:textId="7324D96C" w:rsidR="00514297" w:rsidRDefault="00514297" w:rsidP="004D3A9C">
      <w:pPr>
        <w:rPr>
          <w:sz w:val="22"/>
        </w:rPr>
      </w:pPr>
    </w:p>
    <w:p w14:paraId="67B60AE1" w14:textId="7EC22CBE" w:rsidR="00514297" w:rsidRDefault="00514297" w:rsidP="00514297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Application to provide DDDS HCBS Services</w:t>
      </w:r>
    </w:p>
    <w:p w14:paraId="7A3B6723" w14:textId="6E9C6E5F" w:rsidR="00514297" w:rsidRDefault="00514297" w:rsidP="00514297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Table of Contents</w:t>
      </w:r>
    </w:p>
    <w:p w14:paraId="02431845" w14:textId="1ADEC70B" w:rsidR="00514297" w:rsidRDefault="00514297" w:rsidP="00514297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Application narrative</w:t>
      </w:r>
    </w:p>
    <w:p w14:paraId="6F86A897" w14:textId="4C8E87ED" w:rsidR="00514297" w:rsidRDefault="00514297" w:rsidP="00514297">
      <w:pPr>
        <w:rPr>
          <w:sz w:val="22"/>
        </w:rPr>
      </w:pPr>
    </w:p>
    <w:p w14:paraId="13016C03" w14:textId="486DABA5" w:rsidR="00514297" w:rsidRDefault="00514297" w:rsidP="00514297">
      <w:pPr>
        <w:rPr>
          <w:sz w:val="22"/>
        </w:rPr>
      </w:pPr>
      <w:r>
        <w:rPr>
          <w:sz w:val="22"/>
        </w:rPr>
        <w:t>The Provide</w:t>
      </w:r>
      <w:r w:rsidR="003F78A8">
        <w:rPr>
          <w:sz w:val="22"/>
        </w:rPr>
        <w:t>r</w:t>
      </w:r>
      <w:r>
        <w:rPr>
          <w:sz w:val="22"/>
        </w:rPr>
        <w:t xml:space="preserve"> Qualification Instructions describes in detail the </w:t>
      </w:r>
      <w:r w:rsidR="0098227C">
        <w:rPr>
          <w:sz w:val="22"/>
        </w:rPr>
        <w:t>requirements for each document.</w:t>
      </w:r>
      <w:r w:rsidR="00344960">
        <w:rPr>
          <w:sz w:val="22"/>
        </w:rPr>
        <w:t xml:space="preserve">  DDDS only reviews complete application packets. </w:t>
      </w:r>
      <w:r w:rsidR="00EB6A84">
        <w:rPr>
          <w:sz w:val="22"/>
        </w:rPr>
        <w:t xml:space="preserve">We will return incomplete applications. </w:t>
      </w:r>
    </w:p>
    <w:p w14:paraId="2B7E7A14" w14:textId="07E8EC81" w:rsidR="00AC527D" w:rsidRDefault="00AC527D" w:rsidP="00514297">
      <w:pPr>
        <w:rPr>
          <w:sz w:val="22"/>
        </w:rPr>
      </w:pPr>
    </w:p>
    <w:p w14:paraId="0DC5B8BB" w14:textId="04EE7A06" w:rsidR="00365D58" w:rsidRDefault="00365D58" w:rsidP="00514297">
      <w:pPr>
        <w:rPr>
          <w:sz w:val="22"/>
        </w:rPr>
      </w:pPr>
    </w:p>
    <w:p w14:paraId="4BCBF446" w14:textId="6A66EED4" w:rsidR="00365D58" w:rsidRDefault="00365D58" w:rsidP="00514297">
      <w:pPr>
        <w:rPr>
          <w:sz w:val="22"/>
        </w:rPr>
      </w:pPr>
    </w:p>
    <w:p w14:paraId="09BFE810" w14:textId="77777777" w:rsidR="00365D58" w:rsidRPr="00D940D6" w:rsidRDefault="00365D58" w:rsidP="00365D58">
      <w:pPr>
        <w:rPr>
          <w:sz w:val="22"/>
          <w:u w:val="single"/>
        </w:rPr>
      </w:pPr>
      <w:r w:rsidRPr="00D940D6">
        <w:rPr>
          <w:sz w:val="22"/>
          <w:u w:val="single"/>
        </w:rPr>
        <w:t>SLIDE #4</w:t>
      </w:r>
    </w:p>
    <w:p w14:paraId="38D502A6" w14:textId="7079DC16" w:rsidR="00D940D6" w:rsidRDefault="00D940D6" w:rsidP="004D3A9C">
      <w:pPr>
        <w:rPr>
          <w:sz w:val="22"/>
        </w:rPr>
      </w:pPr>
    </w:p>
    <w:p w14:paraId="0DFD3B7F" w14:textId="3CB7A5A3" w:rsidR="00344960" w:rsidRDefault="00AC527D" w:rsidP="004D3A9C">
      <w:pPr>
        <w:rPr>
          <w:sz w:val="22"/>
        </w:rPr>
      </w:pPr>
      <w:r>
        <w:rPr>
          <w:sz w:val="22"/>
        </w:rPr>
        <w:t xml:space="preserve">Once you have submitted your application, the DDDS Provider Authorization Committee will review it.  </w:t>
      </w:r>
      <w:r w:rsidR="0062172F">
        <w:rPr>
          <w:sz w:val="22"/>
        </w:rPr>
        <w:t xml:space="preserve">The Office of Business </w:t>
      </w:r>
      <w:r w:rsidR="00CC0645">
        <w:rPr>
          <w:sz w:val="22"/>
        </w:rPr>
        <w:t xml:space="preserve">Support </w:t>
      </w:r>
      <w:r w:rsidR="0062172F">
        <w:rPr>
          <w:sz w:val="22"/>
        </w:rPr>
        <w:t xml:space="preserve">Services (OBSS) </w:t>
      </w:r>
      <w:r w:rsidR="00C500E4">
        <w:rPr>
          <w:sz w:val="22"/>
        </w:rPr>
        <w:t xml:space="preserve">reviews </w:t>
      </w:r>
      <w:r w:rsidR="006C3F29">
        <w:rPr>
          <w:sz w:val="22"/>
        </w:rPr>
        <w:t xml:space="preserve">and scores </w:t>
      </w:r>
      <w:r w:rsidR="008B0445">
        <w:rPr>
          <w:sz w:val="22"/>
        </w:rPr>
        <w:t>Section C (</w:t>
      </w:r>
      <w:r w:rsidR="00A636A3">
        <w:rPr>
          <w:sz w:val="22"/>
        </w:rPr>
        <w:t xml:space="preserve">Business Practices) </w:t>
      </w:r>
      <w:r w:rsidR="006C3F29">
        <w:rPr>
          <w:sz w:val="22"/>
        </w:rPr>
        <w:t xml:space="preserve">of </w:t>
      </w:r>
      <w:r w:rsidR="00C500E4">
        <w:rPr>
          <w:sz w:val="22"/>
        </w:rPr>
        <w:t>each application</w:t>
      </w:r>
      <w:r w:rsidR="00B2724C">
        <w:rPr>
          <w:sz w:val="22"/>
        </w:rPr>
        <w:t xml:space="preserve">.  </w:t>
      </w:r>
      <w:r w:rsidR="00C626CF">
        <w:rPr>
          <w:sz w:val="22"/>
        </w:rPr>
        <w:t xml:space="preserve">If this section meets the requirements, the </w:t>
      </w:r>
      <w:r w:rsidR="0076247A">
        <w:rPr>
          <w:sz w:val="22"/>
        </w:rPr>
        <w:t>rest of the</w:t>
      </w:r>
      <w:r w:rsidR="00C626CF">
        <w:rPr>
          <w:sz w:val="22"/>
        </w:rPr>
        <w:t xml:space="preserve"> committee will review and score the </w:t>
      </w:r>
      <w:r w:rsidR="0076247A">
        <w:rPr>
          <w:sz w:val="22"/>
        </w:rPr>
        <w:t xml:space="preserve">full </w:t>
      </w:r>
      <w:r w:rsidR="00C626CF">
        <w:rPr>
          <w:sz w:val="22"/>
        </w:rPr>
        <w:t xml:space="preserve">application.  </w:t>
      </w:r>
    </w:p>
    <w:p w14:paraId="2E74BCB5" w14:textId="4F784A63" w:rsidR="005D5B9A" w:rsidRDefault="005D5B9A" w:rsidP="004D3A9C">
      <w:pPr>
        <w:rPr>
          <w:sz w:val="22"/>
        </w:rPr>
      </w:pPr>
    </w:p>
    <w:p w14:paraId="7E1CBD18" w14:textId="77777777" w:rsidR="00901106" w:rsidRDefault="00901106" w:rsidP="00901106">
      <w:pPr>
        <w:rPr>
          <w:sz w:val="22"/>
        </w:rPr>
      </w:pPr>
      <w:r>
        <w:rPr>
          <w:sz w:val="22"/>
        </w:rPr>
        <w:t>Members of the Provider Authorization Committee score applications by assigning a maximum of 100 points across five (5) criteria:  100/100</w:t>
      </w:r>
    </w:p>
    <w:p w14:paraId="2F8F42F9" w14:textId="6C5A21DF" w:rsidR="00901106" w:rsidRDefault="00901106" w:rsidP="00901106">
      <w:pPr>
        <w:rPr>
          <w:sz w:val="22"/>
        </w:rPr>
      </w:pPr>
    </w:p>
    <w:p w14:paraId="58D26909" w14:textId="77777777" w:rsidR="0076247A" w:rsidRDefault="0076247A" w:rsidP="00901106">
      <w:pPr>
        <w:rPr>
          <w:sz w:val="22"/>
        </w:rPr>
      </w:pPr>
    </w:p>
    <w:p w14:paraId="26090AAC" w14:textId="77777777" w:rsidR="00901106" w:rsidRDefault="00901106" w:rsidP="00901106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lastRenderedPageBreak/>
        <w:t xml:space="preserve">Programs and Services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30/30</w:t>
      </w:r>
    </w:p>
    <w:p w14:paraId="43EB3583" w14:textId="77777777" w:rsidR="00901106" w:rsidRPr="00534E87" w:rsidRDefault="00901106" w:rsidP="00901106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Service Integrity | Health and Safety</w:t>
      </w:r>
      <w:r>
        <w:rPr>
          <w:sz w:val="22"/>
        </w:rPr>
        <w:tab/>
      </w:r>
      <w:r w:rsidRPr="00534E87">
        <w:rPr>
          <w:sz w:val="22"/>
        </w:rPr>
        <w:t xml:space="preserve">15/15 </w:t>
      </w:r>
    </w:p>
    <w:p w14:paraId="3170B1F1" w14:textId="77777777" w:rsidR="00901106" w:rsidRPr="009C353F" w:rsidRDefault="00901106" w:rsidP="00901106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Business Practices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C353F">
        <w:rPr>
          <w:sz w:val="22"/>
        </w:rPr>
        <w:t xml:space="preserve">15/15 </w:t>
      </w:r>
    </w:p>
    <w:p w14:paraId="4B672BBD" w14:textId="77777777" w:rsidR="00901106" w:rsidRDefault="00901106" w:rsidP="00901106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Service Description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30/30</w:t>
      </w:r>
    </w:p>
    <w:p w14:paraId="5005CC8C" w14:textId="77777777" w:rsidR="00901106" w:rsidRDefault="00901106" w:rsidP="00901106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Budget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10/10</w:t>
      </w:r>
    </w:p>
    <w:p w14:paraId="6460C712" w14:textId="7E10CC2E" w:rsidR="007174E3" w:rsidRDefault="007174E3" w:rsidP="00091774">
      <w:pPr>
        <w:rPr>
          <w:sz w:val="22"/>
        </w:rPr>
      </w:pPr>
    </w:p>
    <w:p w14:paraId="51859532" w14:textId="77777777" w:rsidR="00A301B7" w:rsidRPr="00713777" w:rsidRDefault="003840DC" w:rsidP="00A301B7">
      <w:pPr>
        <w:rPr>
          <w:sz w:val="22"/>
        </w:rPr>
      </w:pPr>
      <w:r>
        <w:rPr>
          <w:sz w:val="22"/>
        </w:rPr>
        <w:t>DDDS will deny applications that receive an average score of less than 80 points.</w:t>
      </w:r>
      <w:r w:rsidR="00A301B7">
        <w:rPr>
          <w:sz w:val="22"/>
        </w:rPr>
        <w:t xml:space="preserve"> </w:t>
      </w:r>
      <w:r w:rsidR="00A301B7" w:rsidRPr="00713777">
        <w:rPr>
          <w:sz w:val="22"/>
        </w:rPr>
        <w:t>If the Provider Authorization Committee determines the interested applicant is not eligible, DDDS will send a denial letter that includes the reason(s) for denial.  The provider may submit a new/revised application after six (6) months of the date of the denial letter.</w:t>
      </w:r>
    </w:p>
    <w:p w14:paraId="6575F154" w14:textId="67FC1826" w:rsidR="003840DC" w:rsidRDefault="003840DC" w:rsidP="00091774">
      <w:pPr>
        <w:rPr>
          <w:sz w:val="22"/>
        </w:rPr>
      </w:pPr>
    </w:p>
    <w:p w14:paraId="4D376A62" w14:textId="77777777" w:rsidR="00CE53FA" w:rsidRDefault="00CE53FA" w:rsidP="00091774">
      <w:pPr>
        <w:rPr>
          <w:sz w:val="22"/>
        </w:rPr>
      </w:pPr>
    </w:p>
    <w:p w14:paraId="1A50FAFC" w14:textId="7A5AC185" w:rsidR="00CE53FA" w:rsidRPr="00CE53FA" w:rsidRDefault="00CE53FA" w:rsidP="00A54A7C">
      <w:pPr>
        <w:rPr>
          <w:sz w:val="22"/>
          <w:u w:val="single"/>
        </w:rPr>
      </w:pPr>
      <w:r w:rsidRPr="00CE53FA">
        <w:rPr>
          <w:sz w:val="22"/>
          <w:u w:val="single"/>
        </w:rPr>
        <w:t>SLIDE #5</w:t>
      </w:r>
    </w:p>
    <w:p w14:paraId="06BEFCFD" w14:textId="77777777" w:rsidR="00CE53FA" w:rsidRDefault="00CE53FA" w:rsidP="00A54A7C">
      <w:pPr>
        <w:rPr>
          <w:sz w:val="22"/>
        </w:rPr>
      </w:pPr>
    </w:p>
    <w:p w14:paraId="1514B794" w14:textId="541DE7C3" w:rsidR="00A54A7C" w:rsidRDefault="00A54A7C" w:rsidP="00A54A7C">
      <w:pPr>
        <w:rPr>
          <w:sz w:val="22"/>
        </w:rPr>
      </w:pPr>
      <w:r>
        <w:rPr>
          <w:sz w:val="22"/>
        </w:rPr>
        <w:t xml:space="preserve">DDDS will schedule interviews with agencies whose applications score 80 points or more.  </w:t>
      </w:r>
    </w:p>
    <w:p w14:paraId="06837CD2" w14:textId="77777777" w:rsidR="00A54A7C" w:rsidRDefault="00A54A7C" w:rsidP="00A54A7C">
      <w:pPr>
        <w:rPr>
          <w:sz w:val="22"/>
        </w:rPr>
      </w:pPr>
    </w:p>
    <w:p w14:paraId="39B40AA8" w14:textId="77777777" w:rsidR="00A54A7C" w:rsidRDefault="00A54A7C" w:rsidP="00A54A7C">
      <w:pPr>
        <w:rPr>
          <w:sz w:val="22"/>
        </w:rPr>
      </w:pPr>
      <w:r>
        <w:rPr>
          <w:sz w:val="22"/>
        </w:rPr>
        <w:t xml:space="preserve">The Provider Authorization Committee will score the interview by assigning a maximum of 100 points.  </w:t>
      </w:r>
    </w:p>
    <w:p w14:paraId="4A10E22B" w14:textId="77777777" w:rsidR="00A54A7C" w:rsidRDefault="00A54A7C" w:rsidP="00A54A7C">
      <w:pPr>
        <w:rPr>
          <w:sz w:val="22"/>
        </w:rPr>
      </w:pPr>
    </w:p>
    <w:p w14:paraId="09AD37AB" w14:textId="4B0997C9" w:rsidR="00A54A7C" w:rsidRPr="0029083C" w:rsidRDefault="00A54A7C" w:rsidP="00A54A7C">
      <w:pPr>
        <w:rPr>
          <w:sz w:val="22"/>
        </w:rPr>
      </w:pPr>
      <w:r>
        <w:rPr>
          <w:sz w:val="22"/>
        </w:rPr>
        <w:t xml:space="preserve">DDDS reserves the right to reject any application that scores 0 points on any question or sub-question or on any component of the interview. </w:t>
      </w:r>
    </w:p>
    <w:p w14:paraId="47830D97" w14:textId="77777777" w:rsidR="00A54A7C" w:rsidRDefault="00A54A7C" w:rsidP="00091774">
      <w:pPr>
        <w:rPr>
          <w:sz w:val="22"/>
        </w:rPr>
      </w:pPr>
    </w:p>
    <w:sectPr w:rsidR="00A54A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E5E1" w14:textId="77777777" w:rsidR="00BA0E98" w:rsidRDefault="00BA0E98" w:rsidP="00D83E20">
      <w:r>
        <w:separator/>
      </w:r>
    </w:p>
  </w:endnote>
  <w:endnote w:type="continuationSeparator" w:id="0">
    <w:p w14:paraId="76BD6BFC" w14:textId="77777777" w:rsidR="00BA0E98" w:rsidRDefault="00BA0E98" w:rsidP="00D8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977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D1185F" w14:textId="5A44C4F5" w:rsidR="00D83E20" w:rsidRDefault="00D83E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B706FA" w14:textId="77777777" w:rsidR="00D83E20" w:rsidRDefault="00D83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5B7A" w14:textId="77777777" w:rsidR="00BA0E98" w:rsidRDefault="00BA0E98" w:rsidP="00D83E20">
      <w:r>
        <w:separator/>
      </w:r>
    </w:p>
  </w:footnote>
  <w:footnote w:type="continuationSeparator" w:id="0">
    <w:p w14:paraId="678B8EA1" w14:textId="77777777" w:rsidR="00BA0E98" w:rsidRDefault="00BA0E98" w:rsidP="00D8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FA88" w14:textId="1527B017" w:rsidR="00D83E20" w:rsidRPr="005738C2" w:rsidRDefault="00D83E20" w:rsidP="00D83E20">
    <w:pPr>
      <w:pStyle w:val="Header"/>
      <w:jc w:val="center"/>
      <w:rPr>
        <w:b/>
        <w:bCs/>
        <w:sz w:val="22"/>
      </w:rPr>
    </w:pPr>
    <w:r w:rsidRPr="005738C2">
      <w:rPr>
        <w:b/>
        <w:bCs/>
        <w:sz w:val="22"/>
      </w:rPr>
      <w:t>Information Gathering Session</w:t>
    </w:r>
  </w:p>
  <w:p w14:paraId="20B217AA" w14:textId="13416C28" w:rsidR="00D83E20" w:rsidRDefault="008241C8" w:rsidP="00D94BEE">
    <w:pPr>
      <w:pStyle w:val="Header"/>
      <w:jc w:val="center"/>
    </w:pPr>
    <w:r>
      <w:rPr>
        <w:b/>
        <w:bCs/>
        <w:sz w:val="22"/>
      </w:rPr>
      <w:t>Provider Authorization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E2"/>
    <w:multiLevelType w:val="hybridMultilevel"/>
    <w:tmpl w:val="9FDAE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824EC"/>
    <w:multiLevelType w:val="hybridMultilevel"/>
    <w:tmpl w:val="37F62002"/>
    <w:lvl w:ilvl="0" w:tplc="63C4BF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82C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0B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A5E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A1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C0F6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48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AD2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EA54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A0E4B"/>
    <w:multiLevelType w:val="hybridMultilevel"/>
    <w:tmpl w:val="1FC6500A"/>
    <w:lvl w:ilvl="0" w:tplc="E73A1F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A90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C5F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0C7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25D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1060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451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444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C606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E1173"/>
    <w:multiLevelType w:val="hybridMultilevel"/>
    <w:tmpl w:val="33AA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303E"/>
    <w:multiLevelType w:val="hybridMultilevel"/>
    <w:tmpl w:val="04D81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009BF"/>
    <w:multiLevelType w:val="hybridMultilevel"/>
    <w:tmpl w:val="ED6CD78E"/>
    <w:lvl w:ilvl="0" w:tplc="772EB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AB1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53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CE7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0CA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4C8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A70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A2C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496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0"/>
    <w:rsid w:val="000023A8"/>
    <w:rsid w:val="00013941"/>
    <w:rsid w:val="00025E3C"/>
    <w:rsid w:val="000266D4"/>
    <w:rsid w:val="00040769"/>
    <w:rsid w:val="00052D9C"/>
    <w:rsid w:val="00056888"/>
    <w:rsid w:val="00064657"/>
    <w:rsid w:val="00065553"/>
    <w:rsid w:val="00070700"/>
    <w:rsid w:val="00072B47"/>
    <w:rsid w:val="0008669D"/>
    <w:rsid w:val="00086A96"/>
    <w:rsid w:val="00091774"/>
    <w:rsid w:val="000957B2"/>
    <w:rsid w:val="000C0437"/>
    <w:rsid w:val="000C756B"/>
    <w:rsid w:val="000C766F"/>
    <w:rsid w:val="000D14A3"/>
    <w:rsid w:val="000D14CB"/>
    <w:rsid w:val="000D67C8"/>
    <w:rsid w:val="000D787D"/>
    <w:rsid w:val="000D7FC7"/>
    <w:rsid w:val="000F435E"/>
    <w:rsid w:val="000F4830"/>
    <w:rsid w:val="0010660C"/>
    <w:rsid w:val="00113679"/>
    <w:rsid w:val="001137B4"/>
    <w:rsid w:val="00114B6D"/>
    <w:rsid w:val="00115DF3"/>
    <w:rsid w:val="0012274D"/>
    <w:rsid w:val="00126BFA"/>
    <w:rsid w:val="0015206D"/>
    <w:rsid w:val="00163E42"/>
    <w:rsid w:val="00186A20"/>
    <w:rsid w:val="001A35DF"/>
    <w:rsid w:val="001A5FA8"/>
    <w:rsid w:val="001B67C1"/>
    <w:rsid w:val="002300A2"/>
    <w:rsid w:val="00230148"/>
    <w:rsid w:val="0023147E"/>
    <w:rsid w:val="00242CC0"/>
    <w:rsid w:val="00256664"/>
    <w:rsid w:val="00282A48"/>
    <w:rsid w:val="00294462"/>
    <w:rsid w:val="002A7DF4"/>
    <w:rsid w:val="002B18B4"/>
    <w:rsid w:val="002B6EDA"/>
    <w:rsid w:val="002C5677"/>
    <w:rsid w:val="002C6682"/>
    <w:rsid w:val="002D0169"/>
    <w:rsid w:val="002D1894"/>
    <w:rsid w:val="002D5A2F"/>
    <w:rsid w:val="002F217C"/>
    <w:rsid w:val="00313803"/>
    <w:rsid w:val="00344960"/>
    <w:rsid w:val="00347646"/>
    <w:rsid w:val="003538CE"/>
    <w:rsid w:val="00360F14"/>
    <w:rsid w:val="00365D58"/>
    <w:rsid w:val="00383E43"/>
    <w:rsid w:val="003840DC"/>
    <w:rsid w:val="003A12B4"/>
    <w:rsid w:val="003A4B22"/>
    <w:rsid w:val="003A4E5E"/>
    <w:rsid w:val="003B36D5"/>
    <w:rsid w:val="003B5D53"/>
    <w:rsid w:val="003F6AE1"/>
    <w:rsid w:val="003F78A8"/>
    <w:rsid w:val="0040705E"/>
    <w:rsid w:val="004103F6"/>
    <w:rsid w:val="00412407"/>
    <w:rsid w:val="00414FE9"/>
    <w:rsid w:val="00436D6D"/>
    <w:rsid w:val="004552D2"/>
    <w:rsid w:val="00467F69"/>
    <w:rsid w:val="00493C1D"/>
    <w:rsid w:val="004A4430"/>
    <w:rsid w:val="004B1B5C"/>
    <w:rsid w:val="004B53F1"/>
    <w:rsid w:val="004D3A9C"/>
    <w:rsid w:val="004E282C"/>
    <w:rsid w:val="004F5575"/>
    <w:rsid w:val="00504CAD"/>
    <w:rsid w:val="0050614C"/>
    <w:rsid w:val="00506F90"/>
    <w:rsid w:val="00514297"/>
    <w:rsid w:val="00515F31"/>
    <w:rsid w:val="005210FD"/>
    <w:rsid w:val="005241EF"/>
    <w:rsid w:val="005254AD"/>
    <w:rsid w:val="00525762"/>
    <w:rsid w:val="005373A5"/>
    <w:rsid w:val="00545105"/>
    <w:rsid w:val="00547FE9"/>
    <w:rsid w:val="00557512"/>
    <w:rsid w:val="00561400"/>
    <w:rsid w:val="00562A24"/>
    <w:rsid w:val="005738C2"/>
    <w:rsid w:val="00577DD2"/>
    <w:rsid w:val="00591319"/>
    <w:rsid w:val="00593166"/>
    <w:rsid w:val="00593382"/>
    <w:rsid w:val="00596091"/>
    <w:rsid w:val="00596D9A"/>
    <w:rsid w:val="005A271A"/>
    <w:rsid w:val="005A29C4"/>
    <w:rsid w:val="005D5B9A"/>
    <w:rsid w:val="005D6C9E"/>
    <w:rsid w:val="005E1C8D"/>
    <w:rsid w:val="00613D5A"/>
    <w:rsid w:val="00614D92"/>
    <w:rsid w:val="00620772"/>
    <w:rsid w:val="0062172F"/>
    <w:rsid w:val="006250B2"/>
    <w:rsid w:val="00650219"/>
    <w:rsid w:val="00654BA8"/>
    <w:rsid w:val="006803A6"/>
    <w:rsid w:val="00687808"/>
    <w:rsid w:val="0069779F"/>
    <w:rsid w:val="006B25AB"/>
    <w:rsid w:val="006C3F29"/>
    <w:rsid w:val="006C5D40"/>
    <w:rsid w:val="006E33CE"/>
    <w:rsid w:val="006E3819"/>
    <w:rsid w:val="006E6003"/>
    <w:rsid w:val="006F1567"/>
    <w:rsid w:val="006F34DB"/>
    <w:rsid w:val="0070725A"/>
    <w:rsid w:val="0071437A"/>
    <w:rsid w:val="007174E3"/>
    <w:rsid w:val="0072023D"/>
    <w:rsid w:val="0072169C"/>
    <w:rsid w:val="0073083E"/>
    <w:rsid w:val="007353BD"/>
    <w:rsid w:val="007607C8"/>
    <w:rsid w:val="0076247A"/>
    <w:rsid w:val="00784C53"/>
    <w:rsid w:val="00785AE2"/>
    <w:rsid w:val="007A33C9"/>
    <w:rsid w:val="007A74C4"/>
    <w:rsid w:val="007A7673"/>
    <w:rsid w:val="007C5ECA"/>
    <w:rsid w:val="007D3CC7"/>
    <w:rsid w:val="007D4EC2"/>
    <w:rsid w:val="007D7BF6"/>
    <w:rsid w:val="007E6A6C"/>
    <w:rsid w:val="007E6D5C"/>
    <w:rsid w:val="00802AEB"/>
    <w:rsid w:val="00810C45"/>
    <w:rsid w:val="0081667C"/>
    <w:rsid w:val="00817873"/>
    <w:rsid w:val="008241C8"/>
    <w:rsid w:val="00833398"/>
    <w:rsid w:val="008447D9"/>
    <w:rsid w:val="00845D81"/>
    <w:rsid w:val="008834EA"/>
    <w:rsid w:val="00897E91"/>
    <w:rsid w:val="008B0445"/>
    <w:rsid w:val="008B0C8B"/>
    <w:rsid w:val="008B6C06"/>
    <w:rsid w:val="008B6D9D"/>
    <w:rsid w:val="008C3141"/>
    <w:rsid w:val="008E0BA0"/>
    <w:rsid w:val="008E10FA"/>
    <w:rsid w:val="008E742A"/>
    <w:rsid w:val="00901106"/>
    <w:rsid w:val="00907483"/>
    <w:rsid w:val="009117E7"/>
    <w:rsid w:val="00926CAF"/>
    <w:rsid w:val="00936CF9"/>
    <w:rsid w:val="00951608"/>
    <w:rsid w:val="00951753"/>
    <w:rsid w:val="00954007"/>
    <w:rsid w:val="0098227C"/>
    <w:rsid w:val="00995F34"/>
    <w:rsid w:val="009B1835"/>
    <w:rsid w:val="009B758F"/>
    <w:rsid w:val="009B79BA"/>
    <w:rsid w:val="009D605D"/>
    <w:rsid w:val="009E03DF"/>
    <w:rsid w:val="009E06AE"/>
    <w:rsid w:val="009F1098"/>
    <w:rsid w:val="009F4372"/>
    <w:rsid w:val="009F6D96"/>
    <w:rsid w:val="00A301B7"/>
    <w:rsid w:val="00A319CD"/>
    <w:rsid w:val="00A54A7C"/>
    <w:rsid w:val="00A636A3"/>
    <w:rsid w:val="00A663EA"/>
    <w:rsid w:val="00A664FD"/>
    <w:rsid w:val="00A73691"/>
    <w:rsid w:val="00A76335"/>
    <w:rsid w:val="00A77395"/>
    <w:rsid w:val="00A94302"/>
    <w:rsid w:val="00A94655"/>
    <w:rsid w:val="00A9549B"/>
    <w:rsid w:val="00A97153"/>
    <w:rsid w:val="00AB0927"/>
    <w:rsid w:val="00AC06C2"/>
    <w:rsid w:val="00AC527D"/>
    <w:rsid w:val="00AE346A"/>
    <w:rsid w:val="00AE7734"/>
    <w:rsid w:val="00AF6575"/>
    <w:rsid w:val="00B00796"/>
    <w:rsid w:val="00B23360"/>
    <w:rsid w:val="00B24F9B"/>
    <w:rsid w:val="00B2724C"/>
    <w:rsid w:val="00B33A4D"/>
    <w:rsid w:val="00B409B8"/>
    <w:rsid w:val="00B4174B"/>
    <w:rsid w:val="00B47637"/>
    <w:rsid w:val="00B745E5"/>
    <w:rsid w:val="00B87C61"/>
    <w:rsid w:val="00B92CEE"/>
    <w:rsid w:val="00BA0E98"/>
    <w:rsid w:val="00BA0FD3"/>
    <w:rsid w:val="00BB3590"/>
    <w:rsid w:val="00BD7604"/>
    <w:rsid w:val="00BE19C7"/>
    <w:rsid w:val="00C020BF"/>
    <w:rsid w:val="00C20D47"/>
    <w:rsid w:val="00C272B6"/>
    <w:rsid w:val="00C33F5F"/>
    <w:rsid w:val="00C436FD"/>
    <w:rsid w:val="00C43CE3"/>
    <w:rsid w:val="00C500E4"/>
    <w:rsid w:val="00C5027C"/>
    <w:rsid w:val="00C53CAA"/>
    <w:rsid w:val="00C55BC3"/>
    <w:rsid w:val="00C626CF"/>
    <w:rsid w:val="00C64C7C"/>
    <w:rsid w:val="00C6648F"/>
    <w:rsid w:val="00C6671D"/>
    <w:rsid w:val="00C951F5"/>
    <w:rsid w:val="00C95521"/>
    <w:rsid w:val="00CA737F"/>
    <w:rsid w:val="00CB5C1A"/>
    <w:rsid w:val="00CC0645"/>
    <w:rsid w:val="00CC10DF"/>
    <w:rsid w:val="00CC31CA"/>
    <w:rsid w:val="00CE53FA"/>
    <w:rsid w:val="00CF0204"/>
    <w:rsid w:val="00CF472E"/>
    <w:rsid w:val="00D03906"/>
    <w:rsid w:val="00D15FB6"/>
    <w:rsid w:val="00D31D68"/>
    <w:rsid w:val="00D45540"/>
    <w:rsid w:val="00D472E1"/>
    <w:rsid w:val="00D72BC1"/>
    <w:rsid w:val="00D83E20"/>
    <w:rsid w:val="00D940D6"/>
    <w:rsid w:val="00D94BEE"/>
    <w:rsid w:val="00D9787F"/>
    <w:rsid w:val="00D97CE2"/>
    <w:rsid w:val="00DA017F"/>
    <w:rsid w:val="00DD4C4C"/>
    <w:rsid w:val="00DE4F5C"/>
    <w:rsid w:val="00DE7D38"/>
    <w:rsid w:val="00DF5502"/>
    <w:rsid w:val="00DF60B3"/>
    <w:rsid w:val="00E013EC"/>
    <w:rsid w:val="00E0586D"/>
    <w:rsid w:val="00E26A8A"/>
    <w:rsid w:val="00E312A4"/>
    <w:rsid w:val="00E34152"/>
    <w:rsid w:val="00E57E6A"/>
    <w:rsid w:val="00E62835"/>
    <w:rsid w:val="00E75F32"/>
    <w:rsid w:val="00E87015"/>
    <w:rsid w:val="00E87E02"/>
    <w:rsid w:val="00E943D9"/>
    <w:rsid w:val="00EB6A84"/>
    <w:rsid w:val="00EC348A"/>
    <w:rsid w:val="00EE27C8"/>
    <w:rsid w:val="00EF3BB3"/>
    <w:rsid w:val="00F10C5B"/>
    <w:rsid w:val="00F2049E"/>
    <w:rsid w:val="00F412FC"/>
    <w:rsid w:val="00F60148"/>
    <w:rsid w:val="00F602AB"/>
    <w:rsid w:val="00F82415"/>
    <w:rsid w:val="00F937B9"/>
    <w:rsid w:val="00FA14CA"/>
    <w:rsid w:val="00FB4279"/>
    <w:rsid w:val="00FC3163"/>
    <w:rsid w:val="00FC70E9"/>
    <w:rsid w:val="00FD099F"/>
    <w:rsid w:val="00FD30D4"/>
    <w:rsid w:val="00FD4264"/>
    <w:rsid w:val="00FD7CAE"/>
    <w:rsid w:val="00FE0F81"/>
    <w:rsid w:val="00FE502C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5C96"/>
  <w15:chartTrackingRefBased/>
  <w15:docId w15:val="{9A94FD41-8C75-4364-8C40-94F083B3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E20"/>
  </w:style>
  <w:style w:type="paragraph" w:styleId="Footer">
    <w:name w:val="footer"/>
    <w:basedOn w:val="Normal"/>
    <w:link w:val="FooterChar"/>
    <w:uiPriority w:val="99"/>
    <w:unhideWhenUsed/>
    <w:rsid w:val="00D83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E20"/>
  </w:style>
  <w:style w:type="table" w:styleId="TableGrid">
    <w:name w:val="Table Grid"/>
    <w:basedOn w:val="TableNormal"/>
    <w:uiPriority w:val="39"/>
    <w:rsid w:val="00D8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3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3CE"/>
    <w:pPr>
      <w:spacing w:after="160"/>
      <w:ind w:left="1872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3CE"/>
    <w:rPr>
      <w:rFonts w:asciiTheme="minorHAnsi" w:hAnsi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845D8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9177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7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935">
          <w:marLeft w:val="547"/>
          <w:marRight w:val="21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999">
          <w:marLeft w:val="547"/>
          <w:marRight w:val="33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53">
          <w:marLeft w:val="547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Richard (DHSS)</dc:creator>
  <cp:keywords/>
  <dc:description/>
  <cp:lastModifiedBy>Snyder, Richard (DHSS)</cp:lastModifiedBy>
  <cp:revision>41</cp:revision>
  <dcterms:created xsi:type="dcterms:W3CDTF">2022-10-03T14:09:00Z</dcterms:created>
  <dcterms:modified xsi:type="dcterms:W3CDTF">2022-11-17T19:24:00Z</dcterms:modified>
</cp:coreProperties>
</file>