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D6" w:rsidRDefault="00087FD6" w:rsidP="00087FD6"/>
    <w:p w:rsidR="00087FD6" w:rsidRDefault="00087FD6" w:rsidP="00087FD6">
      <w:pPr>
        <w:jc w:val="center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noProof/>
          <w:color w:val="0000CC"/>
          <w:sz w:val="24"/>
          <w:szCs w:val="24"/>
        </w:rPr>
        <w:drawing>
          <wp:inline distT="0" distB="0" distL="0" distR="0">
            <wp:extent cx="2324100" cy="1228725"/>
            <wp:effectExtent l="0" t="0" r="0" b="9525"/>
            <wp:docPr id="1" name="Picture 1" descr="http://dhss.delaware.gov/dhss/dms/hrm/estar/e-st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hss.delaware.gov/dhss/dms/hrm/estar/e-star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D6" w:rsidRDefault="00087FD6" w:rsidP="00087FD6">
      <w:pPr>
        <w:rPr>
          <w:rFonts w:ascii="Times New Roman" w:hAnsi="Times New Roman"/>
          <w:color w:val="0000CC"/>
          <w:sz w:val="24"/>
          <w:szCs w:val="24"/>
        </w:rPr>
      </w:pPr>
    </w:p>
    <w:p w:rsidR="00087FD6" w:rsidRDefault="00087FD6" w:rsidP="00087FD6">
      <w:pPr>
        <w:rPr>
          <w:rFonts w:ascii="Times New Roman" w:hAnsi="Times New Roman"/>
          <w:color w:val="0000CC"/>
          <w:sz w:val="24"/>
          <w:szCs w:val="24"/>
        </w:rPr>
      </w:pPr>
    </w:p>
    <w:p w:rsidR="00087FD6" w:rsidRDefault="00087FD6" w:rsidP="00087FD6">
      <w:pPr>
        <w:rPr>
          <w:rFonts w:ascii="Times New Roman" w:hAnsi="Times New Roman"/>
          <w:color w:val="0000CC"/>
          <w:sz w:val="24"/>
          <w:szCs w:val="24"/>
        </w:rPr>
      </w:pP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message from DHSS Human Resources and Payroll—</w:t>
      </w:r>
    </w:p>
    <w:p w:rsidR="00087FD6" w:rsidRDefault="00087FD6" w:rsidP="00087FD6">
      <w:pPr>
        <w:rPr>
          <w:rFonts w:ascii="Times New Roman" w:hAnsi="Times New Roman"/>
          <w:sz w:val="24"/>
          <w:szCs w:val="24"/>
        </w:rPr>
      </w:pP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take time to review the DHSS policy that defines roles and responsibilities under the </w:t>
      </w:r>
      <w:proofErr w:type="spellStart"/>
      <w:r>
        <w:rPr>
          <w:rFonts w:ascii="Times New Roman" w:hAnsi="Times New Roman"/>
          <w:sz w:val="28"/>
          <w:szCs w:val="28"/>
        </w:rPr>
        <w:t>eSTAR</w:t>
      </w:r>
      <w:proofErr w:type="spellEnd"/>
      <w:r>
        <w:rPr>
          <w:rFonts w:ascii="Times New Roman" w:hAnsi="Times New Roman"/>
          <w:sz w:val="28"/>
          <w:szCs w:val="28"/>
        </w:rPr>
        <w:t xml:space="preserve"> system.  The policy, titled “Department of Health and Social Services </w:t>
      </w:r>
      <w:proofErr w:type="spellStart"/>
      <w:r>
        <w:rPr>
          <w:rFonts w:ascii="Times New Roman" w:hAnsi="Times New Roman"/>
          <w:sz w:val="28"/>
          <w:szCs w:val="28"/>
        </w:rPr>
        <w:t>eSTAR</w:t>
      </w:r>
      <w:proofErr w:type="spellEnd"/>
      <w:r>
        <w:rPr>
          <w:rFonts w:ascii="Times New Roman" w:hAnsi="Times New Roman"/>
          <w:sz w:val="28"/>
          <w:szCs w:val="28"/>
        </w:rPr>
        <w:t xml:space="preserve"> Time and Leave Keeping policy can be found at the DHSS </w:t>
      </w:r>
      <w:proofErr w:type="spellStart"/>
      <w:r>
        <w:rPr>
          <w:rFonts w:ascii="Times New Roman" w:hAnsi="Times New Roman"/>
          <w:sz w:val="28"/>
          <w:szCs w:val="28"/>
        </w:rPr>
        <w:t>eSTAR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–Policy / Procedure section:  </w:t>
      </w:r>
      <w:hyperlink r:id="rId7" w:history="1">
        <w:proofErr w:type="spellStart"/>
        <w:r>
          <w:rPr>
            <w:rStyle w:val="Hyperlink"/>
            <w:rFonts w:ascii="Times New Roman" w:hAnsi="Times New Roman"/>
            <w:sz w:val="28"/>
            <w:szCs w:val="28"/>
          </w:rPr>
          <w:t>eStar</w:t>
        </w:r>
        <w:proofErr w:type="spellEnd"/>
      </w:hyperlink>
      <w:r>
        <w:rPr>
          <w:rFonts w:ascii="Times New Roman" w:hAnsi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 </w:t>
      </w: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</w:p>
    <w:p w:rsidR="00087FD6" w:rsidRDefault="00087FD6" w:rsidP="00087FD6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policy is required under the Department of Finance, Division of Accounting Internal Control Requirements that must be filed by each agency</w:t>
      </w: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 must be reviewed by all employees annually.  The policy provides general system operating procedures and outlines the roles and responsibilities of: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>Employees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>Managers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>Auditors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282828"/>
          <w:sz w:val="28"/>
          <w:szCs w:val="28"/>
        </w:rPr>
        <w:t>eSTAR</w:t>
      </w:r>
      <w:proofErr w:type="spellEnd"/>
      <w:r>
        <w:rPr>
          <w:rFonts w:ascii="Times New Roman" w:eastAsia="Times New Roman" w:hAnsi="Times New Roman"/>
          <w:color w:val="282828"/>
          <w:sz w:val="28"/>
          <w:szCs w:val="28"/>
        </w:rPr>
        <w:t xml:space="preserve"> Coordinators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>Human Resources</w:t>
      </w:r>
    </w:p>
    <w:p w:rsidR="00087FD6" w:rsidRDefault="00087FD6" w:rsidP="00087FD6">
      <w:pPr>
        <w:numPr>
          <w:ilvl w:val="0"/>
          <w:numId w:val="1"/>
        </w:numPr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>Payroll</w:t>
      </w: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Questions may be directed to your local Human Resources group:</w:t>
      </w: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998"/>
      </w:tblGrid>
      <w:tr w:rsidR="00087FD6" w:rsidTr="00087FD6">
        <w:trPr>
          <w:trHeight w:val="435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 Office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Phone</w:t>
            </w:r>
          </w:p>
        </w:tc>
      </w:tr>
      <w:tr w:rsidR="00087FD6" w:rsidTr="00087FD6">
        <w:trPr>
          <w:trHeight w:val="43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Castle County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302-255-9070</w:t>
            </w:r>
          </w:p>
        </w:tc>
      </w:tr>
      <w:tr w:rsidR="00087FD6" w:rsidTr="00087FD6">
        <w:trPr>
          <w:trHeight w:val="43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Kent/Sussex Regional Office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302-744-4558</w:t>
            </w:r>
          </w:p>
        </w:tc>
      </w:tr>
      <w:tr w:rsidR="00087FD6" w:rsidTr="00087FD6">
        <w:trPr>
          <w:trHeight w:val="43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DHCI / GBHC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302-223-1550</w:t>
            </w:r>
          </w:p>
        </w:tc>
      </w:tr>
      <w:tr w:rsidR="00087FD6" w:rsidTr="00087FD6">
        <w:trPr>
          <w:trHeight w:val="43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Stockley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FD6" w:rsidRDefault="00087FD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302-933-3000</w:t>
            </w:r>
          </w:p>
        </w:tc>
      </w:tr>
    </w:tbl>
    <w:p w:rsidR="00087FD6" w:rsidRDefault="00087FD6" w:rsidP="00087FD6">
      <w:pPr>
        <w:rPr>
          <w:rFonts w:ascii="Times New Roman" w:hAnsi="Times New Roman"/>
          <w:sz w:val="28"/>
          <w:szCs w:val="28"/>
        </w:rPr>
      </w:pPr>
    </w:p>
    <w:p w:rsidR="00087FD6" w:rsidRDefault="00087FD6" w:rsidP="00087FD6">
      <w:pPr>
        <w:rPr>
          <w:rFonts w:ascii="Times New Roman" w:hAnsi="Times New Roman"/>
          <w:sz w:val="28"/>
          <w:szCs w:val="28"/>
        </w:rPr>
      </w:pPr>
    </w:p>
    <w:p w:rsidR="00CE0CB8" w:rsidRPr="00087FD6" w:rsidRDefault="00CE0CB8" w:rsidP="00087FD6">
      <w:bookmarkStart w:id="0" w:name="_GoBack"/>
      <w:bookmarkEnd w:id="0"/>
    </w:p>
    <w:sectPr w:rsidR="00CE0CB8" w:rsidRPr="0008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hybridMultilevel"/>
    <w:tmpl w:val="B29CAD56"/>
    <w:lvl w:ilvl="0" w:tplc="274CF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9B6AC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D6"/>
    <w:rsid w:val="00087FD6"/>
    <w:rsid w:val="00C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BE46-9EF8-4FD1-BD03-D2A14609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hss.delaware.gov/dhss/dms/hrm/estar/est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0B9F.4A4C0D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Magarov, Lolita (DHSS)</dc:creator>
  <cp:keywords/>
  <dc:description/>
  <cp:lastModifiedBy>Magarov, Lolita (DHSS)</cp:lastModifiedBy>
  <cp:revision>1</cp:revision>
  <dcterms:created xsi:type="dcterms:W3CDTF">2017-08-02T19:04:00Z</dcterms:created>
  <dcterms:modified xsi:type="dcterms:W3CDTF">2017-08-02T19:05:00Z</dcterms:modified>
</cp:coreProperties>
</file>